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-224155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11, 2020</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Weatherford International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8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4"/>
              </w:rPr>
              <w:t>Ireland</w:t>
            </w:r>
          </w:p>
        </w:tc>
        <w:tc>
          <w:tcPr>
            <w:tcW w:w="2380" w:type="dxa"/>
            <w:vAlign w:val="bottom"/>
          </w:tcPr>
          <w:p>
            <w:pPr>
              <w:jc w:val="right"/>
              <w:ind w:right="890"/>
              <w:spacing w:after="0"/>
              <w:rPr>
                <w:sz w:val="20"/>
                <w:szCs w:val="20"/>
                <w:color w:val="auto"/>
              </w:rPr>
            </w:pPr>
            <w:r>
              <w:rPr>
                <w:rFonts w:ascii="Arial" w:cs="Arial" w:eastAsia="Arial" w:hAnsi="Arial"/>
                <w:sz w:val="18"/>
                <w:szCs w:val="18"/>
                <w:b w:val="1"/>
                <w:bCs w:val="1"/>
                <w:color w:val="auto"/>
              </w:rPr>
              <w:t>001-36504</w:t>
            </w:r>
          </w:p>
        </w:tc>
        <w:tc>
          <w:tcPr>
            <w:tcW w:w="2480" w:type="dxa"/>
            <w:vAlign w:val="bottom"/>
          </w:tcPr>
          <w:p>
            <w:pPr>
              <w:ind w:left="1260"/>
              <w:spacing w:after="0"/>
              <w:rPr>
                <w:sz w:val="20"/>
                <w:szCs w:val="20"/>
                <w:color w:val="auto"/>
              </w:rPr>
            </w:pPr>
            <w:r>
              <w:rPr>
                <w:rFonts w:ascii="Arial" w:cs="Arial" w:eastAsia="Arial" w:hAnsi="Arial"/>
                <w:sz w:val="18"/>
                <w:szCs w:val="18"/>
                <w:b w:val="1"/>
                <w:bCs w:val="1"/>
                <w:color w:val="auto"/>
              </w:rPr>
              <w:t>98-0606750</w:t>
            </w:r>
          </w:p>
        </w:tc>
        <w:tc>
          <w:tcPr>
            <w:tcW w:w="760" w:type="dxa"/>
            <w:vAlign w:val="bottom"/>
          </w:tcPr>
          <w:p>
            <w:pPr>
              <w:spacing w:after="0"/>
              <w:rPr>
                <w:sz w:val="20"/>
                <w:szCs w:val="20"/>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2"/>
        </w:trPr>
        <w:tc>
          <w:tcPr>
            <w:tcW w:w="3620" w:type="dxa"/>
            <w:vAlign w:val="bottom"/>
            <w:gridSpan w:val="2"/>
          </w:tcPr>
          <w:p>
            <w:pPr>
              <w:jc w:val="center"/>
              <w:ind w:right="430"/>
              <w:spacing w:after="0"/>
              <w:rPr>
                <w:sz w:val="20"/>
                <w:szCs w:val="20"/>
                <w:color w:val="auto"/>
              </w:rPr>
            </w:pPr>
            <w:r>
              <w:rPr>
                <w:rFonts w:ascii="Arial" w:cs="Arial" w:eastAsia="Arial" w:hAnsi="Arial"/>
                <w:sz w:val="18"/>
                <w:szCs w:val="18"/>
                <w:color w:val="auto"/>
                <w:w w:val="93"/>
              </w:rPr>
              <w:t>(State or other jurisdiction of</w:t>
            </w:r>
          </w:p>
        </w:tc>
        <w:tc>
          <w:tcPr>
            <w:tcW w:w="2380" w:type="dxa"/>
            <w:vAlign w:val="bottom"/>
          </w:tcPr>
          <w:p>
            <w:pPr>
              <w:jc w:val="center"/>
              <w:ind w:right="290"/>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gridSpan w:val="2"/>
          </w:tcPr>
          <w:p>
            <w:pPr>
              <w:ind w:left="40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780" w:type="dxa"/>
            <w:vAlign w:val="bottom"/>
          </w:tcPr>
          <w:p>
            <w:pPr>
              <w:spacing w:after="0"/>
              <w:rPr>
                <w:sz w:val="20"/>
                <w:szCs w:val="20"/>
                <w:color w:val="auto"/>
              </w:rPr>
            </w:pPr>
          </w:p>
        </w:tc>
        <w:tc>
          <w:tcPr>
            <w:tcW w:w="2840" w:type="dxa"/>
            <w:vAlign w:val="bottom"/>
          </w:tcPr>
          <w:p>
            <w:pPr>
              <w:jc w:val="center"/>
              <w:ind w:right="1210"/>
              <w:spacing w:after="0"/>
              <w:rPr>
                <w:sz w:val="20"/>
                <w:szCs w:val="20"/>
                <w:color w:val="auto"/>
              </w:rPr>
            </w:pPr>
            <w:r>
              <w:rPr>
                <w:rFonts w:ascii="Arial" w:cs="Arial" w:eastAsia="Arial" w:hAnsi="Arial"/>
                <w:sz w:val="18"/>
                <w:szCs w:val="18"/>
                <w:color w:val="auto"/>
                <w:w w:val="92"/>
              </w:rPr>
              <w:t>incorporation)</w:t>
            </w:r>
          </w:p>
        </w:tc>
        <w:tc>
          <w:tcPr>
            <w:tcW w:w="2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5"/>
        </w:trPr>
        <w:tc>
          <w:tcPr>
            <w:tcW w:w="780" w:type="dxa"/>
            <w:vAlign w:val="bottom"/>
          </w:tcPr>
          <w:p>
            <w:pPr>
              <w:spacing w:after="0"/>
              <w:rPr>
                <w:sz w:val="24"/>
                <w:szCs w:val="24"/>
                <w:color w:val="auto"/>
              </w:rPr>
            </w:pPr>
          </w:p>
        </w:tc>
        <w:tc>
          <w:tcPr>
            <w:tcW w:w="2840" w:type="dxa"/>
            <w:vAlign w:val="bottom"/>
          </w:tcPr>
          <w:p>
            <w:pPr>
              <w:ind w:left="400"/>
              <w:spacing w:after="0"/>
              <w:rPr>
                <w:sz w:val="20"/>
                <w:szCs w:val="20"/>
                <w:color w:val="auto"/>
              </w:rPr>
            </w:pPr>
            <w:r>
              <w:rPr>
                <w:rFonts w:ascii="Arial" w:cs="Arial" w:eastAsia="Arial" w:hAnsi="Arial"/>
                <w:sz w:val="18"/>
                <w:szCs w:val="18"/>
                <w:b w:val="1"/>
                <w:bCs w:val="1"/>
                <w:color w:val="auto"/>
                <w:w w:val="89"/>
              </w:rPr>
              <w:t>2000 St. James Place , Houston</w:t>
            </w:r>
          </w:p>
        </w:tc>
        <w:tc>
          <w:tcPr>
            <w:tcW w:w="2380" w:type="dxa"/>
            <w:vAlign w:val="bottom"/>
          </w:tcPr>
          <w:p>
            <w:pPr>
              <w:ind w:left="100"/>
              <w:spacing w:after="0"/>
              <w:rPr>
                <w:sz w:val="20"/>
                <w:szCs w:val="20"/>
                <w:color w:val="auto"/>
              </w:rPr>
            </w:pPr>
            <w:r>
              <w:rPr>
                <w:rFonts w:ascii="Arial" w:cs="Arial" w:eastAsia="Arial" w:hAnsi="Arial"/>
                <w:sz w:val="18"/>
                <w:szCs w:val="18"/>
                <w:b w:val="1"/>
                <w:bCs w:val="1"/>
                <w:color w:val="auto"/>
              </w:rPr>
              <w:t>, Texas</w:t>
            </w:r>
          </w:p>
        </w:tc>
        <w:tc>
          <w:tcPr>
            <w:tcW w:w="2480" w:type="dxa"/>
            <w:vAlign w:val="bottom"/>
          </w:tcPr>
          <w:p>
            <w:pPr>
              <w:jc w:val="right"/>
              <w:ind w:right="510"/>
              <w:spacing w:after="0"/>
              <w:rPr>
                <w:sz w:val="20"/>
                <w:szCs w:val="20"/>
                <w:color w:val="auto"/>
              </w:rPr>
            </w:pPr>
            <w:r>
              <w:rPr>
                <w:rFonts w:ascii="Arial" w:cs="Arial" w:eastAsia="Arial" w:hAnsi="Arial"/>
                <w:sz w:val="18"/>
                <w:szCs w:val="18"/>
                <w:b w:val="1"/>
                <w:bCs w:val="1"/>
                <w:color w:val="auto"/>
              </w:rPr>
              <w:t>77056</w:t>
            </w:r>
          </w:p>
        </w:tc>
        <w:tc>
          <w:tcPr>
            <w:tcW w:w="760" w:type="dxa"/>
            <w:vAlign w:val="bottom"/>
          </w:tcPr>
          <w:p>
            <w:pPr>
              <w:spacing w:after="0"/>
              <w:rPr>
                <w:sz w:val="24"/>
                <w:szCs w:val="24"/>
                <w:color w:val="auto"/>
              </w:rPr>
            </w:pPr>
          </w:p>
        </w:tc>
      </w:tr>
      <w:tr>
        <w:trPr>
          <w:trHeight w:val="27"/>
        </w:trPr>
        <w:tc>
          <w:tcPr>
            <w:tcW w:w="780" w:type="dxa"/>
            <w:vAlign w:val="bottom"/>
          </w:tcPr>
          <w:p>
            <w:pPr>
              <w:spacing w:after="0"/>
              <w:rPr>
                <w:sz w:val="2"/>
                <w:szCs w:val="2"/>
                <w:color w:val="auto"/>
              </w:rPr>
            </w:pPr>
          </w:p>
        </w:tc>
        <w:tc>
          <w:tcPr>
            <w:tcW w:w="5220" w:type="dxa"/>
            <w:vAlign w:val="bottom"/>
            <w:tcBorders>
              <w:bottom w:val="single" w:sz="8" w:color="auto"/>
            </w:tcBorders>
            <w:gridSpan w:val="2"/>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6"/>
        </w:trPr>
        <w:tc>
          <w:tcPr>
            <w:tcW w:w="780" w:type="dxa"/>
            <w:vAlign w:val="bottom"/>
          </w:tcPr>
          <w:p>
            <w:pPr>
              <w:spacing w:after="0"/>
              <w:rPr>
                <w:sz w:val="20"/>
                <w:szCs w:val="20"/>
                <w:color w:val="auto"/>
              </w:rPr>
            </w:pPr>
          </w:p>
        </w:tc>
        <w:tc>
          <w:tcPr>
            <w:tcW w:w="5220" w:type="dxa"/>
            <w:vAlign w:val="bottom"/>
            <w:gridSpan w:val="2"/>
          </w:tcPr>
          <w:p>
            <w:pPr>
              <w:ind w:left="620"/>
              <w:spacing w:after="0"/>
              <w:rPr>
                <w:sz w:val="20"/>
                <w:szCs w:val="20"/>
                <w:color w:val="auto"/>
              </w:rPr>
            </w:pPr>
            <w:r>
              <w:rPr>
                <w:rFonts w:ascii="Arial" w:cs="Arial" w:eastAsia="Arial" w:hAnsi="Arial"/>
                <w:sz w:val="18"/>
                <w:szCs w:val="18"/>
                <w:color w:val="auto"/>
              </w:rPr>
              <w:t>(Address of principal executive offices)</w:t>
            </w:r>
          </w:p>
        </w:tc>
        <w:tc>
          <w:tcPr>
            <w:tcW w:w="3240" w:type="dxa"/>
            <w:vAlign w:val="bottom"/>
            <w:gridSpan w:val="2"/>
          </w:tcPr>
          <w:p>
            <w:pPr>
              <w:ind w:left="1260"/>
              <w:spacing w:after="0"/>
              <w:rPr>
                <w:sz w:val="20"/>
                <w:szCs w:val="20"/>
                <w:color w:val="auto"/>
              </w:rPr>
            </w:pPr>
            <w:r>
              <w:rPr>
                <w:rFonts w:ascii="Arial" w:cs="Arial" w:eastAsia="Arial" w:hAnsi="Arial"/>
                <w:sz w:val="18"/>
                <w:szCs w:val="18"/>
                <w:color w:val="auto"/>
              </w:rPr>
              <w:t>(Zip Code)</w:t>
            </w:r>
          </w:p>
        </w:tc>
      </w:tr>
    </w:tbl>
    <w:p>
      <w:pPr>
        <w:spacing w:after="0" w:line="9"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71"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34290</wp:posOffset>
            </wp:positionV>
            <wp:extent cx="6240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90" w:type="dxa"/>
        <w:tblCellMar>
          <w:top w:w="0" w:type="dxa"/>
          <w:left w:w="0" w:type="dxa"/>
          <w:bottom w:w="0" w:type="dxa"/>
          <w:right w:w="0" w:type="dxa"/>
        </w:tblCellMar>
      </w:tblPr>
      <w:tr>
        <w:trPr>
          <w:trHeight w:val="283"/>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40" w:type="dxa"/>
            <w:vAlign w:val="bottom"/>
            <w:tcBorders>
              <w:top w:val="single" w:sz="8" w:color="auto"/>
              <w:bottom w:val="single" w:sz="8" w:color="auto"/>
              <w:right w:val="single" w:sz="8" w:color="auto"/>
            </w:tcBorders>
          </w:tcPr>
          <w:p>
            <w:pPr>
              <w:jc w:val="center"/>
              <w:spacing w:after="0" w:line="283" w:lineRule="exact"/>
              <w:rPr>
                <w:sz w:val="20"/>
                <w:szCs w:val="20"/>
                <w:color w:val="auto"/>
              </w:rPr>
            </w:pPr>
            <w:r>
              <w:rPr>
                <w:rFonts w:ascii="Arial" w:cs="Arial" w:eastAsia="Arial" w:hAnsi="Arial"/>
                <w:sz w:val="18"/>
                <w:szCs w:val="18"/>
                <w:b w:val="1"/>
                <w:bCs w:val="1"/>
                <w:color w:val="auto"/>
                <w:w w:val="88"/>
              </w:rPr>
              <w:t xml:space="preserve">Trading Symbol(s) </w:t>
            </w:r>
            <w:r>
              <w:rPr>
                <w:rFonts w:ascii="Arial" w:cs="Arial" w:eastAsia="Arial" w:hAnsi="Arial"/>
                <w:sz w:val="25"/>
                <w:szCs w:val="25"/>
                <w:b w:val="1"/>
                <w:bCs w:val="1"/>
                <w:color w:val="auto"/>
                <w:w w:val="88"/>
                <w:vertAlign w:val="superscript"/>
              </w:rPr>
              <w:t>(1)</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Ordinary shares, par value $0.001 per share</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WFTLF</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2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30" w:lineRule="exact"/>
        <w:rPr>
          <w:sz w:val="24"/>
          <w:szCs w:val="24"/>
          <w:color w:val="auto"/>
        </w:rPr>
      </w:pPr>
    </w:p>
    <w:p>
      <w:pPr>
        <w:ind w:right="16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w:t>
      </w:r>
    </w:p>
    <w:p>
      <w:pPr>
        <w:spacing w:after="0" w:line="29" w:lineRule="exact"/>
        <w:rPr>
          <w:sz w:val="24"/>
          <w:szCs w:val="24"/>
          <w:color w:val="auto"/>
        </w:rPr>
      </w:pPr>
    </w:p>
    <w:p>
      <w:pPr>
        <w:jc w:val="both"/>
        <w:ind w:firstLine="8"/>
        <w:spacing w:after="0" w:line="242" w:lineRule="auto"/>
        <w:tabs>
          <w:tab w:leader="none" w:pos="108" w:val="left"/>
        </w:tabs>
        <w:numPr>
          <w:ilvl w:val="0"/>
          <w:numId w:val="2"/>
        </w:numPr>
        <w:rPr>
          <w:rFonts w:ascii="Arial" w:cs="Arial" w:eastAsia="Arial" w:hAnsi="Arial"/>
          <w:sz w:val="25"/>
          <w:szCs w:val="25"/>
          <w:color w:val="auto"/>
          <w:vertAlign w:val="superscript"/>
        </w:rPr>
      </w:pPr>
      <w:r>
        <w:rPr>
          <w:rFonts w:ascii="Arial" w:cs="Arial" w:eastAsia="Arial" w:hAnsi="Arial"/>
          <w:sz w:val="14"/>
          <w:szCs w:val="14"/>
          <w:color w:val="auto"/>
        </w:rPr>
        <w:t>On April 17, 2020, the New York Stock Exchange (the “NYSE”) filed a Form 25 (the “Form 25”) with the Securities and Exchange Commission delisting our ordinary shares from trading on the NYSE, which delisting became effective 10 days after the filing of the Form 25. In accordance with Rule 12d2-2 of the Securities Exchange Act of 1934, as amended (the “Exchange Act”), the de-registration of our ordinary shares under Section 12(b) of the Exchange Act will become effective 90 days from the date of the Form 25 filing.</w:t>
      </w:r>
    </w:p>
    <w:p>
      <w:pPr>
        <w:sectPr>
          <w:pgSz w:w="11900" w:h="16838" w:orient="portrait"/>
          <w:cols w:equalWidth="0" w:num="1">
            <w:col w:w="11240"/>
          </w:cols>
          <w:pgMar w:left="320" w:top="922" w:right="339" w:bottom="1440" w:gutter="0" w:footer="0" w:header="0"/>
        </w:sectPr>
      </w:pPr>
    </w:p>
    <w:bookmarkStart w:id="1" w:name="page2"/>
    <w:bookmarkEnd w:id="1"/>
    <w:p>
      <w:pPr>
        <w:ind w:left="40"/>
        <w:spacing w:after="0"/>
        <w:tabs>
          <w:tab w:leader="none" w:pos="16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11, 2020, Weatherford International plc (“we” or the “Company”) issued a news release announcing results for the first quarter ended March 31, 2020. A copy of the news release is furnished as Exhibit 99.1 and incorporated into this Item 2.02.</w:t>
      </w:r>
    </w:p>
    <w:p>
      <w:pPr>
        <w:spacing w:after="0" w:line="328"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11, 2020, we issued a news release announcing results for the Company’s first quarter ended March 31, 2020. A copy of the news release is furnished as Exhibit 99.1 and incorporated into this Item 7.01.</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9.01</w:t>
            </w:r>
          </w:p>
        </w:tc>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5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w:t>
            </w:r>
          </w:p>
        </w:tc>
        <w:tc>
          <w:tcPr>
            <w:tcW w:w="966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689"/>
        </w:trPr>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Exhibit Number</w:t>
            </w:r>
          </w:p>
        </w:tc>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jc w:val="center"/>
              <w:ind w:right="47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10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News Release dated May 11, 2020, announcing results for the first quarter ended March 31, 2020.</w:t>
            </w:r>
          </w:p>
        </w:tc>
      </w:tr>
      <w:tr>
        <w:trPr>
          <w:trHeight w:val="270"/>
        </w:trPr>
        <w:tc>
          <w:tcPr>
            <w:tcW w:w="148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ectPr>
          <w:pgSz w:w="11900" w:h="16838" w:orient="portrait"/>
          <w:cols w:equalWidth="0" w:num="1">
            <w:col w:w="11240"/>
          </w:cols>
          <w:pgMar w:left="320" w:top="71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2020</w:t>
      </w:r>
    </w:p>
    <w:p>
      <w:pPr>
        <w:spacing w:after="0" w:line="6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/s/ Christian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3831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57"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Christian A. Garcia</w:t>
      </w:r>
    </w:p>
    <w:p>
      <w:pPr>
        <w:spacing w:after="0" w:line="6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55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283210</wp:posOffset>
            </wp:positionV>
            <wp:extent cx="1903095"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120"/>
        <w:spacing w:after="0"/>
        <w:rPr>
          <w:sz w:val="20"/>
          <w:szCs w:val="20"/>
          <w:color w:val="auto"/>
        </w:rPr>
      </w:pPr>
      <w:r>
        <w:rPr>
          <w:rFonts w:ascii="Arial" w:cs="Arial" w:eastAsia="Arial" w:hAnsi="Arial"/>
          <w:sz w:val="16"/>
          <w:szCs w:val="16"/>
          <w:b w:val="1"/>
          <w:bCs w:val="1"/>
          <w:color w:val="auto"/>
        </w:rPr>
        <w:t>News Release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Announces First Quarter 2020 Results</w:t>
      </w:r>
    </w:p>
    <w:p>
      <w:pPr>
        <w:spacing w:after="0" w:line="200" w:lineRule="exact"/>
        <w:rPr>
          <w:sz w:val="20"/>
          <w:szCs w:val="20"/>
          <w:color w:val="auto"/>
        </w:rPr>
      </w:pPr>
    </w:p>
    <w:p>
      <w:pPr>
        <w:spacing w:after="0" w:line="269" w:lineRule="exact"/>
        <w:rPr>
          <w:sz w:val="20"/>
          <w:szCs w:val="20"/>
          <w:color w:val="auto"/>
        </w:rPr>
      </w:pPr>
    </w:p>
    <w:p>
      <w:pPr>
        <w:jc w:val="both"/>
        <w:spacing w:after="0" w:line="363" w:lineRule="auto"/>
        <w:rPr>
          <w:sz w:val="20"/>
          <w:szCs w:val="20"/>
          <w:color w:val="auto"/>
        </w:rPr>
      </w:pPr>
      <w:r>
        <w:rPr>
          <w:rFonts w:ascii="Arial" w:cs="Arial" w:eastAsia="Arial" w:hAnsi="Arial"/>
          <w:sz w:val="20"/>
          <w:szCs w:val="20"/>
          <w:b w:val="1"/>
          <w:bCs w:val="1"/>
          <w:color w:val="auto"/>
        </w:rPr>
        <w:t xml:space="preserve">Houston, May 11, 2020 – </w:t>
      </w:r>
      <w:r>
        <w:rPr>
          <w:rFonts w:ascii="Arial" w:cs="Arial" w:eastAsia="Arial" w:hAnsi="Arial"/>
          <w:sz w:val="20"/>
          <w:szCs w:val="20"/>
          <w:color w:val="auto"/>
        </w:rPr>
        <w:t>Weatherford International plc (“Weatherford” or the “Company”) announced today its results for the first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of 2020.</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Note: Upon completing its financial restructuring in late 2019, the Company adopted fresh-start accounting resulting in Weatherford becoming a new entity for accounting and financial reporting purposes. As required by GAAP, results up to December 13, 2019 are presented separately as the predecessor period (the “Predecessor” period) and results from December 14, 2019 and onwards are presented as the successor period (the “Successor” period). The results from these Predecessor and Successor periods are not comparable. Nevertheless, for discussion purposes herein the Company has presented the results of the Predecessor and Successor periods and, for the fourth quarter of 2019, has combined the Predecessor and Successor results as a non-GAAP measure (the “combined” results), as we believe this provides the most meaningful basis to analyze our results.</w:t>
      </w:r>
    </w:p>
    <w:p>
      <w:pPr>
        <w:spacing w:after="0" w:line="147" w:lineRule="exact"/>
        <w:rPr>
          <w:sz w:val="20"/>
          <w:szCs w:val="20"/>
          <w:color w:val="auto"/>
        </w:rPr>
      </w:pPr>
    </w:p>
    <w:p>
      <w:pPr>
        <w:jc w:val="both"/>
        <w:spacing w:after="0" w:line="399" w:lineRule="auto"/>
        <w:rPr>
          <w:sz w:val="20"/>
          <w:szCs w:val="20"/>
          <w:color w:val="auto"/>
        </w:rPr>
      </w:pPr>
      <w:r>
        <w:rPr>
          <w:rFonts w:ascii="Arial" w:cs="Arial" w:eastAsia="Arial" w:hAnsi="Arial"/>
          <w:sz w:val="18"/>
          <w:szCs w:val="18"/>
          <w:color w:val="auto"/>
        </w:rPr>
        <w:t>On a GAAP basis, revenues for the first quarter of 2020 were $1.2 billion, a decline of 2% sequentially and 10% year-on-year. Reported operating loss was $822 million in the first quarter of 2020 compared to a combined operating loss of $315 million in the fourth quarter of 2019 and a loss of $301 million in the first quarter of 2019. The Company’s first quarter 2020 net loss was $966 million, compared to a combined net income of $5.3 billion in the fourth quarter of 2019 and a net loss of $481 million in the first quarter of 2019. The combined fourth quarter 2019 period included a net reorganization gain of $5.7 billion. First quarter of 2020 cash flows from operations were $30 million and capital expenditures were $38 million. Weatherford had cash and cash equivalents of $670 million and over $235 million of availability under its senior secured asset-based revolving credit agreement (the “ABL Facility”) as of March 31, 2020.</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On a non-GAAP basis:</w:t>
      </w:r>
    </w:p>
    <w:p>
      <w:pPr>
        <w:spacing w:after="0" w:line="21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Revenues of $1.2 billion declined 2% sequentially and 7% year-on-year (excluding divestitures) </w:t>
      </w:r>
      <w:r>
        <w:rPr>
          <w:rFonts w:ascii="Arial" w:cs="Arial" w:eastAsia="Arial" w:hAnsi="Arial"/>
          <w:sz w:val="25"/>
          <w:szCs w:val="25"/>
          <w:color w:val="auto"/>
          <w:vertAlign w:val="superscript"/>
        </w:rPr>
        <w:t>[1]</w:t>
      </w:r>
    </w:p>
    <w:p>
      <w:pPr>
        <w:spacing w:after="0" w:line="104"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International revenues declined 1% sequentially and grew 2% year-on-year </w:t>
      </w:r>
      <w:r>
        <w:rPr>
          <w:rFonts w:ascii="Arial" w:cs="Arial" w:eastAsia="Arial" w:hAnsi="Arial"/>
          <w:sz w:val="25"/>
          <w:szCs w:val="25"/>
          <w:color w:val="auto"/>
          <w:vertAlign w:val="superscript"/>
        </w:rPr>
        <w:t>[1]</w:t>
      </w:r>
    </w:p>
    <w:p>
      <w:pPr>
        <w:spacing w:after="0" w:line="104"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North American revenues declined 4% sequentially and 23% year-on-year </w:t>
      </w:r>
      <w:r>
        <w:rPr>
          <w:rFonts w:ascii="Arial" w:cs="Arial" w:eastAsia="Arial" w:hAnsi="Arial"/>
          <w:sz w:val="25"/>
          <w:szCs w:val="25"/>
          <w:color w:val="auto"/>
          <w:vertAlign w:val="superscript"/>
        </w:rPr>
        <w:t>[1]</w:t>
      </w:r>
    </w:p>
    <w:p>
      <w:pPr>
        <w:spacing w:after="0" w:line="104" w:lineRule="exact"/>
        <w:rPr>
          <w:rFonts w:ascii="Arial" w:cs="Arial" w:eastAsia="Arial" w:hAnsi="Arial"/>
          <w:sz w:val="20"/>
          <w:szCs w:val="20"/>
          <w:color w:val="auto"/>
        </w:rPr>
      </w:pPr>
    </w:p>
    <w:p>
      <w:pPr>
        <w:ind w:left="660" w:right="20" w:hanging="328"/>
        <w:spacing w:after="0" w:line="338"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Adjusted EBITDA </w:t>
      </w:r>
      <w:r>
        <w:rPr>
          <w:rFonts w:ascii="Arial" w:cs="Arial" w:eastAsia="Arial" w:hAnsi="Arial"/>
          <w:sz w:val="25"/>
          <w:szCs w:val="25"/>
          <w:color w:val="auto"/>
          <w:vertAlign w:val="superscript"/>
        </w:rPr>
        <w:t>[2][3]</w:t>
      </w:r>
      <w:r>
        <w:rPr>
          <w:rFonts w:ascii="Arial" w:cs="Arial" w:eastAsia="Arial" w:hAnsi="Arial"/>
          <w:sz w:val="20"/>
          <w:szCs w:val="20"/>
          <w:color w:val="auto"/>
        </w:rPr>
        <w:t xml:space="preserve"> of $178 million grew by 15% sequentially and 39% year-on-year and associated margins of 15% increased 221 basis points sequentially and 514 basis points year-on-year</w:t>
      </w:r>
    </w:p>
    <w:p>
      <w:pPr>
        <w:jc w:val="both"/>
        <w:ind w:left="660" w:hanging="328"/>
        <w:spacing w:after="0" w:line="346"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Free cash flow of negative $2 million </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improved $94 million sequentially and $280 million year-on-year, despite being burdened by approximately $75 million of cash outflows associated with our financial restructuring and prior period corporate development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5" w:right="339" w:bottom="1440" w:gutter="0" w:footer="0" w:header="0"/>
        </w:sectPr>
      </w:pPr>
    </w:p>
    <w:bookmarkStart w:id="4" w:name="page5"/>
    <w:bookmarkEnd w:id="4"/>
    <w:p>
      <w:pPr>
        <w:jc w:val="both"/>
        <w:spacing w:after="0" w:line="362" w:lineRule="auto"/>
        <w:rPr>
          <w:sz w:val="20"/>
          <w:szCs w:val="20"/>
          <w:color w:val="auto"/>
        </w:rPr>
      </w:pPr>
      <w:r>
        <w:rPr>
          <w:rFonts w:ascii="Arial" w:cs="Arial" w:eastAsia="Arial" w:hAnsi="Arial"/>
          <w:sz w:val="20"/>
          <w:szCs w:val="20"/>
          <w:color w:val="auto"/>
        </w:rPr>
        <w:t>Mark A. McCollum, President and Chief Executive Officer, commented, “I am encouraged by Weatherford’s operating improvements as evidenced by our results during the first quarter of 2020, despite a challenging operating environment that continued to deteriorate as the quarter progressed.</w:t>
      </w:r>
    </w:p>
    <w:p>
      <w:pPr>
        <w:spacing w:after="0" w:line="134"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 xml:space="preserve">“Notwithstanding these challenges, the Company’s revenues increased in certain key markets and adjusted EBITDA and adjusted EBITDA margin increased meaningfully, on both a sequential and on a year-on-year basis. Our international business, which comprised over 70% of our first-quarter 2020 revenues, grew 2% year-on-year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with growth across the Middle East, Russia and Asia. In North America, first-quarter 2020 revenues declined 23% year-on-year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consistent with activity reductions in the United States and Canada.</w:t>
      </w:r>
    </w:p>
    <w:p>
      <w:pPr>
        <w:spacing w:after="0" w:line="90"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“Adjusted EBITDA grew 15% sequentially during the first quarter of 2020 and 39% year-on-year, due to a combination of swift actions to reduce costs, favorable revenue mix and improved operating performance.</w:t>
      </w:r>
    </w:p>
    <w:p>
      <w:pPr>
        <w:spacing w:after="0" w:line="122"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“Perhaps most importantly, Weatherford was free cash flow neutral during the quarter, an improvement of approximately $280 million year-on-year, despite being burdened by approximately $75 million of cash outflows that carried over from our financial restructuring and prior period corporate development activities.</w:t>
      </w:r>
    </w:p>
    <w:p>
      <w:pPr>
        <w:spacing w:after="0" w:line="134"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“Our performance during the quarter is noteworthy, as the COVID-19 pandemic and actions by certain producing nations caused commodity prices to decline precipitously and created a number of internal and external operating challenges. I am proud of how quickly our organization adapted and I would like to extend my gratitude to the many members of our team working in the field and at our manufacturing sites. We are focused on the safety of our employees and their families and will continue to implement policies in-line with guidance from the World Health Organization and Centers for Disease Control and Prevention to protect our employees while continuing to serve the needs of our customers.</w:t>
      </w:r>
    </w:p>
    <w:p>
      <w:pPr>
        <w:spacing w:after="0" w:line="140" w:lineRule="exact"/>
        <w:rPr>
          <w:sz w:val="20"/>
          <w:szCs w:val="20"/>
          <w:color w:val="auto"/>
        </w:rPr>
      </w:pPr>
    </w:p>
    <w:p>
      <w:pPr>
        <w:jc w:val="both"/>
        <w:spacing w:after="0" w:line="357" w:lineRule="auto"/>
        <w:rPr>
          <w:sz w:val="20"/>
          <w:szCs w:val="20"/>
          <w:color w:val="auto"/>
        </w:rPr>
      </w:pPr>
      <w:r>
        <w:rPr>
          <w:rFonts w:ascii="Arial" w:cs="Arial" w:eastAsia="Arial" w:hAnsi="Arial"/>
          <w:sz w:val="20"/>
          <w:szCs w:val="20"/>
          <w:color w:val="auto"/>
        </w:rPr>
        <w:t>“As we look ahead to the second quarter of 2020, we are seeing a significant acceleration of the disruptions associated with the COVID-19 pandemic and global storage for crude oil will likely reach full capacity, further pressuring crude pricing and forcing producers to shut-in a significant amount of production globally. These factors are expected to continue to have an unprecedented impact on global oil and gas activity. Moreover, once supply and demand dynamics rebalance, it is unclear when a stable oil market will return, as record crude inventories will likely dampen the pace of any recovery.</w:t>
      </w:r>
    </w:p>
    <w:p>
      <w:pPr>
        <w:spacing w:after="0" w:line="139"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“We currently expect there to be a multi-year dislocation across the industry, with the quickest and deepest impacts in North America, followed by certain international markets such as Europe, Latin America and Sub Saharan Africa.</w:t>
      </w:r>
    </w:p>
    <w:p>
      <w:pPr>
        <w:spacing w:after="0" w:line="122" w:lineRule="exact"/>
        <w:rPr>
          <w:sz w:val="20"/>
          <w:szCs w:val="20"/>
          <w:color w:val="auto"/>
        </w:rPr>
      </w:pPr>
    </w:p>
    <w:p>
      <w:pPr>
        <w:jc w:val="both"/>
        <w:spacing w:after="0" w:line="416" w:lineRule="auto"/>
        <w:rPr>
          <w:sz w:val="20"/>
          <w:szCs w:val="20"/>
          <w:color w:val="auto"/>
        </w:rPr>
      </w:pPr>
      <w:r>
        <w:rPr>
          <w:rFonts w:ascii="Arial" w:cs="Arial" w:eastAsia="Arial" w:hAnsi="Arial"/>
          <w:sz w:val="18"/>
          <w:szCs w:val="18"/>
          <w:color w:val="auto"/>
        </w:rPr>
        <w:t>“Against this outlook, we have more than doubled the cost savings actions that were underway going into 2020 and we will continue to adjust as required by market conditions. We are implementing a combination of structural reductions, headcount and pay reductions, furloughs, facility closures, capital expenditure reductions, and have consolidated our geographic, product line and support organizations.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22" w:right="339" w:bottom="1440" w:gutter="0" w:footer="0" w:header="0"/>
        </w:sectPr>
      </w:pPr>
    </w:p>
    <w:bookmarkStart w:id="5" w:name="page6"/>
    <w:bookmarkEnd w:id="5"/>
    <w:p>
      <w:pPr>
        <w:jc w:val="both"/>
        <w:spacing w:after="0" w:line="405" w:lineRule="auto"/>
        <w:rPr>
          <w:sz w:val="20"/>
          <w:szCs w:val="20"/>
          <w:color w:val="auto"/>
        </w:rPr>
      </w:pPr>
      <w:r>
        <w:rPr>
          <w:rFonts w:ascii="Arial" w:cs="Arial" w:eastAsia="Arial" w:hAnsi="Arial"/>
          <w:sz w:val="19"/>
          <w:szCs w:val="19"/>
          <w:color w:val="auto"/>
        </w:rPr>
        <w:t>“Weatherford’s available liquidity increased to over $905 million at the end of the quarter, as neutral free cash flow was bolstered by a reduction in restricted cash. However, in the current operating environment it is critical that we address our capital structure.”</w:t>
      </w:r>
    </w:p>
    <w:p>
      <w:pPr>
        <w:spacing w:after="0" w:line="377"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Liquidity</w:t>
      </w:r>
    </w:p>
    <w:p>
      <w:pPr>
        <w:spacing w:after="0" w:line="200" w:lineRule="exact"/>
        <w:rPr>
          <w:sz w:val="20"/>
          <w:szCs w:val="20"/>
          <w:color w:val="auto"/>
        </w:rPr>
      </w:pPr>
    </w:p>
    <w:p>
      <w:pPr>
        <w:spacing w:after="0" w:line="207"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The Company had over $905 million of available liquidity on March 31, 2020, comprised of cash and cash equivalents of $670 million and approximately $235 million available under its ABL Facility. As of March 31, 2020, Weatherford was fully compliant with the financial covenants under the ABL Facility and its senior secured letter of credit agreement.</w:t>
      </w:r>
    </w:p>
    <w:p>
      <w:pPr>
        <w:spacing w:after="0" w:line="134" w:lineRule="exact"/>
        <w:rPr>
          <w:sz w:val="20"/>
          <w:szCs w:val="20"/>
          <w:color w:val="auto"/>
        </w:rPr>
      </w:pPr>
    </w:p>
    <w:p>
      <w:pPr>
        <w:ind w:right="100"/>
        <w:spacing w:after="0" w:line="362" w:lineRule="auto"/>
        <w:rPr>
          <w:sz w:val="20"/>
          <w:szCs w:val="20"/>
          <w:color w:val="auto"/>
        </w:rPr>
      </w:pPr>
      <w:r>
        <w:rPr>
          <w:rFonts w:ascii="Arial" w:cs="Arial" w:eastAsia="Arial" w:hAnsi="Arial"/>
          <w:sz w:val="20"/>
          <w:szCs w:val="20"/>
          <w:color w:val="auto"/>
        </w:rPr>
        <w:t>However, as a result of the weak industry environment due to the COVID-19 pandemic, lower demand for hydrocarbons and activity declines, Weatherford is currently evaluating various alternatives to address the level of the Company’s debt service and expected reductions in borrowing capacity under the ABL Facility.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Impairment and Restructuring Charges</w:t>
      </w:r>
    </w:p>
    <w:p>
      <w:pPr>
        <w:spacing w:after="0" w:line="200" w:lineRule="exact"/>
        <w:rPr>
          <w:sz w:val="20"/>
          <w:szCs w:val="20"/>
          <w:color w:val="auto"/>
        </w:rPr>
      </w:pPr>
    </w:p>
    <w:p>
      <w:pPr>
        <w:spacing w:after="0" w:line="207" w:lineRule="exact"/>
        <w:rPr>
          <w:sz w:val="20"/>
          <w:szCs w:val="20"/>
          <w:color w:val="auto"/>
        </w:rPr>
      </w:pPr>
    </w:p>
    <w:p>
      <w:pPr>
        <w:jc w:val="both"/>
        <w:spacing w:after="0" w:line="382" w:lineRule="auto"/>
        <w:rPr>
          <w:sz w:val="20"/>
          <w:szCs w:val="20"/>
          <w:color w:val="auto"/>
        </w:rPr>
      </w:pPr>
      <w:r>
        <w:rPr>
          <w:rFonts w:ascii="Arial" w:cs="Arial" w:eastAsia="Arial" w:hAnsi="Arial"/>
          <w:sz w:val="19"/>
          <w:szCs w:val="19"/>
          <w:color w:val="auto"/>
        </w:rPr>
        <w:t>In accordance with accounting guidelines, the Company is required to assess its goodwill, tangible and other intangible assets for impairment if events or changes in circumstances indicate the carrying value of the assets may not be recovered. Due to the challenging industry environment, management determined that impairment indicators existed and conducted an assessment resulting in impairment charges of $807 million during the first quarter of 2020. The charges are broken down as follows:</w:t>
      </w:r>
    </w:p>
    <w:p>
      <w:pPr>
        <w:spacing w:after="0" w:line="1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Goodwill: $167 million</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Other intangible assets: $137 million</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Right of use assets: $73 million</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Property, plant, and equipment: $430 million</w:t>
      </w:r>
    </w:p>
    <w:p>
      <w:pPr>
        <w:spacing w:after="0" w:line="108" w:lineRule="exact"/>
        <w:rPr>
          <w:sz w:val="20"/>
          <w:szCs w:val="20"/>
          <w:color w:val="auto"/>
        </w:rPr>
      </w:pPr>
    </w:p>
    <w:p>
      <w:pPr>
        <w:spacing w:after="0" w:line="373" w:lineRule="auto"/>
        <w:rPr>
          <w:sz w:val="20"/>
          <w:szCs w:val="20"/>
          <w:color w:val="auto"/>
        </w:rPr>
      </w:pPr>
      <w:r>
        <w:rPr>
          <w:rFonts w:ascii="Arial" w:cs="Arial" w:eastAsia="Arial" w:hAnsi="Arial"/>
          <w:sz w:val="20"/>
          <w:szCs w:val="20"/>
          <w:color w:val="auto"/>
        </w:rPr>
        <w:t>In addition, Weatherford recorded pre-tax restructuring charges of $26 million related to the Company’s headcount reductions, facility consolidation, and other activities.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1"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Excludes the impact of Land Drilling Rigs and the Surface Logging Systems and Labs divestitures completed in 2019.</w:t>
      </w:r>
    </w:p>
    <w:p>
      <w:pPr>
        <w:spacing w:after="0" w:line="151" w:lineRule="exact"/>
        <w:rPr>
          <w:rFonts w:ascii="Arial" w:cs="Arial" w:eastAsia="Arial" w:hAnsi="Arial"/>
          <w:sz w:val="9"/>
          <w:szCs w:val="9"/>
          <w:color w:val="auto"/>
        </w:rPr>
      </w:pPr>
    </w:p>
    <w:p>
      <w:pPr>
        <w:jc w:val="both"/>
        <w:ind w:firstLine="8"/>
        <w:spacing w:after="0" w:line="286" w:lineRule="auto"/>
        <w:tabs>
          <w:tab w:leader="none" w:pos="141" w:val="left"/>
        </w:tabs>
        <w:numPr>
          <w:ilvl w:val="0"/>
          <w:numId w:val="5"/>
        </w:numPr>
        <w:rPr>
          <w:rFonts w:ascii="Arial" w:cs="Arial" w:eastAsia="Arial" w:hAnsi="Arial"/>
          <w:sz w:val="8"/>
          <w:szCs w:val="8"/>
          <w:color w:val="auto"/>
        </w:rPr>
      </w:pPr>
      <w:r>
        <w:rPr>
          <w:rFonts w:ascii="Arial" w:cs="Arial" w:eastAsia="Arial" w:hAnsi="Arial"/>
          <w:sz w:val="13"/>
          <w:szCs w:val="13"/>
          <w:color w:val="auto"/>
        </w:rPr>
        <w:t>Adjusted EBITDA excludes, among other items, impairments on goodwill and long-lived assets. Free cash flow is calculated as cash flows provided by (used in) operating activities, less capital expenditures plus proceeds from disposition of assets. Net debt is calculated as total short- and long-term debt less cash and cash equivalents and restricted cash. Adjusted EBITDA, free cash flow and net debt are non-GAAP measures. Each measure is defined and reconciled to the most directly comparable GAAP measure in the tables below.</w:t>
      </w:r>
    </w:p>
    <w:p>
      <w:pPr>
        <w:spacing w:after="0" w:line="113" w:lineRule="exact"/>
        <w:rPr>
          <w:rFonts w:ascii="Arial" w:cs="Arial" w:eastAsia="Arial" w:hAnsi="Arial"/>
          <w:sz w:val="8"/>
          <w:szCs w:val="8"/>
          <w:color w:val="auto"/>
        </w:rPr>
      </w:pPr>
    </w:p>
    <w:p>
      <w:pPr>
        <w:ind w:firstLine="8"/>
        <w:spacing w:after="0" w:line="273" w:lineRule="auto"/>
        <w:tabs>
          <w:tab w:leader="none" w:pos="158" w:val="left"/>
        </w:tabs>
        <w:numPr>
          <w:ilvl w:val="0"/>
          <w:numId w:val="5"/>
        </w:numPr>
        <w:rPr>
          <w:rFonts w:ascii="Arial" w:cs="Arial" w:eastAsia="Arial" w:hAnsi="Arial"/>
          <w:sz w:val="9"/>
          <w:szCs w:val="9"/>
          <w:color w:val="auto"/>
        </w:rPr>
      </w:pPr>
      <w:r>
        <w:rPr>
          <w:rFonts w:ascii="Arial" w:cs="Arial" w:eastAsia="Arial" w:hAnsi="Arial"/>
          <w:sz w:val="14"/>
          <w:szCs w:val="14"/>
          <w:color w:val="auto"/>
        </w:rPr>
        <w:t>In the first quarter of 2020 the Company began reporting adjusted EBITDA excluding the burden of stock-based compensation. Additional detail for the current and historical periods is provided in the tables below.</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93"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Operating Segments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Western Hemisphere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229870</wp:posOffset>
            </wp:positionV>
            <wp:extent cx="6557645" cy="1885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1885950"/>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p>
      <w:pPr>
        <w:spacing w:after="0" w:line="371"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Successor</w:t>
            </w:r>
          </w:p>
        </w:tc>
        <w:tc>
          <w:tcPr>
            <w:tcW w:w="160" w:type="dxa"/>
            <w:vAlign w:val="bottom"/>
          </w:tcPr>
          <w:p>
            <w:pPr>
              <w:spacing w:after="0"/>
              <w:rPr>
                <w:sz w:val="20"/>
                <w:szCs w:val="20"/>
                <w:color w:val="auto"/>
              </w:rPr>
            </w:pPr>
          </w:p>
        </w:tc>
        <w:tc>
          <w:tcPr>
            <w:tcW w:w="1220" w:type="dxa"/>
            <w:vAlign w:val="bottom"/>
          </w:tcPr>
          <w:p>
            <w:pPr>
              <w:jc w:val="center"/>
              <w:ind w:right="91"/>
              <w:spacing w:after="0"/>
              <w:rPr>
                <w:sz w:val="20"/>
                <w:szCs w:val="20"/>
                <w:color w:val="auto"/>
              </w:rPr>
            </w:pPr>
            <w:r>
              <w:rPr>
                <w:rFonts w:ascii="Arial" w:cs="Arial" w:eastAsia="Arial" w:hAnsi="Arial"/>
                <w:sz w:val="18"/>
                <w:szCs w:val="18"/>
                <w:b w:val="1"/>
                <w:bCs w:val="1"/>
                <w:color w:val="auto"/>
                <w:w w:val="83"/>
              </w:rPr>
              <w:t>Successor</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1220" w:type="dxa"/>
            <w:vAlign w:val="bottom"/>
          </w:tcPr>
          <w:p>
            <w:pPr>
              <w:jc w:val="center"/>
              <w:ind w:right="71"/>
              <w:spacing w:after="0"/>
              <w:rPr>
                <w:sz w:val="20"/>
                <w:szCs w:val="20"/>
                <w:color w:val="auto"/>
              </w:rPr>
            </w:pPr>
            <w:r>
              <w:rPr>
                <w:rFonts w:ascii="Arial" w:cs="Arial" w:eastAsia="Arial" w:hAnsi="Arial"/>
                <w:sz w:val="18"/>
                <w:szCs w:val="18"/>
                <w:b w:val="1"/>
                <w:bCs w:val="1"/>
                <w:color w:val="auto"/>
                <w:w w:val="92"/>
              </w:rPr>
              <w:t>Period From</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23"/>
                <w:szCs w:val="23"/>
                <w:color w:val="auto"/>
              </w:rPr>
            </w:pPr>
          </w:p>
        </w:tc>
        <w:tc>
          <w:tcPr>
            <w:tcW w:w="1220" w:type="dxa"/>
            <w:vAlign w:val="bottom"/>
          </w:tcPr>
          <w:p>
            <w:pPr>
              <w:jc w:val="center"/>
              <w:ind w:right="91"/>
              <w:spacing w:after="0"/>
              <w:rPr>
                <w:sz w:val="20"/>
                <w:szCs w:val="20"/>
                <w:color w:val="auto"/>
              </w:rPr>
            </w:pPr>
            <w:r>
              <w:rPr>
                <w:rFonts w:ascii="Arial" w:cs="Arial" w:eastAsia="Arial" w:hAnsi="Arial"/>
                <w:sz w:val="18"/>
                <w:szCs w:val="18"/>
                <w:b w:val="1"/>
                <w:bCs w:val="1"/>
                <w:color w:val="auto"/>
                <w:w w:val="91"/>
              </w:rPr>
              <w:t>12/14/19 to</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3"/>
                <w:szCs w:val="23"/>
                <w:color w:val="auto"/>
              </w:rPr>
            </w:pPr>
          </w:p>
        </w:tc>
        <w:tc>
          <w:tcPr>
            <w:tcW w:w="1160" w:type="dxa"/>
            <w:vAlign w:val="bottom"/>
          </w:tcPr>
          <w:p>
            <w:pPr>
              <w:jc w:val="center"/>
              <w:ind w:right="151"/>
              <w:spacing w:after="0"/>
              <w:rPr>
                <w:sz w:val="20"/>
                <w:szCs w:val="20"/>
                <w:color w:val="auto"/>
              </w:rPr>
            </w:pPr>
            <w:r>
              <w:rPr>
                <w:rFonts w:ascii="Arial" w:cs="Arial" w:eastAsia="Arial" w:hAnsi="Arial"/>
                <w:sz w:val="18"/>
                <w:szCs w:val="18"/>
                <w:b w:val="1"/>
                <w:bCs w:val="1"/>
                <w:color w:val="auto"/>
                <w:w w:val="93"/>
              </w:rPr>
              <w:t>3/31/20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center"/>
              <w:ind w:right="91"/>
              <w:spacing w:after="0"/>
              <w:rPr>
                <w:sz w:val="20"/>
                <w:szCs w:val="20"/>
                <w:color w:val="auto"/>
              </w:rPr>
            </w:pPr>
            <w:r>
              <w:rPr>
                <w:rFonts w:ascii="Arial" w:cs="Arial" w:eastAsia="Arial" w:hAnsi="Arial"/>
                <w:sz w:val="18"/>
                <w:szCs w:val="18"/>
                <w:b w:val="1"/>
                <w:bCs w:val="1"/>
                <w:color w:val="auto"/>
                <w:w w:val="91"/>
              </w:rPr>
              <w:t>12/31/19</w:t>
            </w:r>
          </w:p>
        </w:tc>
        <w:tc>
          <w:tcPr>
            <w:tcW w:w="0" w:type="dxa"/>
            <w:vAlign w:val="bottom"/>
          </w:tcPr>
          <w:p>
            <w:pPr>
              <w:spacing w:after="0"/>
              <w:rPr>
                <w:sz w:val="1"/>
                <w:szCs w:val="1"/>
                <w:color w:val="auto"/>
              </w:rPr>
            </w:pPr>
          </w:p>
        </w:tc>
      </w:tr>
      <w:tr>
        <w:trPr>
          <w:trHeight w:val="27"/>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286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500"/>
        </w:trPr>
        <w:tc>
          <w:tcPr>
            <w:tcW w:w="2860" w:type="dxa"/>
            <w:vAlign w:val="bottom"/>
          </w:tcPr>
          <w:p>
            <w:pPr>
              <w:spacing w:after="0"/>
              <w:rPr>
                <w:sz w:val="20"/>
                <w:szCs w:val="20"/>
                <w:color w:val="auto"/>
              </w:rPr>
            </w:pPr>
            <w:r>
              <w:rPr>
                <w:rFonts w:ascii="Arial" w:cs="Arial" w:eastAsia="Arial" w:hAnsi="Arial"/>
                <w:sz w:val="18"/>
                <w:szCs w:val="18"/>
                <w:color w:val="auto"/>
              </w:rPr>
              <w:t>Adjusted Segment 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86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91"/>
              <w:spacing w:after="0"/>
              <w:rPr>
                <w:sz w:val="20"/>
                <w:szCs w:val="20"/>
                <w:color w:val="auto"/>
              </w:rPr>
            </w:pPr>
            <w:r>
              <w:rPr>
                <w:rFonts w:ascii="Arial" w:cs="Arial" w:eastAsia="Arial" w:hAnsi="Arial"/>
                <w:sz w:val="18"/>
                <w:szCs w:val="18"/>
                <w:b w:val="1"/>
                <w:bCs w:val="1"/>
                <w:color w:val="auto"/>
                <w:w w:val="85"/>
              </w:rPr>
              <w:t>Predecessor</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Non-GAAP</w:t>
            </w:r>
          </w:p>
        </w:tc>
        <w:tc>
          <w:tcPr>
            <w:tcW w:w="180" w:type="dxa"/>
            <w:vAlign w:val="bottom"/>
          </w:tcPr>
          <w:p>
            <w:pPr>
              <w:spacing w:after="0"/>
              <w:rPr>
                <w:sz w:val="20"/>
                <w:szCs w:val="20"/>
                <w:color w:val="auto"/>
              </w:rPr>
            </w:pPr>
          </w:p>
        </w:tc>
        <w:tc>
          <w:tcPr>
            <w:tcW w:w="1220" w:type="dxa"/>
            <w:vAlign w:val="bottom"/>
          </w:tcPr>
          <w:p>
            <w:pPr>
              <w:jc w:val="center"/>
              <w:ind w:right="111"/>
              <w:spacing w:after="0"/>
              <w:rPr>
                <w:sz w:val="20"/>
                <w:szCs w:val="20"/>
                <w:color w:val="auto"/>
              </w:rPr>
            </w:pPr>
            <w:r>
              <w:rPr>
                <w:rFonts w:ascii="Arial" w:cs="Arial" w:eastAsia="Arial" w:hAnsi="Arial"/>
                <w:sz w:val="18"/>
                <w:szCs w:val="18"/>
                <w:b w:val="1"/>
                <w:bCs w:val="1"/>
                <w:color w:val="auto"/>
                <w:w w:val="95"/>
              </w:rPr>
              <w:t>Quarter</w:t>
            </w:r>
          </w:p>
        </w:tc>
      </w:tr>
      <w:tr>
        <w:trPr>
          <w:trHeight w:val="270"/>
        </w:trPr>
        <w:tc>
          <w:tcPr>
            <w:tcW w:w="160" w:type="dxa"/>
            <w:vAlign w:val="bottom"/>
          </w:tcPr>
          <w:p>
            <w:pPr>
              <w:spacing w:after="0"/>
              <w:rPr>
                <w:sz w:val="23"/>
                <w:szCs w:val="2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10/01/19 to</w:t>
            </w: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Combined</w:t>
            </w:r>
          </w:p>
        </w:tc>
        <w:tc>
          <w:tcPr>
            <w:tcW w:w="180" w:type="dxa"/>
            <w:vAlign w:val="bottom"/>
          </w:tcPr>
          <w:p>
            <w:pPr>
              <w:spacing w:after="0"/>
              <w:rPr>
                <w:sz w:val="23"/>
                <w:szCs w:val="23"/>
                <w:color w:val="auto"/>
              </w:rPr>
            </w:pPr>
          </w:p>
        </w:tc>
        <w:tc>
          <w:tcPr>
            <w:tcW w:w="1220" w:type="dxa"/>
            <w:vAlign w:val="bottom"/>
          </w:tcPr>
          <w:p>
            <w:pPr>
              <w:jc w:val="center"/>
              <w:ind w:right="111"/>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160" w:type="dxa"/>
            <w:vAlign w:val="bottom"/>
          </w:tcPr>
          <w:p>
            <w:pPr>
              <w:spacing w:after="0"/>
              <w:rPr>
                <w:sz w:val="23"/>
                <w:szCs w:val="23"/>
                <w:color w:val="auto"/>
              </w:rPr>
            </w:pPr>
          </w:p>
        </w:tc>
        <w:tc>
          <w:tcPr>
            <w:tcW w:w="1240" w:type="dxa"/>
            <w:vAlign w:val="bottom"/>
          </w:tcPr>
          <w:p>
            <w:pPr>
              <w:jc w:val="center"/>
              <w:ind w:right="111"/>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Results</w:t>
            </w:r>
          </w:p>
        </w:tc>
        <w:tc>
          <w:tcPr>
            <w:tcW w:w="180" w:type="dxa"/>
            <w:vAlign w:val="bottom"/>
          </w:tcPr>
          <w:p>
            <w:pPr>
              <w:spacing w:after="0"/>
              <w:rPr>
                <w:sz w:val="23"/>
                <w:szCs w:val="23"/>
                <w:color w:val="auto"/>
              </w:rPr>
            </w:pPr>
          </w:p>
        </w:tc>
        <w:tc>
          <w:tcPr>
            <w:tcW w:w="122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3/31/19</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456</w:t>
            </w:r>
          </w:p>
        </w:tc>
      </w:tr>
      <w:tr>
        <w:trPr>
          <w:trHeight w:val="270"/>
        </w:trPr>
        <w:tc>
          <w:tcPr>
            <w:tcW w:w="160" w:type="dxa"/>
            <w:vAlign w:val="bottom"/>
          </w:tcPr>
          <w:p>
            <w:pPr>
              <w:spacing w:after="0"/>
              <w:rPr>
                <w:sz w:val="23"/>
                <w:szCs w:val="23"/>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270</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726</w:t>
            </w:r>
          </w:p>
        </w:tc>
      </w:tr>
      <w:tr>
        <w:trPr>
          <w:trHeight w:val="500"/>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58</w:t>
            </w:r>
          </w:p>
        </w:tc>
      </w:tr>
      <w:tr>
        <w:trPr>
          <w:trHeight w:val="264"/>
        </w:trPr>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8%</w:t>
            </w:r>
          </w:p>
        </w:tc>
      </w:tr>
    </w:tbl>
    <w:p>
      <w:pPr>
        <w:spacing w:after="0" w:line="205" w:lineRule="exact"/>
        <w:rPr>
          <w:sz w:val="20"/>
          <w:szCs w:val="20"/>
          <w:color w:val="auto"/>
        </w:rPr>
      </w:pPr>
    </w:p>
    <w:p>
      <w:pPr>
        <w:sectPr>
          <w:pgSz w:w="11900" w:h="16838" w:orient="portrait"/>
          <w:cols w:equalWidth="0" w:num="2">
            <w:col w:w="6200" w:space="220"/>
            <w:col w:w="4820"/>
          </w:cols>
          <w:pgMar w:left="320" w:top="670" w:right="339" w:bottom="1440" w:gutter="0" w:footer="0" w:header="0"/>
          <w:type w:val="continuous"/>
        </w:sectPr>
      </w:pPr>
    </w:p>
    <w:p>
      <w:pPr>
        <w:spacing w:after="0" w:line="80"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 xml:space="preserve">First-quarter 2020 Western Hemisphere revenues of $588 million decreased 5% sequentially and 19% year-on-year. Excluding the impact of divestitures </w:t>
      </w:r>
      <w:r>
        <w:rPr>
          <w:rFonts w:ascii="Arial" w:cs="Arial" w:eastAsia="Arial" w:hAnsi="Arial"/>
          <w:sz w:val="23"/>
          <w:szCs w:val="23"/>
          <w:color w:val="auto"/>
          <w:vertAlign w:val="superscript"/>
        </w:rPr>
        <w:t>[1]</w:t>
      </w:r>
      <w:r>
        <w:rPr>
          <w:rFonts w:ascii="Arial" w:cs="Arial" w:eastAsia="Arial" w:hAnsi="Arial"/>
          <w:sz w:val="18"/>
          <w:szCs w:val="18"/>
          <w:color w:val="auto"/>
        </w:rPr>
        <w:t>, revenues declined 5% sequentially and 17% year-on-year. In North America, first-quarter 2020 revenues of $341 million declined 4% sequentially due to year-end product sales that did not repeat and lower drilling activity, which was partially offset by seasonal activity increases in Canada. First-quarter 2020 revenues of $247 million in Latin America declined 6% sequentially, driven primarily by the initial impacts of COVID-19-related activity reductions and year-end product sales that did not repeat.</w:t>
      </w:r>
    </w:p>
    <w:p>
      <w:pPr>
        <w:spacing w:after="0" w:line="133"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First-quarter 2020 adjusted segment EBITDA of $76 million increased $12 million sequentially and associated margins of 13% increased by 260 basis points versus the combined fourth quarter of 2019. The sequential growth in adjusted EBITDA, despite the decline in revenue, was driven by favorable product mix as well as fixed and variable cost reductions in North America.</w:t>
      </w:r>
    </w:p>
    <w:p>
      <w:pPr>
        <w:sectPr>
          <w:pgSz w:w="11900" w:h="16838" w:orient="portrait"/>
          <w:cols w:equalWidth="0" w:num="1">
            <w:col w:w="11240"/>
          </w:cols>
          <w:pgMar w:left="320" w:top="670" w:right="339" w:bottom="1440" w:gutter="0" w:footer="0" w:header="0"/>
          <w:type w:val="continuous"/>
        </w:sect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Eastern Hemisphere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229870</wp:posOffset>
            </wp:positionV>
            <wp:extent cx="6772275" cy="1885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1885950"/>
                    </a:xfrm>
                    <a:prstGeom prst="rect">
                      <a:avLst/>
                    </a:prstGeom>
                    <a:noFill/>
                  </pic:spPr>
                </pic:pic>
              </a:graphicData>
            </a:graphic>
          </wp:anchor>
        </w:drawing>
      </w:r>
    </w:p>
    <w:p>
      <w:pPr>
        <w:spacing w:after="0" w:line="35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71"/>
              <w:spacing w:after="0"/>
              <w:rPr>
                <w:sz w:val="20"/>
                <w:szCs w:val="20"/>
                <w:color w:val="auto"/>
              </w:rPr>
            </w:pPr>
            <w:r>
              <w:rPr>
                <w:rFonts w:ascii="Arial" w:cs="Arial" w:eastAsia="Arial" w:hAnsi="Arial"/>
                <w:sz w:val="18"/>
                <w:szCs w:val="18"/>
                <w:b w:val="1"/>
                <w:bCs w:val="1"/>
                <w:color w:val="auto"/>
                <w:w w:val="83"/>
              </w:rPr>
              <w:t>Successor</w:t>
            </w:r>
          </w:p>
        </w:tc>
        <w:tc>
          <w:tcPr>
            <w:tcW w:w="180" w:type="dxa"/>
            <w:vAlign w:val="bottom"/>
          </w:tcPr>
          <w:p>
            <w:pPr>
              <w:spacing w:after="0"/>
              <w:rPr>
                <w:sz w:val="20"/>
                <w:szCs w:val="20"/>
                <w:color w:val="auto"/>
              </w:rPr>
            </w:pPr>
          </w:p>
        </w:tc>
        <w:tc>
          <w:tcPr>
            <w:tcW w:w="1180" w:type="dxa"/>
            <w:vAlign w:val="bottom"/>
          </w:tcPr>
          <w:p>
            <w:pPr>
              <w:jc w:val="center"/>
              <w:ind w:right="51"/>
              <w:spacing w:after="0"/>
              <w:rPr>
                <w:sz w:val="20"/>
                <w:szCs w:val="20"/>
                <w:color w:val="auto"/>
              </w:rPr>
            </w:pPr>
            <w:r>
              <w:rPr>
                <w:rFonts w:ascii="Arial" w:cs="Arial" w:eastAsia="Arial" w:hAnsi="Arial"/>
                <w:sz w:val="18"/>
                <w:szCs w:val="18"/>
                <w:b w:val="1"/>
                <w:bCs w:val="1"/>
                <w:color w:val="auto"/>
                <w:w w:val="83"/>
              </w:rPr>
              <w:t>Successor</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171"/>
              <w:spacing w:after="0"/>
              <w:rPr>
                <w:sz w:val="20"/>
                <w:szCs w:val="20"/>
                <w:color w:val="auto"/>
              </w:rPr>
            </w:pPr>
            <w:r>
              <w:rPr>
                <w:rFonts w:ascii="Arial" w:cs="Arial" w:eastAsia="Arial" w:hAnsi="Arial"/>
                <w:sz w:val="18"/>
                <w:szCs w:val="18"/>
                <w:b w:val="1"/>
                <w:bCs w:val="1"/>
                <w:color w:val="auto"/>
                <w:w w:val="98"/>
              </w:rPr>
              <w:t>Quarter</w:t>
            </w:r>
          </w:p>
        </w:tc>
        <w:tc>
          <w:tcPr>
            <w:tcW w:w="180" w:type="dxa"/>
            <w:vAlign w:val="bottom"/>
          </w:tcPr>
          <w:p>
            <w:pPr>
              <w:spacing w:after="0"/>
              <w:rPr>
                <w:sz w:val="24"/>
                <w:szCs w:val="24"/>
                <w:color w:val="auto"/>
              </w:rPr>
            </w:pPr>
          </w:p>
        </w:tc>
        <w:tc>
          <w:tcPr>
            <w:tcW w:w="1180" w:type="dxa"/>
            <w:vAlign w:val="bottom"/>
          </w:tcPr>
          <w:p>
            <w:pPr>
              <w:jc w:val="center"/>
              <w:ind w:right="51"/>
              <w:spacing w:after="0"/>
              <w:rPr>
                <w:sz w:val="20"/>
                <w:szCs w:val="20"/>
                <w:color w:val="auto"/>
              </w:rPr>
            </w:pPr>
            <w:r>
              <w:rPr>
                <w:rFonts w:ascii="Arial" w:cs="Arial" w:eastAsia="Arial" w:hAnsi="Arial"/>
                <w:sz w:val="18"/>
                <w:szCs w:val="18"/>
                <w:b w:val="1"/>
                <w:bCs w:val="1"/>
                <w:color w:val="auto"/>
                <w:w w:val="94"/>
              </w:rPr>
              <w:t>Period From</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23"/>
                <w:szCs w:val="23"/>
                <w:color w:val="auto"/>
              </w:rPr>
            </w:pPr>
          </w:p>
        </w:tc>
        <w:tc>
          <w:tcPr>
            <w:tcW w:w="118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12/14/19 to</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3"/>
                <w:szCs w:val="23"/>
                <w:color w:val="auto"/>
              </w:rPr>
            </w:pPr>
          </w:p>
        </w:tc>
        <w:tc>
          <w:tcPr>
            <w:tcW w:w="1180" w:type="dxa"/>
            <w:vAlign w:val="bottom"/>
          </w:tcPr>
          <w:p>
            <w:pPr>
              <w:jc w:val="center"/>
              <w:ind w:right="171"/>
              <w:spacing w:after="0"/>
              <w:rPr>
                <w:sz w:val="20"/>
                <w:szCs w:val="20"/>
                <w:color w:val="auto"/>
              </w:rPr>
            </w:pPr>
            <w:r>
              <w:rPr>
                <w:rFonts w:ascii="Arial" w:cs="Arial" w:eastAsia="Arial" w:hAnsi="Arial"/>
                <w:sz w:val="18"/>
                <w:szCs w:val="18"/>
                <w:b w:val="1"/>
                <w:bCs w:val="1"/>
                <w:color w:val="auto"/>
                <w:w w:val="93"/>
              </w:rPr>
              <w:t>3/31/20</w:t>
            </w:r>
          </w:p>
        </w:tc>
        <w:tc>
          <w:tcPr>
            <w:tcW w:w="180" w:type="dxa"/>
            <w:vAlign w:val="bottom"/>
          </w:tcPr>
          <w:p>
            <w:pPr>
              <w:spacing w:after="0"/>
              <w:rPr>
                <w:sz w:val="23"/>
                <w:szCs w:val="23"/>
                <w:color w:val="auto"/>
              </w:rPr>
            </w:pPr>
          </w:p>
        </w:tc>
        <w:tc>
          <w:tcPr>
            <w:tcW w:w="118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12/31/19</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40"/>
              <w:spacing w:after="0"/>
              <w:rPr>
                <w:sz w:val="20"/>
                <w:szCs w:val="20"/>
                <w:color w:val="auto"/>
              </w:rPr>
            </w:pPr>
            <w:r>
              <w:rPr>
                <w:rFonts w:ascii="Arial" w:cs="Arial" w:eastAsia="Arial" w:hAnsi="Arial"/>
                <w:sz w:val="18"/>
                <w:szCs w:val="18"/>
                <w:color w:val="auto"/>
              </w:rPr>
              <w:t>Middle East, North Africa &amp; Asia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3460" w:type="dxa"/>
            <w:vAlign w:val="bottom"/>
          </w:tcPr>
          <w:p>
            <w:pPr>
              <w:ind w:left="140"/>
              <w:spacing w:after="0"/>
              <w:rPr>
                <w:sz w:val="20"/>
                <w:szCs w:val="20"/>
                <w:color w:val="auto"/>
              </w:rPr>
            </w:pPr>
            <w:r>
              <w:rPr>
                <w:rFonts w:ascii="Arial" w:cs="Arial" w:eastAsia="Arial" w:hAnsi="Arial"/>
                <w:sz w:val="18"/>
                <w:szCs w:val="18"/>
                <w:color w:val="auto"/>
              </w:rPr>
              <w:t>Europe, SSA &amp; Russia</w:t>
            </w:r>
          </w:p>
        </w:tc>
        <w:tc>
          <w:tcPr>
            <w:tcW w:w="20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23"/>
                <w:szCs w:val="23"/>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99"/>
        </w:trPr>
        <w:tc>
          <w:tcPr>
            <w:tcW w:w="3460" w:type="dxa"/>
            <w:vAlign w:val="bottom"/>
          </w:tcPr>
          <w:p>
            <w:pPr>
              <w:spacing w:after="0"/>
              <w:rPr>
                <w:sz w:val="20"/>
                <w:szCs w:val="20"/>
                <w:color w:val="auto"/>
              </w:rPr>
            </w:pPr>
            <w:r>
              <w:rPr>
                <w:rFonts w:ascii="Arial" w:cs="Arial" w:eastAsia="Arial" w:hAnsi="Arial"/>
                <w:sz w:val="18"/>
                <w:szCs w:val="18"/>
                <w:color w:val="auto"/>
              </w:rPr>
              <w:t>Adjusted Segment EBITDA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46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20%</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71"/>
              <w:spacing w:after="0"/>
              <w:rPr>
                <w:sz w:val="20"/>
                <w:szCs w:val="20"/>
                <w:color w:val="auto"/>
              </w:rPr>
            </w:pPr>
            <w:r>
              <w:rPr>
                <w:rFonts w:ascii="Arial" w:cs="Arial" w:eastAsia="Arial" w:hAnsi="Arial"/>
                <w:sz w:val="18"/>
                <w:szCs w:val="18"/>
                <w:b w:val="1"/>
                <w:bCs w:val="1"/>
                <w:color w:val="auto"/>
                <w:w w:val="83"/>
              </w:rPr>
              <w:t>Predecessor</w:t>
            </w:r>
          </w:p>
        </w:tc>
      </w:tr>
      <w:tr>
        <w:trPr>
          <w:trHeight w:val="27"/>
        </w:trPr>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 From</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Non-GAAP</w:t>
            </w:r>
          </w:p>
        </w:tc>
        <w:tc>
          <w:tcPr>
            <w:tcW w:w="160" w:type="dxa"/>
            <w:vAlign w:val="bottom"/>
          </w:tcPr>
          <w:p>
            <w:pPr>
              <w:spacing w:after="0"/>
              <w:rPr>
                <w:sz w:val="20"/>
                <w:szCs w:val="20"/>
                <w:color w:val="auto"/>
              </w:rPr>
            </w:pPr>
          </w:p>
        </w:tc>
        <w:tc>
          <w:tcPr>
            <w:tcW w:w="1180" w:type="dxa"/>
            <w:vAlign w:val="bottom"/>
          </w:tcPr>
          <w:p>
            <w:pPr>
              <w:jc w:val="center"/>
              <w:ind w:right="71"/>
              <w:spacing w:after="0"/>
              <w:rPr>
                <w:sz w:val="20"/>
                <w:szCs w:val="20"/>
                <w:color w:val="auto"/>
              </w:rPr>
            </w:pPr>
            <w:r>
              <w:rPr>
                <w:rFonts w:ascii="Arial" w:cs="Arial" w:eastAsia="Arial" w:hAnsi="Arial"/>
                <w:sz w:val="18"/>
                <w:szCs w:val="18"/>
                <w:b w:val="1"/>
                <w:bCs w:val="1"/>
                <w:color w:val="auto"/>
                <w:w w:val="95"/>
              </w:rPr>
              <w:t>Quarter</w:t>
            </w:r>
          </w:p>
        </w:tc>
      </w:tr>
      <w:tr>
        <w:trPr>
          <w:trHeight w:val="270"/>
        </w:trPr>
        <w:tc>
          <w:tcPr>
            <w:tcW w:w="160" w:type="dxa"/>
            <w:vAlign w:val="bottom"/>
          </w:tcPr>
          <w:p>
            <w:pPr>
              <w:spacing w:after="0"/>
              <w:rPr>
                <w:sz w:val="23"/>
                <w:szCs w:val="2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10/01/19 to</w:t>
            </w:r>
          </w:p>
        </w:tc>
        <w:tc>
          <w:tcPr>
            <w:tcW w:w="180" w:type="dxa"/>
            <w:vAlign w:val="bottom"/>
          </w:tcPr>
          <w:p>
            <w:pPr>
              <w:spacing w:after="0"/>
              <w:rPr>
                <w:sz w:val="23"/>
                <w:szCs w:val="2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160" w:type="dxa"/>
            <w:vAlign w:val="bottom"/>
          </w:tcPr>
          <w:p>
            <w:pPr>
              <w:spacing w:after="0"/>
              <w:rPr>
                <w:sz w:val="23"/>
                <w:szCs w:val="23"/>
                <w:color w:val="auto"/>
              </w:rPr>
            </w:pPr>
          </w:p>
        </w:tc>
        <w:tc>
          <w:tcPr>
            <w:tcW w:w="1180" w:type="dxa"/>
            <w:vAlign w:val="bottom"/>
          </w:tcPr>
          <w:p>
            <w:pPr>
              <w:jc w:val="center"/>
              <w:ind w:right="71"/>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160" w:type="dxa"/>
            <w:vAlign w:val="bottom"/>
          </w:tcPr>
          <w:p>
            <w:pPr>
              <w:spacing w:after="0"/>
              <w:rPr>
                <w:sz w:val="23"/>
                <w:szCs w:val="23"/>
                <w:color w:val="auto"/>
              </w:rPr>
            </w:pPr>
          </w:p>
        </w:tc>
        <w:tc>
          <w:tcPr>
            <w:tcW w:w="118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Results</w:t>
            </w:r>
          </w:p>
        </w:tc>
        <w:tc>
          <w:tcPr>
            <w:tcW w:w="160" w:type="dxa"/>
            <w:vAlign w:val="bottom"/>
          </w:tcPr>
          <w:p>
            <w:pPr>
              <w:spacing w:after="0"/>
              <w:rPr>
                <w:sz w:val="23"/>
                <w:szCs w:val="23"/>
                <w:color w:val="auto"/>
              </w:rPr>
            </w:pPr>
          </w:p>
        </w:tc>
        <w:tc>
          <w:tcPr>
            <w:tcW w:w="118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3/31/19</w:t>
            </w:r>
          </w:p>
        </w:tc>
      </w:tr>
      <w:tr>
        <w:trPr>
          <w:trHeight w:val="27"/>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506"/>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390</w:t>
            </w:r>
          </w:p>
        </w:tc>
      </w:tr>
      <w:tr>
        <w:trPr>
          <w:trHeight w:val="270"/>
        </w:trPr>
        <w:tc>
          <w:tcPr>
            <w:tcW w:w="160" w:type="dxa"/>
            <w:vAlign w:val="bottom"/>
          </w:tcPr>
          <w:p>
            <w:pPr>
              <w:spacing w:after="0"/>
              <w:rPr>
                <w:sz w:val="23"/>
                <w:szCs w:val="23"/>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230</w:t>
            </w:r>
          </w:p>
        </w:tc>
      </w:tr>
      <w:tr>
        <w:trPr>
          <w:trHeight w:val="27"/>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620</w:t>
            </w:r>
          </w:p>
        </w:tc>
      </w:tr>
      <w:tr>
        <w:trPr>
          <w:trHeight w:val="49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93</w:t>
            </w:r>
          </w:p>
        </w:tc>
      </w:tr>
      <w:tr>
        <w:trPr>
          <w:trHeight w:val="264"/>
        </w:trPr>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15%</w:t>
            </w:r>
          </w:p>
        </w:tc>
      </w:tr>
    </w:tbl>
    <w:p>
      <w:pPr>
        <w:spacing w:after="0" w:line="206" w:lineRule="exact"/>
        <w:rPr>
          <w:sz w:val="20"/>
          <w:szCs w:val="20"/>
          <w:color w:val="auto"/>
        </w:rPr>
      </w:pPr>
    </w:p>
    <w:p>
      <w:pPr>
        <w:sectPr>
          <w:pgSz w:w="11900" w:h="16838" w:orient="portrait"/>
          <w:cols w:equalWidth="0" w:num="2">
            <w:col w:w="6520" w:space="220"/>
            <w:col w:w="4500"/>
          </w:cols>
          <w:pgMar w:left="320" w:top="670" w:right="3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First-quarter 2020 Eastern Hemisphere revenues of $627 million were unchanged sequentially and grew 1% quarter-on-</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670" w:right="339" w:bottom="1440" w:gutter="0" w:footer="0" w:header="0"/>
          <w:type w:val="continuous"/>
        </w:sectPr>
      </w:pPr>
    </w:p>
    <w:bookmarkStart w:id="7" w:name="page8"/>
    <w:bookmarkEnd w:id="7"/>
    <w:p>
      <w:pPr>
        <w:jc w:val="both"/>
        <w:spacing w:after="0" w:line="368" w:lineRule="auto"/>
        <w:rPr>
          <w:sz w:val="20"/>
          <w:szCs w:val="20"/>
          <w:color w:val="auto"/>
        </w:rPr>
      </w:pPr>
      <w:r>
        <w:rPr>
          <w:rFonts w:ascii="Arial" w:cs="Arial" w:eastAsia="Arial" w:hAnsi="Arial"/>
          <w:sz w:val="19"/>
          <w:szCs w:val="19"/>
          <w:color w:val="auto"/>
        </w:rPr>
        <w:t xml:space="preserve">quarter. Excluding the impact of divestitures </w:t>
      </w:r>
      <w:r>
        <w:rPr>
          <w:rFonts w:ascii="Arial" w:cs="Arial" w:eastAsia="Arial" w:hAnsi="Arial"/>
          <w:sz w:val="24"/>
          <w:szCs w:val="24"/>
          <w:color w:val="auto"/>
          <w:vertAlign w:val="superscript"/>
        </w:rPr>
        <w:t>[1]</w:t>
      </w:r>
      <w:r>
        <w:rPr>
          <w:rFonts w:ascii="Arial" w:cs="Arial" w:eastAsia="Arial" w:hAnsi="Arial"/>
          <w:sz w:val="19"/>
          <w:szCs w:val="19"/>
          <w:color w:val="auto"/>
        </w:rPr>
        <w:t>, revenues grew 2% sequentially and 6% year-on-year. First-quarter 2020 revenues in Middle East, North Africa and Asia of $403 million grew 4% sequentially, due to increased Artificial Lift and Completions product sales. First-quarter revenues in Europe, Sub Saharan Africa, and Russia of $224 million declined 6% sequentially, driven by primarily year-end product sales that did not repeat and seasonal activity slowdowns in Russia and the North Sea.</w:t>
      </w:r>
    </w:p>
    <w:p>
      <w:pPr>
        <w:spacing w:after="0" w:line="135"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First-quarter 2020 adjusted segment EBITDA of $127 million increased $13 million sequentially and associated margins of 20% improved 210 basis points versus the combined fourth quarter of 2019. The sequential increase in adjusted EBITDA was primarily driven by favorable product mix and fixed cost reductions.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Customer &amp; Technology Highlights</w:t>
      </w:r>
    </w:p>
    <w:p>
      <w:pPr>
        <w:spacing w:after="0" w:line="200" w:lineRule="exact"/>
        <w:rPr>
          <w:sz w:val="20"/>
          <w:szCs w:val="20"/>
          <w:color w:val="auto"/>
        </w:rPr>
      </w:pPr>
    </w:p>
    <w:p>
      <w:pPr>
        <w:spacing w:after="0" w:line="207" w:lineRule="exact"/>
        <w:rPr>
          <w:sz w:val="20"/>
          <w:szCs w:val="20"/>
          <w:color w:val="auto"/>
        </w:rPr>
      </w:pPr>
    </w:p>
    <w:p>
      <w:pPr>
        <w:jc w:val="both"/>
        <w:ind w:left="340" w:hanging="332"/>
        <w:spacing w:after="0" w:line="332"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major national oil company in the Middle East awarded Weatherford a contract for the customer’s first-ever real-time drilling decision center. The project will rely on the recently-launched Centro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integrated realtime environment and further expands the Company’s digital presence.</w:t>
      </w:r>
    </w:p>
    <w:p>
      <w:pPr>
        <w:spacing w:after="0" w:line="32" w:lineRule="exact"/>
        <w:rPr>
          <w:rFonts w:ascii="Arial" w:cs="Arial" w:eastAsia="Arial" w:hAnsi="Arial"/>
          <w:sz w:val="20"/>
          <w:szCs w:val="20"/>
          <w:color w:val="auto"/>
        </w:rPr>
      </w:pPr>
    </w:p>
    <w:p>
      <w:pPr>
        <w:jc w:val="both"/>
        <w:ind w:left="340" w:hanging="332"/>
        <w:spacing w:after="0" w:line="382"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the United States, Weatherford secured an order for over 40 surface pumping units, reaffirming its position as the single-source artificial-lift provider for an operator in the Bakken region. The Company’s footprint and experience in the region enabled Weatherford to develop a solution that will offer a 15% operational cost savings per production system. Weatherford will provide the operator a complete system from surface to wellbore, including piles, rods, services, and pumps.</w:t>
      </w:r>
    </w:p>
    <w:p>
      <w:pPr>
        <w:spacing w:after="0" w:line="12" w:lineRule="exact"/>
        <w:rPr>
          <w:rFonts w:ascii="Arial" w:cs="Arial" w:eastAsia="Arial" w:hAnsi="Arial"/>
          <w:sz w:val="19"/>
          <w:szCs w:val="19"/>
          <w:color w:val="auto"/>
        </w:rPr>
      </w:pPr>
    </w:p>
    <w:p>
      <w:pPr>
        <w:jc w:val="both"/>
        <w:ind w:left="340" w:hanging="332"/>
        <w:spacing w:after="0" w:line="39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Weatherford Interpretation and Evaluation Services, or IES, group supported the first microseismic monitoring operation in Turkey during a one-stage hydraulic fracturing job. The operation included well modeling and planning and the acquisition and interpretation of microseismic fracturing data. Weatherford IES experts enabled the customer to optimize their fracturing program and select the best gel treatments for the production stimulation program and enabled the Company to expand its operations with the customer.</w:t>
      </w:r>
    </w:p>
    <w:p>
      <w:pPr>
        <w:ind w:left="340" w:hanging="332"/>
        <w:spacing w:after="0"/>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Victus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intelligent managed pressure drilling (MPD) system was fully integrated on a drilling unit offshore Azerbaijan and is</w:t>
      </w:r>
    </w:p>
    <w:p>
      <w:pPr>
        <w:spacing w:after="0" w:line="112" w:lineRule="exact"/>
        <w:rPr>
          <w:rFonts w:ascii="Arial" w:cs="Arial" w:eastAsia="Arial" w:hAnsi="Arial"/>
          <w:sz w:val="19"/>
          <w:szCs w:val="19"/>
          <w:color w:val="auto"/>
        </w:rPr>
      </w:pPr>
    </w:p>
    <w:p>
      <w:pPr>
        <w:jc w:val="both"/>
        <w:ind w:left="340"/>
        <w:spacing w:after="0" w:line="356" w:lineRule="auto"/>
        <w:rPr>
          <w:rFonts w:ascii="Arial" w:cs="Arial" w:eastAsia="Arial" w:hAnsi="Arial"/>
          <w:sz w:val="19"/>
          <w:szCs w:val="19"/>
          <w:color w:val="auto"/>
        </w:rPr>
      </w:pPr>
      <w:r>
        <w:rPr>
          <w:rFonts w:ascii="Arial" w:cs="Arial" w:eastAsia="Arial" w:hAnsi="Arial"/>
          <w:sz w:val="19"/>
          <w:szCs w:val="19"/>
          <w:color w:val="auto"/>
        </w:rPr>
        <w:t>currently on standby. MPD operations are scheduled to begin in late April, with the connection of our Gen II intelligent riser and MPD drilling thereafter. The Victus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system enhances safety (by eliminating the need for manual work in the moon pool area) and accelerates rig-up and rig-down times by up to 80% (by using an integrated connection hub for subsea control lines).</w:t>
      </w:r>
    </w:p>
    <w:p>
      <w:pPr>
        <w:spacing w:after="0" w:line="8" w:lineRule="exact"/>
        <w:rPr>
          <w:rFonts w:ascii="Arial" w:cs="Arial" w:eastAsia="Arial" w:hAnsi="Arial"/>
          <w:sz w:val="19"/>
          <w:szCs w:val="19"/>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Weatherford was awarded a contract to provide logging-while-drilling (LWD) measurement-while-drilling (MWD), drilling, and geo-data</w:t>
      </w:r>
    </w:p>
    <w:p>
      <w:pPr>
        <w:spacing w:after="0" w:line="130" w:lineRule="exact"/>
        <w:rPr>
          <w:rFonts w:ascii="Arial" w:cs="Arial" w:eastAsia="Arial" w:hAnsi="Arial"/>
          <w:sz w:val="18"/>
          <w:szCs w:val="18"/>
          <w:color w:val="auto"/>
        </w:rPr>
      </w:pPr>
    </w:p>
    <w:p>
      <w:pPr>
        <w:jc w:val="both"/>
        <w:ind w:left="340"/>
        <w:spacing w:after="0" w:line="308" w:lineRule="auto"/>
        <w:rPr>
          <w:rFonts w:ascii="Arial" w:cs="Arial" w:eastAsia="Arial" w:hAnsi="Arial"/>
          <w:sz w:val="18"/>
          <w:szCs w:val="18"/>
          <w:color w:val="auto"/>
        </w:rPr>
      </w:pPr>
      <w:r>
        <w:rPr>
          <w:rFonts w:ascii="Arial" w:cs="Arial" w:eastAsia="Arial" w:hAnsi="Arial"/>
          <w:sz w:val="20"/>
          <w:szCs w:val="20"/>
          <w:color w:val="auto"/>
        </w:rPr>
        <w:t>interpretation services in Russia. The contract will span three years and showcases the Company’s expanding footprint in the region. Additionally, Weatherford will deploy its Magnus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rotary steerable solution to support these operations, continuing to accelerate Magnus’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expansion into international markets.</w:t>
      </w:r>
    </w:p>
    <w:p>
      <w:pPr>
        <w:spacing w:after="0" w:line="33" w:lineRule="exact"/>
        <w:rPr>
          <w:rFonts w:ascii="Arial" w:cs="Arial" w:eastAsia="Arial" w:hAnsi="Arial"/>
          <w:sz w:val="18"/>
          <w:szCs w:val="18"/>
          <w:color w:val="auto"/>
        </w:rPr>
      </w:pPr>
    </w:p>
    <w:p>
      <w:pPr>
        <w:ind w:left="340" w:hanging="332"/>
        <w:spacing w:after="0" w:line="373"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Weatherford achieved 1,000 days without lost-time incidents for its Offshore Shallow Waters Integrated Service Project, highlighting Weatherford’s commitment to safety and service quality.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About Weatherford</w:t>
      </w:r>
    </w:p>
    <w:p>
      <w:pPr>
        <w:spacing w:after="0" w:line="200" w:lineRule="exact"/>
        <w:rPr>
          <w:sz w:val="20"/>
          <w:szCs w:val="20"/>
          <w:color w:val="auto"/>
        </w:rPr>
      </w:pPr>
    </w:p>
    <w:p>
      <w:pPr>
        <w:spacing w:after="0" w:line="207"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Weatherford is the leading wellbore and production solutions company. Operating in more than 80 countries, the Company answers the challenges of the energy industry with its global talent network of approximately 20,000 team members and 600 locations, which include service, research and development, training, and manufacturing facilities. Visit https://www.weatherford.com/ for more information or connect on LinkedIn, Facebook, Twitter, Instagram, or YouTube.</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Contact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Sebastian Pellizzer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Senior Director, Investor Relations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+1 713-836-6777</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investor.relations@weatherford.com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70"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u w:val="single" w:color="auto"/>
          <w:color w:val="auto"/>
        </w:rPr>
        <w:t>Forward-Looking Statements</w:t>
      </w:r>
    </w:p>
    <w:p>
      <w:pPr>
        <w:spacing w:after="0" w:line="200" w:lineRule="exact"/>
        <w:rPr>
          <w:sz w:val="20"/>
          <w:szCs w:val="20"/>
          <w:color w:val="auto"/>
        </w:rPr>
      </w:pPr>
    </w:p>
    <w:p>
      <w:pPr>
        <w:spacing w:after="0" w:line="207" w:lineRule="exact"/>
        <w:rPr>
          <w:sz w:val="20"/>
          <w:szCs w:val="20"/>
          <w:color w:val="auto"/>
        </w:rPr>
      </w:pPr>
    </w:p>
    <w:p>
      <w:pPr>
        <w:jc w:val="both"/>
        <w:spacing w:after="0" w:line="394" w:lineRule="auto"/>
        <w:rPr>
          <w:sz w:val="20"/>
          <w:szCs w:val="20"/>
          <w:color w:val="auto"/>
        </w:rPr>
      </w:pPr>
      <w:r>
        <w:rPr>
          <w:rFonts w:ascii="Arial" w:cs="Arial" w:eastAsia="Arial" w:hAnsi="Arial"/>
          <w:sz w:val="18"/>
          <w:szCs w:val="18"/>
          <w:color w:val="auto"/>
        </w:rPr>
        <w:t>This news release contains forward-looking statements concerning, among other things, the Company’s quarterly and full-year non-GAAP earnings (loss) per share,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extent or duration of business interruptions associated with COVID-19, the price and price volatility of oil and natural gas, the macroeconomic outlook for the oil and gas industry, the duration and severity of the impact of the COVID-19 pandemic on oil and gas demand and commodity prices, our ability to generate cash flow from operations to fund our operations, the outcome of any discussions with our bondholders regarding the terms of a potential restructuring of our indebtedness or a recapitalization of the Company, realization of additional cost savings and operational efficiencies and potential logistical issues and potential non-cash asset impairment charges for long-lived assets, intangible assets or other assets. Forward-looking statements are also affected by the risk factors described in the Company’s Annual Report on Form 10-K for the year ended December 31, 2019, the Company’s Quarterly Report on Form 10-Q for the quarter ended March 31,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7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Condensed Consolidated Statements of Operations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246380</wp:posOffset>
            </wp:positionV>
            <wp:extent cx="8255" cy="6163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616331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Period From</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 From</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Non-GAAP</w:t>
            </w:r>
          </w:p>
        </w:tc>
        <w:tc>
          <w:tcPr>
            <w:tcW w:w="12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3"/>
                <w:szCs w:val="23"/>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12/14/19 to</w:t>
            </w: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10/1/19 to</w:t>
            </w:r>
          </w:p>
        </w:tc>
        <w:tc>
          <w:tcPr>
            <w:tcW w:w="14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Combined</w:t>
            </w:r>
          </w:p>
        </w:tc>
        <w:tc>
          <w:tcPr>
            <w:tcW w:w="120" w:type="dxa"/>
            <w:vAlign w:val="bottom"/>
          </w:tcPr>
          <w:p>
            <w:pPr>
              <w:spacing w:after="0"/>
              <w:rPr>
                <w:sz w:val="23"/>
                <w:szCs w:val="23"/>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03/31/20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12/31/19</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12/13/19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Results</w:t>
            </w:r>
          </w:p>
        </w:tc>
        <w:tc>
          <w:tcPr>
            <w:tcW w:w="120" w:type="dxa"/>
            <w:vAlign w:val="bottom"/>
          </w:tcPr>
          <w:p>
            <w:pPr>
              <w:spacing w:after="0"/>
              <w:rPr>
                <w:sz w:val="23"/>
                <w:szCs w:val="23"/>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03/31/19</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726</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2C2C2C"/>
              </w:rPr>
              <w:t>625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2C2C2C"/>
              </w:rPr>
              <w:t>620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97"/>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Prepetition Charges</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Charges, Net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Total Operating Income (Loss)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C2C2C"/>
              </w:rPr>
              <w:t>(315)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C2C2C"/>
              </w:rPr>
              <w:t>(301)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Reorganization Items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Non-Operating Expenses, Net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Net Income (Loss) Before Income Taxes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4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 Attributable to Weatherford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5,279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5,253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84"/>
        </w:trPr>
        <w:tc>
          <w:tcPr>
            <w:tcW w:w="4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(Loss) Per Share Attributable to Weatherford: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(0.37)</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5.26</w:t>
            </w:r>
          </w:p>
        </w:tc>
        <w:tc>
          <w:tcPr>
            <w:tcW w:w="9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97"/>
        </w:trPr>
        <w:tc>
          <w:tcPr>
            <w:tcW w:w="3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1,004</w:t>
            </w:r>
          </w:p>
        </w:tc>
        <w:tc>
          <w:tcPr>
            <w:tcW w:w="900" w:type="dxa"/>
            <w:vAlign w:val="bottom"/>
          </w:tcPr>
          <w:p>
            <w:pPr>
              <w:ind w:left="56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1,003</w:t>
            </w:r>
          </w:p>
        </w:tc>
      </w:tr>
      <w:tr>
        <w:trPr>
          <w:trHeight w:val="675"/>
        </w:trPr>
        <w:tc>
          <w:tcPr>
            <w:tcW w:w="3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8</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03/31/2020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12/31/19</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9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Intangibles, Net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9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Short-term Borrowings and Current Portion of Long-term Debt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324"/>
        </w:trPr>
        <w:tc>
          <w:tcPr>
            <w:tcW w:w="7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9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Components of Net Debt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Portion of Long-term Debt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Cash and Cash Equivalents</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Less: Restricted Cash</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280"/>
              <w:spacing w:after="0" w:line="263"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5"/>
                <w:szCs w:val="25"/>
                <w:color w:val="auto"/>
                <w:vertAlign w:val="superscript"/>
              </w:rPr>
              <w:t>[1]</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00" w:hanging="130"/>
        <w:spacing w:after="0"/>
        <w:tabs>
          <w:tab w:leader="none" w:pos="300" w:val="left"/>
        </w:tabs>
        <w:numPr>
          <w:ilvl w:val="0"/>
          <w:numId w:val="7"/>
        </w:numPr>
        <w:rPr>
          <w:rFonts w:ascii="Arial" w:cs="Arial" w:eastAsia="Arial" w:hAnsi="Arial"/>
          <w:sz w:val="9"/>
          <w:szCs w:val="9"/>
          <w:color w:val="auto"/>
        </w:rPr>
      </w:pPr>
      <w:r>
        <w:rPr>
          <w:rFonts w:ascii="Arial" w:cs="Arial" w:eastAsia="Arial" w:hAnsi="Arial"/>
          <w:sz w:val="14"/>
          <w:szCs w:val="14"/>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1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23"/>
                <w:szCs w:val="23"/>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3/31/2020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2C2C2C"/>
                <w:w w:val="93"/>
              </w:rPr>
              <w:t>3/31/19</w:t>
            </w:r>
          </w:p>
        </w:tc>
        <w:tc>
          <w:tcPr>
            <w:tcW w:w="0" w:type="dxa"/>
            <w:vAlign w:val="bottom"/>
          </w:tcPr>
          <w:p>
            <w:pPr>
              <w:spacing w:after="0"/>
              <w:rPr>
                <w:sz w:val="1"/>
                <w:szCs w:val="1"/>
                <w:color w:val="auto"/>
              </w:rPr>
            </w:pPr>
          </w:p>
        </w:tc>
      </w:tr>
      <w:tr>
        <w:trPr>
          <w:trHeight w:val="27"/>
        </w:trPr>
        <w:tc>
          <w:tcPr>
            <w:tcW w:w="8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Long-Lived Asset Impairments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800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Total Cash Flows Provided by (Used in) Operating Activities</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 Expenditures for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Proceeds from Disposition of Assets</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Disposition of Businesses, Net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Other Investing Activities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80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Repayments of Long-term Debt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Borrowings (Repayments) of Short-term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83"/>
        </w:trPr>
        <w:tc>
          <w:tcPr>
            <w:tcW w:w="80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Cash Flows Provided by (Used in)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 Expenditures for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Proceeds from Disposition of Assets</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40"/>
              <w:spacing w:after="0" w:line="263" w:lineRule="exact"/>
              <w:rPr>
                <w:sz w:val="20"/>
                <w:szCs w:val="20"/>
                <w:color w:val="auto"/>
              </w:rPr>
            </w:pPr>
            <w:r>
              <w:rPr>
                <w:rFonts w:ascii="Arial" w:cs="Arial" w:eastAsia="Arial" w:hAnsi="Arial"/>
                <w:sz w:val="18"/>
                <w:szCs w:val="18"/>
                <w:color w:val="auto"/>
              </w:rPr>
              <w:t xml:space="preserve">Free Cash Flow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Working capital is defined as the cash changes in accounts receivable plus inventory less accounts payable.</w:t>
      </w:r>
    </w:p>
    <w:p>
      <w:pPr>
        <w:spacing w:after="0" w:line="13" w:lineRule="exact"/>
        <w:rPr>
          <w:rFonts w:ascii="Arial" w:cs="Arial" w:eastAsia="Arial" w:hAnsi="Arial"/>
          <w:sz w:val="14"/>
          <w:szCs w:val="14"/>
          <w:color w:val="auto"/>
        </w:rPr>
      </w:pPr>
    </w:p>
    <w:p>
      <w:pPr>
        <w:ind w:left="500" w:right="60" w:hanging="330"/>
        <w:spacing w:after="0" w:line="248"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Free cash flow is a non-GAAP measure calculated as cash flows provided by (used in) operating activities, less capital expenditures for property, plant and equipment plus proceeds from disposition of assets. Management believes free cash flow is useful to understand liquidity and should be considered in addition to but not substitute cash flows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-423545</wp:posOffset>
            </wp:positionV>
            <wp:extent cx="205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15" w:right="339" w:bottom="1440" w:gutter="0" w:footer="0" w:header="0"/>
        </w:sectPr>
      </w:pPr>
    </w:p>
    <w:bookmarkStart w:id="13" w:name="page14"/>
    <w:bookmarkEnd w:id="13"/>
    <w:p>
      <w:pPr>
        <w:jc w:val="center"/>
        <w:ind w:right="-11"/>
        <w:spacing w:after="0"/>
        <w:rPr>
          <w:sz w:val="20"/>
          <w:szCs w:val="20"/>
          <w:color w:val="auto"/>
        </w:rPr>
      </w:pPr>
      <w:r>
        <w:rPr>
          <w:rFonts w:ascii="Arial" w:cs="Arial" w:eastAsia="Arial" w:hAnsi="Arial"/>
          <w:sz w:val="16"/>
          <w:szCs w:val="16"/>
          <w:b w:val="1"/>
          <w:bCs w:val="1"/>
          <w:color w:val="auto"/>
        </w:rPr>
        <w:t>Weatherford International plc</w:t>
      </w:r>
    </w:p>
    <w:p>
      <w:pPr>
        <w:spacing w:after="0" w:line="73"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Quarterly Selected Statements of Operations Information (Unaudited)</w:t>
      </w:r>
    </w:p>
    <w:p>
      <w:pPr>
        <w:spacing w:after="0" w:line="100" w:lineRule="exact"/>
        <w:rPr>
          <w:sz w:val="20"/>
          <w:szCs w:val="20"/>
          <w:color w:val="auto"/>
        </w:rPr>
      </w:pPr>
    </w:p>
    <w:p>
      <w:pPr>
        <w:jc w:val="center"/>
        <w:ind w:right="-11"/>
        <w:spacing w:after="0"/>
        <w:rPr>
          <w:sz w:val="20"/>
          <w:szCs w:val="20"/>
          <w:color w:val="auto"/>
        </w:rPr>
      </w:pPr>
      <w:r>
        <w:rPr>
          <w:rFonts w:ascii="Arial" w:cs="Arial" w:eastAsia="Arial" w:hAnsi="Arial"/>
          <w:sz w:val="16"/>
          <w:szCs w:val="16"/>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32320" cy="7252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252335"/>
                    </a:xfrm>
                    <a:prstGeom prst="rect">
                      <a:avLst/>
                    </a:prstGeom>
                    <a:noFill/>
                  </pic:spPr>
                </pic:pic>
              </a:graphicData>
            </a:graphic>
          </wp:anchor>
        </w:drawing>
      </w:r>
    </w:p>
    <w:p>
      <w:pPr>
        <w:sectPr>
          <w:pgSz w:w="11900" w:h="16838" w:orient="portrait"/>
          <w:cols w:equalWidth="0" w:num="1">
            <w:col w:w="11232"/>
          </w:cols>
          <w:pgMar w:left="328" w:top="720" w:right="339" w:bottom="1440" w:gutter="0" w:footer="0" w:header="0"/>
        </w:sectPr>
      </w:pPr>
    </w:p>
    <w:p>
      <w:pPr>
        <w:spacing w:after="0" w:line="82" w:lineRule="exact"/>
        <w:rPr>
          <w:sz w:val="20"/>
          <w:szCs w:val="20"/>
          <w:color w:val="auto"/>
        </w:rPr>
      </w:pPr>
    </w:p>
    <w:tbl>
      <w:tblPr>
        <w:tblLayout w:type="fixed"/>
        <w:tblInd w:w="32"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39"/>
              <w:spacing w:after="0"/>
              <w:rPr>
                <w:sz w:val="20"/>
                <w:szCs w:val="20"/>
                <w:color w:val="auto"/>
              </w:rPr>
            </w:pPr>
            <w:r>
              <w:rPr>
                <w:rFonts w:ascii="Arial" w:cs="Arial" w:eastAsia="Arial" w:hAnsi="Arial"/>
                <w:sz w:val="16"/>
                <w:szCs w:val="16"/>
                <w:b w:val="1"/>
                <w:bCs w:val="1"/>
                <w:color w:val="auto"/>
                <w:w w:val="83"/>
              </w:rPr>
              <w:t>Successor</w:t>
            </w:r>
          </w:p>
        </w:tc>
        <w:tc>
          <w:tcPr>
            <w:tcW w:w="2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81"/>
              </w:rPr>
              <w:t>Successor</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Quarter</w:t>
            </w:r>
          </w:p>
        </w:tc>
        <w:tc>
          <w:tcPr>
            <w:tcW w:w="280" w:type="dxa"/>
            <w:vAlign w:val="bottom"/>
          </w:tcPr>
          <w:p>
            <w:pPr>
              <w:spacing w:after="0"/>
              <w:rPr>
                <w:sz w:val="20"/>
                <w:szCs w:val="20"/>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Ended</w:t>
            </w:r>
          </w:p>
        </w:tc>
        <w:tc>
          <w:tcPr>
            <w:tcW w:w="280" w:type="dxa"/>
            <w:vAlign w:val="bottom"/>
          </w:tcPr>
          <w:p>
            <w:pPr>
              <w:spacing w:after="0"/>
              <w:rPr>
                <w:sz w:val="23"/>
                <w:szCs w:val="23"/>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12/14/19 to</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3/31/20</w:t>
            </w:r>
          </w:p>
        </w:tc>
        <w:tc>
          <w:tcPr>
            <w:tcW w:w="280" w:type="dxa"/>
            <w:vAlign w:val="bottom"/>
          </w:tcPr>
          <w:p>
            <w:pPr>
              <w:spacing w:after="0"/>
              <w:rPr>
                <w:sz w:val="23"/>
                <w:szCs w:val="23"/>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12/31/19</w:t>
            </w:r>
          </w:p>
        </w:tc>
        <w:tc>
          <w:tcPr>
            <w:tcW w:w="0" w:type="dxa"/>
            <w:vAlign w:val="bottom"/>
          </w:tcPr>
          <w:p>
            <w:pPr>
              <w:spacing w:after="0"/>
              <w:rPr>
                <w:sz w:val="1"/>
                <w:szCs w:val="1"/>
                <w:color w:val="auto"/>
              </w:rPr>
            </w:pPr>
          </w:p>
        </w:tc>
      </w:tr>
      <w:tr>
        <w:trPr>
          <w:trHeight w:val="33"/>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Western Hemisphere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Eastern Hemisphere</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627</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Pr>
          <w:p>
            <w:pPr>
              <w:ind w:left="14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Western Hemisphere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Eastern Hemisphere</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127</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660" w:type="dxa"/>
            <w:vAlign w:val="bottom"/>
          </w:tcPr>
          <w:p>
            <w:pPr>
              <w:ind w:left="60"/>
              <w:spacing w:after="0"/>
              <w:rPr>
                <w:sz w:val="20"/>
                <w:szCs w:val="20"/>
                <w:color w:val="auto"/>
              </w:rPr>
            </w:pPr>
            <w:r>
              <w:rPr>
                <w:rFonts w:ascii="Arial" w:cs="Arial" w:eastAsia="Arial" w:hAnsi="Arial"/>
                <w:sz w:val="16"/>
                <w:szCs w:val="16"/>
                <w:color w:val="auto"/>
              </w:rPr>
              <w:t>Adjusted Segment EBITDA</w:t>
            </w:r>
            <w:r>
              <w:rPr>
                <w:rFonts w:ascii="Arial" w:cs="Arial" w:eastAsia="Arial" w:hAnsi="Arial"/>
                <w:sz w:val="21"/>
                <w:szCs w:val="21"/>
                <w:color w:val="auto"/>
                <w:vertAlign w:val="superscript"/>
              </w:rPr>
              <w:t>(a) (b)</w:t>
            </w:r>
          </w:p>
        </w:tc>
        <w:tc>
          <w:tcPr>
            <w:tcW w:w="20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203</w:t>
            </w:r>
          </w:p>
        </w:tc>
        <w:tc>
          <w:tcPr>
            <w:tcW w:w="28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6"/>
        </w:trPr>
        <w:tc>
          <w:tcPr>
            <w:tcW w:w="2660" w:type="dxa"/>
            <w:vAlign w:val="bottom"/>
          </w:tcPr>
          <w:p>
            <w:pPr>
              <w:spacing w:after="0"/>
              <w:rPr>
                <w:sz w:val="20"/>
                <w:szCs w:val="20"/>
                <w:color w:val="auto"/>
              </w:rPr>
            </w:pPr>
            <w:r>
              <w:rPr>
                <w:rFonts w:ascii="Arial" w:cs="Arial" w:eastAsia="Arial" w:hAnsi="Arial"/>
                <w:sz w:val="16"/>
                <w:szCs w:val="16"/>
                <w:color w:val="auto"/>
              </w:rPr>
              <w:t>Corporate and Other</w:t>
            </w:r>
          </w:p>
        </w:tc>
        <w:tc>
          <w:tcPr>
            <w:tcW w:w="2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Pr>
          <w:p>
            <w:pPr>
              <w:ind w:left="140"/>
              <w:spacing w:after="0"/>
              <w:rPr>
                <w:sz w:val="20"/>
                <w:szCs w:val="20"/>
                <w:color w:val="auto"/>
              </w:rPr>
            </w:pPr>
            <w:r>
              <w:rPr>
                <w:rFonts w:ascii="Arial" w:cs="Arial" w:eastAsia="Arial" w:hAnsi="Arial"/>
                <w:sz w:val="16"/>
                <w:szCs w:val="16"/>
                <w:color w:val="auto"/>
              </w:rPr>
              <w:t>Total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Western Hemisphere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Eastern Hemisphere</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80"/>
              <w:spacing w:after="0"/>
              <w:rPr>
                <w:sz w:val="20"/>
                <w:szCs w:val="20"/>
                <w:color w:val="auto"/>
              </w:rPr>
            </w:pPr>
            <w:r>
              <w:rPr>
                <w:rFonts w:ascii="Arial" w:cs="Arial" w:eastAsia="Arial" w:hAnsi="Arial"/>
                <w:sz w:val="16"/>
                <w:szCs w:val="16"/>
                <w:color w:val="auto"/>
              </w:rPr>
              <w:t>Segment Operating Income</w:t>
            </w:r>
          </w:p>
        </w:tc>
        <w:tc>
          <w:tcPr>
            <w:tcW w:w="2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Corporate Expenses</w:t>
            </w: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Goodwill Impairment</w:t>
            </w: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Prepetition Charges</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Gain on Sale of Operational Assets</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Other Charges, Net</w:t>
            </w: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Pr>
          <w:p>
            <w:pPr>
              <w:ind w:left="140"/>
              <w:spacing w:after="0"/>
              <w:rPr>
                <w:sz w:val="20"/>
                <w:szCs w:val="20"/>
                <w:color w:val="auto"/>
              </w:rPr>
            </w:pPr>
            <w:r>
              <w:rPr>
                <w:rFonts w:ascii="Arial" w:cs="Arial" w:eastAsia="Arial" w:hAnsi="Arial"/>
                <w:sz w:val="16"/>
                <w:szCs w:val="16"/>
                <w:color w:val="auto"/>
              </w:rPr>
              <w:t>Total 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auto"/>
              </w:rPr>
              <w:t>Depreciation and Amortization</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Western Hemisphere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Eastern Hemisphere</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Pr>
          <w:p>
            <w:pPr>
              <w:ind w:left="140"/>
              <w:spacing w:after="0"/>
              <w:rPr>
                <w:sz w:val="20"/>
                <w:szCs w:val="20"/>
                <w:color w:val="auto"/>
              </w:rPr>
            </w:pPr>
            <w:r>
              <w:rPr>
                <w:rFonts w:ascii="Arial" w:cs="Arial" w:eastAsia="Arial" w:hAnsi="Arial"/>
                <w:sz w:val="16"/>
                <w:szCs w:val="16"/>
                <w:color w:val="auto"/>
                <w:w w:val="98"/>
              </w:rPr>
              <w:t>Total Depreciation and Amortization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21"/>
                <w:szCs w:val="21"/>
                <w:b w:val="1"/>
                <w:bCs w:val="1"/>
                <w:color w:val="auto"/>
                <w:vertAlign w:val="superscript"/>
              </w:rPr>
              <w:t>(b)</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60" w:type="dxa"/>
            <w:vAlign w:val="bottom"/>
          </w:tcPr>
          <w:p>
            <w:pPr>
              <w:spacing w:after="0"/>
              <w:rPr>
                <w:sz w:val="20"/>
                <w:szCs w:val="20"/>
                <w:color w:val="auto"/>
              </w:rPr>
            </w:pPr>
            <w:r>
              <w:rPr>
                <w:rFonts w:ascii="Arial" w:cs="Arial" w:eastAsia="Arial" w:hAnsi="Arial"/>
                <w:sz w:val="16"/>
                <w:szCs w:val="16"/>
                <w:color w:val="auto"/>
              </w:rPr>
              <w:t>Western Hemisphere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Eastern Hemisphere</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Product Line </w:t>
            </w:r>
            <w:r>
              <w:rPr>
                <w:rFonts w:ascii="Arial" w:cs="Arial" w:eastAsia="Arial" w:hAnsi="Arial"/>
                <w:sz w:val="21"/>
                <w:szCs w:val="21"/>
                <w:b w:val="1"/>
                <w:bCs w:val="1"/>
                <w:color w:val="auto"/>
                <w:vertAlign w:val="superscript"/>
              </w:rPr>
              <w:t>(c</w:t>
            </w:r>
            <w:r>
              <w:rPr>
                <w:rFonts w:ascii="Arial" w:cs="Arial" w:eastAsia="Arial" w:hAnsi="Arial"/>
                <w:sz w:val="21"/>
                <w:szCs w:val="21"/>
                <w:color w:val="auto"/>
                <w:vertAlign w:val="superscript"/>
              </w:rPr>
              <w:t>)</w:t>
            </w:r>
            <w:r>
              <w:rPr>
                <w:rFonts w:ascii="Arial" w:cs="Arial" w:eastAsia="Arial" w:hAnsi="Arial"/>
                <w:sz w:val="16"/>
                <w:szCs w:val="16"/>
                <w:b w:val="1"/>
                <w:bCs w:val="1"/>
                <w:color w:val="auto"/>
              </w:rPr>
              <w:t xml:space="preserve"> Revenues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60" w:type="dxa"/>
            <w:vAlign w:val="bottom"/>
          </w:tcPr>
          <w:p>
            <w:pPr>
              <w:spacing w:after="0"/>
              <w:rPr>
                <w:sz w:val="20"/>
                <w:szCs w:val="20"/>
                <w:color w:val="auto"/>
              </w:rPr>
            </w:pPr>
            <w:r>
              <w:rPr>
                <w:rFonts w:ascii="Arial" w:cs="Arial" w:eastAsia="Arial" w:hAnsi="Arial"/>
                <w:sz w:val="16"/>
                <w:szCs w:val="16"/>
                <w:color w:val="auto"/>
              </w:rPr>
              <w:t>Production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Completion</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314</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Drilling and Evaluation</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281</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6"/>
                <w:szCs w:val="16"/>
                <w:color w:val="auto"/>
              </w:rPr>
              <w:t>Well Construction</w:t>
            </w:r>
          </w:p>
        </w:tc>
        <w:tc>
          <w:tcPr>
            <w:tcW w:w="20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267</w:t>
            </w:r>
          </w:p>
        </w:tc>
        <w:tc>
          <w:tcPr>
            <w:tcW w:w="28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Pr>
          <w:p>
            <w:pPr>
              <w:ind w:left="140"/>
              <w:spacing w:after="0"/>
              <w:rPr>
                <w:sz w:val="20"/>
                <w:szCs w:val="20"/>
                <w:color w:val="auto"/>
              </w:rPr>
            </w:pPr>
            <w:r>
              <w:rPr>
                <w:rFonts w:ascii="Arial" w:cs="Arial" w:eastAsia="Arial" w:hAnsi="Arial"/>
                <w:sz w:val="16"/>
                <w:szCs w:val="16"/>
                <w:color w:val="auto"/>
              </w:rPr>
              <w:t>Total Product Line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87"/>
              </w:rPr>
              <w:t>Predecessor</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Predecessor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Period From</w:t>
            </w:r>
          </w:p>
        </w:tc>
        <w:tc>
          <w:tcPr>
            <w:tcW w:w="160" w:type="dxa"/>
            <w:vAlign w:val="bottom"/>
          </w:tcPr>
          <w:p>
            <w:pPr>
              <w:spacing w:after="0"/>
              <w:rPr>
                <w:sz w:val="20"/>
                <w:szCs w:val="20"/>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Non-GAAP</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Quarter</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120" w:type="dxa"/>
            <w:vAlign w:val="bottom"/>
          </w:tcPr>
          <w:p>
            <w:pPr>
              <w:spacing w:after="0"/>
              <w:rPr>
                <w:sz w:val="23"/>
                <w:szCs w:val="23"/>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10/01/19 to</w:t>
            </w:r>
          </w:p>
        </w:tc>
        <w:tc>
          <w:tcPr>
            <w:tcW w:w="160" w:type="dxa"/>
            <w:vAlign w:val="bottom"/>
          </w:tcPr>
          <w:p>
            <w:pPr>
              <w:spacing w:after="0"/>
              <w:rPr>
                <w:sz w:val="23"/>
                <w:szCs w:val="23"/>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Combined</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Ended</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12/13/19</w:t>
            </w:r>
          </w:p>
        </w:tc>
        <w:tc>
          <w:tcPr>
            <w:tcW w:w="160" w:type="dxa"/>
            <w:vAlign w:val="bottom"/>
          </w:tcPr>
          <w:p>
            <w:pPr>
              <w:spacing w:after="0"/>
              <w:rPr>
                <w:sz w:val="23"/>
                <w:szCs w:val="23"/>
                <w:color w:val="auto"/>
              </w:rPr>
            </w:pPr>
          </w:p>
        </w:tc>
        <w:tc>
          <w:tcPr>
            <w:tcW w:w="106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Results</w:t>
            </w:r>
          </w:p>
        </w:tc>
        <w:tc>
          <w:tcPr>
            <w:tcW w:w="180" w:type="dxa"/>
            <w:vAlign w:val="bottom"/>
          </w:tcPr>
          <w:p>
            <w:pPr>
              <w:spacing w:after="0"/>
              <w:rPr>
                <w:sz w:val="23"/>
                <w:szCs w:val="23"/>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9/30/19</w:t>
            </w:r>
          </w:p>
        </w:tc>
        <w:tc>
          <w:tcPr>
            <w:tcW w:w="200" w:type="dxa"/>
            <w:vAlign w:val="bottom"/>
          </w:tcPr>
          <w:p>
            <w:pPr>
              <w:spacing w:after="0"/>
              <w:rPr>
                <w:sz w:val="23"/>
                <w:szCs w:val="23"/>
                <w:color w:val="auto"/>
              </w:rPr>
            </w:pPr>
          </w:p>
        </w:tc>
        <w:tc>
          <w:tcPr>
            <w:tcW w:w="8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6/30/19</w:t>
            </w:r>
          </w:p>
        </w:tc>
        <w:tc>
          <w:tcPr>
            <w:tcW w:w="200" w:type="dxa"/>
            <w:vAlign w:val="bottom"/>
          </w:tcPr>
          <w:p>
            <w:pPr>
              <w:spacing w:after="0"/>
              <w:rPr>
                <w:sz w:val="23"/>
                <w:szCs w:val="23"/>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rPr>
              <w:t>3/31/19</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0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60" w:type="dxa"/>
            <w:vAlign w:val="bottom"/>
          </w:tcPr>
          <w:p>
            <w:pPr>
              <w:jc w:val="right"/>
              <w:spacing w:after="0"/>
              <w:rPr>
                <w:sz w:val="20"/>
                <w:szCs w:val="20"/>
                <w:color w:val="auto"/>
              </w:rPr>
            </w:pPr>
            <w:r>
              <w:rPr>
                <w:rFonts w:ascii="Arial" w:cs="Arial" w:eastAsia="Arial" w:hAnsi="Arial"/>
                <w:sz w:val="16"/>
                <w:szCs w:val="16"/>
                <w:color w:val="2C2C2C"/>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2C2C2C"/>
              </w:rPr>
              <w:t>621</w:t>
            </w:r>
          </w:p>
        </w:tc>
        <w:tc>
          <w:tcPr>
            <w:tcW w:w="180" w:type="dxa"/>
            <w:vAlign w:val="bottom"/>
          </w:tcPr>
          <w:p>
            <w:pPr>
              <w:jc w:val="right"/>
              <w:spacing w:after="0"/>
              <w:rPr>
                <w:sz w:val="20"/>
                <w:szCs w:val="20"/>
                <w:color w:val="auto"/>
              </w:rPr>
            </w:pPr>
            <w:r>
              <w:rPr>
                <w:rFonts w:ascii="Arial" w:cs="Arial" w:eastAsia="Arial" w:hAnsi="Arial"/>
                <w:sz w:val="16"/>
                <w:szCs w:val="16"/>
                <w:color w:val="2C2C2C"/>
              </w:rPr>
              <w:t>$</w:t>
            </w:r>
          </w:p>
        </w:tc>
        <w:tc>
          <w:tcPr>
            <w:tcW w:w="800" w:type="dxa"/>
            <w:vAlign w:val="bottom"/>
          </w:tcPr>
          <w:p>
            <w:pPr>
              <w:jc w:val="right"/>
              <w:spacing w:after="0"/>
              <w:rPr>
                <w:sz w:val="20"/>
                <w:szCs w:val="20"/>
                <w:color w:val="auto"/>
              </w:rPr>
            </w:pPr>
            <w:r>
              <w:rPr>
                <w:rFonts w:ascii="Arial" w:cs="Arial" w:eastAsia="Arial" w:hAnsi="Arial"/>
                <w:sz w:val="16"/>
                <w:szCs w:val="16"/>
                <w:color w:val="2C2C2C"/>
              </w:rPr>
              <w:t>675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726</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C2C2C"/>
              </w:rPr>
              <w:t>625</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639</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590</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620</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985</w:t>
            </w:r>
          </w:p>
        </w:tc>
        <w:tc>
          <w:tcPr>
            <w:tcW w:w="160" w:type="dxa"/>
            <w:vAlign w:val="bottom"/>
          </w:tcPr>
          <w:p>
            <w:pPr>
              <w:jc w:val="right"/>
              <w:spacing w:after="0"/>
              <w:rPr>
                <w:sz w:val="20"/>
                <w:szCs w:val="20"/>
                <w:color w:val="auto"/>
              </w:rPr>
            </w:pPr>
            <w:r>
              <w:rPr>
                <w:rFonts w:ascii="Arial" w:cs="Arial" w:eastAsia="Arial" w:hAnsi="Arial"/>
                <w:sz w:val="16"/>
                <w:szCs w:val="16"/>
                <w:color w:val="2C2C2C"/>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2C2C2C"/>
              </w:rPr>
              <w:t>1,246</w:t>
            </w:r>
          </w:p>
        </w:tc>
        <w:tc>
          <w:tcPr>
            <w:tcW w:w="180" w:type="dxa"/>
            <w:vAlign w:val="bottom"/>
          </w:tcPr>
          <w:p>
            <w:pPr>
              <w:jc w:val="right"/>
              <w:spacing w:after="0"/>
              <w:rPr>
                <w:sz w:val="20"/>
                <w:szCs w:val="20"/>
                <w:color w:val="auto"/>
              </w:rPr>
            </w:pPr>
            <w:r>
              <w:rPr>
                <w:rFonts w:ascii="Arial" w:cs="Arial" w:eastAsia="Arial" w:hAnsi="Arial"/>
                <w:sz w:val="16"/>
                <w:szCs w:val="16"/>
                <w:color w:val="2C2C2C"/>
              </w:rPr>
              <w:t>$</w:t>
            </w:r>
          </w:p>
        </w:tc>
        <w:tc>
          <w:tcPr>
            <w:tcW w:w="800" w:type="dxa"/>
            <w:vAlign w:val="bottom"/>
          </w:tcPr>
          <w:p>
            <w:pPr>
              <w:jc w:val="right"/>
              <w:spacing w:after="0"/>
              <w:rPr>
                <w:sz w:val="20"/>
                <w:szCs w:val="20"/>
                <w:color w:val="auto"/>
              </w:rPr>
            </w:pPr>
            <w:r>
              <w:rPr>
                <w:rFonts w:ascii="Arial" w:cs="Arial" w:eastAsia="Arial" w:hAnsi="Arial"/>
                <w:sz w:val="16"/>
                <w:szCs w:val="16"/>
                <w:color w:val="2C2C2C"/>
              </w:rPr>
              <w:t>1,314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1,346</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8"/>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151</w:t>
            </w:r>
          </w:p>
        </w:tc>
      </w:tr>
      <w:tr>
        <w:trPr>
          <w:trHeight w:val="270"/>
        </w:trPr>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8"/>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60" w:type="dxa"/>
            <w:vAlign w:val="bottom"/>
          </w:tcPr>
          <w:p>
            <w:pPr>
              <w:jc w:val="right"/>
              <w:spacing w:after="0"/>
              <w:rPr>
                <w:sz w:val="20"/>
                <w:szCs w:val="20"/>
                <w:color w:val="auto"/>
              </w:rPr>
            </w:pPr>
            <w:r>
              <w:rPr>
                <w:rFonts w:ascii="Arial" w:cs="Arial" w:eastAsia="Arial" w:hAnsi="Arial"/>
                <w:sz w:val="16"/>
                <w:szCs w:val="16"/>
                <w:color w:val="2C2C2C"/>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2C2C2C"/>
              </w:rPr>
              <w:t>15</w:t>
            </w:r>
          </w:p>
        </w:tc>
        <w:tc>
          <w:tcPr>
            <w:tcW w:w="180" w:type="dxa"/>
            <w:vAlign w:val="bottom"/>
          </w:tcPr>
          <w:p>
            <w:pPr>
              <w:jc w:val="right"/>
              <w:spacing w:after="0"/>
              <w:rPr>
                <w:sz w:val="20"/>
                <w:szCs w:val="20"/>
                <w:color w:val="auto"/>
              </w:rPr>
            </w:pPr>
            <w:r>
              <w:rPr>
                <w:rFonts w:ascii="Arial" w:cs="Arial" w:eastAsia="Arial" w:hAnsi="Arial"/>
                <w:sz w:val="16"/>
                <w:szCs w:val="16"/>
                <w:color w:val="2C2C2C"/>
              </w:rPr>
              <w:t>$</w:t>
            </w:r>
          </w:p>
        </w:tc>
        <w:tc>
          <w:tcPr>
            <w:tcW w:w="800" w:type="dxa"/>
            <w:vAlign w:val="bottom"/>
          </w:tcPr>
          <w:p>
            <w:pPr>
              <w:jc w:val="right"/>
              <w:spacing w:after="0"/>
              <w:rPr>
                <w:sz w:val="20"/>
                <w:szCs w:val="20"/>
                <w:color w:val="auto"/>
              </w:rPr>
            </w:pPr>
            <w:r>
              <w:rPr>
                <w:rFonts w:ascii="Arial" w:cs="Arial" w:eastAsia="Arial" w:hAnsi="Arial"/>
                <w:sz w:val="16"/>
                <w:szCs w:val="16"/>
                <w:color w:val="2C2C2C"/>
              </w:rPr>
              <w:t>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C2C2C"/>
              </w:rPr>
              <w:t>40</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56</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C2C2C"/>
              </w:rPr>
              <w:t>55</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71</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70"/>
        </w:trPr>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(28)</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(31)</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(399)</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70"/>
        </w:trPr>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(96)</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(53)</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15</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(246)</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(246)</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(50)</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(316)</w:t>
            </w:r>
          </w:p>
        </w:tc>
        <w:tc>
          <w:tcPr>
            <w:tcW w:w="160" w:type="dxa"/>
            <w:vAlign w:val="bottom"/>
          </w:tcPr>
          <w:p>
            <w:pPr>
              <w:jc w:val="right"/>
              <w:spacing w:after="0"/>
              <w:rPr>
                <w:sz w:val="20"/>
                <w:szCs w:val="20"/>
                <w:color w:val="auto"/>
              </w:rPr>
            </w:pPr>
            <w:r>
              <w:rPr>
                <w:rFonts w:ascii="Arial" w:cs="Arial" w:eastAsia="Arial" w:hAnsi="Arial"/>
                <w:sz w:val="16"/>
                <w:szCs w:val="16"/>
                <w:color w:val="2C2C2C"/>
              </w:rPr>
              <w:t>$</w:t>
            </w:r>
          </w:p>
        </w:tc>
        <w:tc>
          <w:tcPr>
            <w:tcW w:w="1060" w:type="dxa"/>
            <w:vAlign w:val="bottom"/>
          </w:tcPr>
          <w:p>
            <w:pPr>
              <w:jc w:val="right"/>
              <w:spacing w:after="0"/>
              <w:rPr>
                <w:sz w:val="20"/>
                <w:szCs w:val="20"/>
                <w:color w:val="auto"/>
              </w:rPr>
            </w:pPr>
            <w:r>
              <w:rPr>
                <w:rFonts w:ascii="Arial" w:cs="Arial" w:eastAsia="Arial" w:hAnsi="Arial"/>
                <w:sz w:val="16"/>
                <w:szCs w:val="16"/>
                <w:color w:val="2C2C2C"/>
              </w:rPr>
              <w:t>(315)</w:t>
            </w:r>
          </w:p>
        </w:tc>
        <w:tc>
          <w:tcPr>
            <w:tcW w:w="180" w:type="dxa"/>
            <w:vAlign w:val="bottom"/>
          </w:tcPr>
          <w:p>
            <w:pPr>
              <w:jc w:val="right"/>
              <w:spacing w:after="0"/>
              <w:rPr>
                <w:sz w:val="20"/>
                <w:szCs w:val="20"/>
                <w:color w:val="auto"/>
              </w:rPr>
            </w:pPr>
            <w:r>
              <w:rPr>
                <w:rFonts w:ascii="Arial" w:cs="Arial" w:eastAsia="Arial" w:hAnsi="Arial"/>
                <w:sz w:val="16"/>
                <w:szCs w:val="16"/>
                <w:color w:val="2C2C2C"/>
              </w:rPr>
              <w:t>$</w:t>
            </w:r>
          </w:p>
        </w:tc>
        <w:tc>
          <w:tcPr>
            <w:tcW w:w="800" w:type="dxa"/>
            <w:vAlign w:val="bottom"/>
          </w:tcPr>
          <w:p>
            <w:pPr>
              <w:jc w:val="right"/>
              <w:spacing w:after="0"/>
              <w:rPr>
                <w:sz w:val="20"/>
                <w:szCs w:val="20"/>
                <w:color w:val="auto"/>
              </w:rPr>
            </w:pPr>
            <w:r>
              <w:rPr>
                <w:rFonts w:ascii="Arial" w:cs="Arial" w:eastAsia="Arial" w:hAnsi="Arial"/>
                <w:sz w:val="16"/>
                <w:szCs w:val="16"/>
                <w:color w:val="2C2C2C"/>
              </w:rPr>
              <w:t>(447)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8"/>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7"/>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8"/>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399</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303</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306</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311</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336</w:t>
            </w:r>
          </w:p>
        </w:tc>
      </w:tr>
      <w:tr>
        <w:trPr>
          <w:trHeight w:val="270"/>
        </w:trPr>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236</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316</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w:t>
            </w: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305</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985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1,346</w:t>
            </w:r>
          </w:p>
        </w:tc>
      </w:tr>
      <w:tr>
        <w:trPr>
          <w:trHeight w:val="33"/>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2">
            <w:col w:w="5552" w:space="260"/>
            <w:col w:w="5420"/>
          </w:cols>
          <w:pgMar w:left="328" w:top="720" w:right="339" w:bottom="1440" w:gutter="0" w:footer="0" w:header="0"/>
          <w:type w:val="continuous"/>
        </w:sectPr>
      </w:pPr>
    </w:p>
    <w:p>
      <w:pPr>
        <w:ind w:left="332" w:hanging="332"/>
        <w:spacing w:after="0"/>
        <w:tabs>
          <w:tab w:leader="none" w:pos="332"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the $15 million gain on sale operational asset in the third quarter of 2019.</w:t>
      </w:r>
    </w:p>
    <w:p>
      <w:pPr>
        <w:spacing w:after="0" w:line="53" w:lineRule="exact"/>
        <w:rPr>
          <w:rFonts w:ascii="Arial" w:cs="Arial" w:eastAsia="Arial" w:hAnsi="Arial"/>
          <w:sz w:val="13"/>
          <w:szCs w:val="13"/>
          <w:color w:val="auto"/>
        </w:rPr>
      </w:pPr>
    </w:p>
    <w:p>
      <w:pPr>
        <w:ind w:left="332" w:hanging="332"/>
        <w:spacing w:after="0"/>
        <w:tabs>
          <w:tab w:leader="none" w:pos="332"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the first quarter of 2020 the Company began reporting adjusted EBITDA excluding the burden of stock-based compensation. Historical periods have been restated to reflect this methodology.</w:t>
      </w:r>
    </w:p>
    <w:p>
      <w:pPr>
        <w:spacing w:after="0" w:line="64" w:lineRule="exact"/>
        <w:rPr>
          <w:rFonts w:ascii="Arial" w:cs="Arial" w:eastAsia="Arial" w:hAnsi="Arial"/>
          <w:sz w:val="12"/>
          <w:szCs w:val="12"/>
          <w:color w:val="auto"/>
        </w:rPr>
      </w:pPr>
    </w:p>
    <w:p>
      <w:pPr>
        <w:ind w:left="332" w:hanging="332"/>
        <w:spacing w:after="0" w:line="296" w:lineRule="auto"/>
        <w:tabs>
          <w:tab w:leader="none" w:pos="332"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Production includes Artificial Lift Systems, Stimulation and Testing and Production Services. Completions includes Completion Systems, Liner Systems and Cementing Products. Drilling and Evaluation includes Drilling Services, Managed Pressure Drilling, and Wireline Services. Well Construction includes Tubular Running Services, Intervention Services, and Drilling Tools and Rental Equipment.</w:t>
      </w:r>
    </w:p>
    <w:p>
      <w:pPr>
        <w:sectPr>
          <w:pgSz w:w="11900" w:h="16838" w:orient="portrait"/>
          <w:cols w:equalWidth="0" w:num="1">
            <w:col w:w="11232"/>
          </w:cols>
          <w:pgMar w:left="328" w:top="720" w:right="339" w:bottom="1440" w:gutter="0" w:footer="0" w:header="0"/>
          <w:type w:val="continuous"/>
        </w:sect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32"/>
          </w:cols>
          <w:pgMar w:left="328" w:top="720" w:right="339" w:bottom="1440" w:gutter="0" w:footer="0" w:header="0"/>
          <w:type w:val="continuous"/>
        </w:sectPr>
      </w:pPr>
    </w:p>
    <w:bookmarkStart w:id="14" w:name="page15"/>
    <w:bookmarkEnd w:id="14"/>
    <w:p>
      <w:pPr>
        <w:jc w:val="both"/>
        <w:spacing w:after="0" w:line="274"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Weatherford International plc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Reconciliation of GAAP to Non-GAAP Financial Measures (Unaudited)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in 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35"/>
              <w:spacing w:after="0"/>
              <w:rPr>
                <w:sz w:val="20"/>
                <w:szCs w:val="20"/>
                <w:color w:val="auto"/>
              </w:rPr>
            </w:pPr>
            <w:r>
              <w:rPr>
                <w:rFonts w:ascii="Arial" w:cs="Arial" w:eastAsia="Arial" w:hAnsi="Arial"/>
                <w:sz w:val="17"/>
                <w:szCs w:val="17"/>
                <w:b w:val="1"/>
                <w:bCs w:val="1"/>
                <w:color w:val="auto"/>
                <w:w w:val="81"/>
              </w:rPr>
              <w:t>Successor</w:t>
            </w:r>
          </w:p>
        </w:tc>
        <w:tc>
          <w:tcPr>
            <w:tcW w:w="200" w:type="dxa"/>
            <w:vAlign w:val="bottom"/>
          </w:tcPr>
          <w:p>
            <w:pPr>
              <w:spacing w:after="0"/>
              <w:rPr>
                <w:sz w:val="20"/>
                <w:szCs w:val="20"/>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81"/>
              </w:rPr>
              <w:t>Successor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b w:val="1"/>
                <w:bCs w:val="1"/>
                <w:color w:val="auto"/>
                <w:w w:val="84"/>
              </w:rPr>
              <w:t>Predecessor</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Predecessor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5"/>
              <w:spacing w:after="0"/>
              <w:rPr>
                <w:sz w:val="20"/>
                <w:szCs w:val="20"/>
                <w:color w:val="auto"/>
              </w:rPr>
            </w:pPr>
            <w:r>
              <w:rPr>
                <w:rFonts w:ascii="Arial" w:cs="Arial" w:eastAsia="Arial" w:hAnsi="Arial"/>
                <w:sz w:val="17"/>
                <w:szCs w:val="17"/>
                <w:b w:val="1"/>
                <w:bCs w:val="1"/>
                <w:color w:val="auto"/>
                <w:w w:val="97"/>
              </w:rPr>
              <w:t>Quarter</w:t>
            </w:r>
          </w:p>
        </w:tc>
        <w:tc>
          <w:tcPr>
            <w:tcW w:w="200" w:type="dxa"/>
            <w:vAlign w:val="bottom"/>
          </w:tcPr>
          <w:p>
            <w:pPr>
              <w:spacing w:after="0"/>
              <w:rPr>
                <w:sz w:val="20"/>
                <w:szCs w:val="20"/>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93"/>
              </w:rPr>
              <w:t>Period From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b w:val="1"/>
                <w:bCs w:val="1"/>
                <w:color w:val="auto"/>
                <w:w w:val="93"/>
              </w:rPr>
              <w:t>Period From</w:t>
            </w:r>
          </w:p>
        </w:tc>
        <w:tc>
          <w:tcPr>
            <w:tcW w:w="120" w:type="dxa"/>
            <w:vAlign w:val="bottom"/>
          </w:tcPr>
          <w:p>
            <w:pPr>
              <w:spacing w:after="0"/>
              <w:rPr>
                <w:sz w:val="20"/>
                <w:szCs w:val="20"/>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95"/>
              </w:rPr>
              <w:t>Non-GAAP</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35"/>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center"/>
              <w:ind w:right="135"/>
              <w:spacing w:after="0"/>
              <w:rPr>
                <w:sz w:val="20"/>
                <w:szCs w:val="20"/>
                <w:color w:val="auto"/>
              </w:rPr>
            </w:pPr>
            <w:r>
              <w:rPr>
                <w:rFonts w:ascii="Arial" w:cs="Arial" w:eastAsia="Arial" w:hAnsi="Arial"/>
                <w:sz w:val="17"/>
                <w:szCs w:val="17"/>
                <w:b w:val="1"/>
                <w:bCs w:val="1"/>
                <w:color w:val="auto"/>
                <w:w w:val="88"/>
              </w:rPr>
              <w:t>Ended</w:t>
            </w:r>
          </w:p>
        </w:tc>
        <w:tc>
          <w:tcPr>
            <w:tcW w:w="200" w:type="dxa"/>
            <w:vAlign w:val="bottom"/>
          </w:tcPr>
          <w:p>
            <w:pPr>
              <w:spacing w:after="0"/>
              <w:rPr>
                <w:sz w:val="23"/>
                <w:szCs w:val="23"/>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89"/>
              </w:rPr>
              <w:t>12/14/19 to</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b w:val="1"/>
                <w:bCs w:val="1"/>
                <w:color w:val="auto"/>
                <w:w w:val="90"/>
              </w:rPr>
              <w:t>10/1/19 to</w:t>
            </w:r>
          </w:p>
        </w:tc>
        <w:tc>
          <w:tcPr>
            <w:tcW w:w="120" w:type="dxa"/>
            <w:vAlign w:val="bottom"/>
          </w:tcPr>
          <w:p>
            <w:pPr>
              <w:spacing w:after="0"/>
              <w:rPr>
                <w:sz w:val="23"/>
                <w:szCs w:val="23"/>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91"/>
              </w:rPr>
              <w:t>Combined</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center"/>
              <w:ind w:right="35"/>
              <w:spacing w:after="0"/>
              <w:rPr>
                <w:sz w:val="20"/>
                <w:szCs w:val="20"/>
                <w:color w:val="auto"/>
              </w:rPr>
            </w:pPr>
            <w:r>
              <w:rPr>
                <w:rFonts w:ascii="Arial" w:cs="Arial" w:eastAsia="Arial" w:hAnsi="Arial"/>
                <w:sz w:val="17"/>
                <w:szCs w:val="17"/>
                <w:b w:val="1"/>
                <w:bCs w:val="1"/>
                <w:color w:val="auto"/>
                <w:w w:val="92"/>
              </w:rPr>
              <w:t>Ended</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center"/>
              <w:ind w:right="115"/>
              <w:spacing w:after="0"/>
              <w:rPr>
                <w:sz w:val="20"/>
                <w:szCs w:val="20"/>
                <w:color w:val="auto"/>
              </w:rPr>
            </w:pPr>
            <w:r>
              <w:rPr>
                <w:rFonts w:ascii="Arial" w:cs="Arial" w:eastAsia="Arial" w:hAnsi="Arial"/>
                <w:sz w:val="17"/>
                <w:szCs w:val="17"/>
                <w:b w:val="1"/>
                <w:bCs w:val="1"/>
                <w:color w:val="auto"/>
                <w:w w:val="91"/>
              </w:rPr>
              <w:t>3/31/20</w:t>
            </w:r>
          </w:p>
        </w:tc>
        <w:tc>
          <w:tcPr>
            <w:tcW w:w="200" w:type="dxa"/>
            <w:vAlign w:val="bottom"/>
          </w:tcPr>
          <w:p>
            <w:pPr>
              <w:spacing w:after="0"/>
              <w:rPr>
                <w:sz w:val="23"/>
                <w:szCs w:val="23"/>
                <w:color w:val="auto"/>
              </w:rPr>
            </w:pPr>
          </w:p>
        </w:tc>
        <w:tc>
          <w:tcPr>
            <w:tcW w:w="1100" w:type="dxa"/>
            <w:vAlign w:val="bottom"/>
          </w:tcPr>
          <w:p>
            <w:pPr>
              <w:jc w:val="center"/>
              <w:ind w:right="35"/>
              <w:spacing w:after="0"/>
              <w:rPr>
                <w:sz w:val="20"/>
                <w:szCs w:val="20"/>
                <w:color w:val="auto"/>
              </w:rPr>
            </w:pPr>
            <w:r>
              <w:rPr>
                <w:rFonts w:ascii="Arial" w:cs="Arial" w:eastAsia="Arial" w:hAnsi="Arial"/>
                <w:sz w:val="17"/>
                <w:szCs w:val="17"/>
                <w:b w:val="1"/>
                <w:bCs w:val="1"/>
                <w:color w:val="auto"/>
                <w:w w:val="93"/>
              </w:rPr>
              <w:t>12/31/19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center"/>
              <w:ind w:right="75"/>
              <w:spacing w:after="0"/>
              <w:rPr>
                <w:sz w:val="20"/>
                <w:szCs w:val="20"/>
                <w:color w:val="auto"/>
              </w:rPr>
            </w:pPr>
            <w:r>
              <w:rPr>
                <w:rFonts w:ascii="Arial" w:cs="Arial" w:eastAsia="Arial" w:hAnsi="Arial"/>
                <w:sz w:val="17"/>
                <w:szCs w:val="17"/>
                <w:b w:val="1"/>
                <w:bCs w:val="1"/>
                <w:color w:val="auto"/>
                <w:w w:val="93"/>
              </w:rPr>
              <w:t>12/13/19</w:t>
            </w:r>
          </w:p>
        </w:tc>
        <w:tc>
          <w:tcPr>
            <w:tcW w:w="120" w:type="dxa"/>
            <w:vAlign w:val="bottom"/>
          </w:tcPr>
          <w:p>
            <w:pPr>
              <w:spacing w:after="0"/>
              <w:rPr>
                <w:sz w:val="23"/>
                <w:szCs w:val="23"/>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84"/>
              </w:rPr>
              <w:t>Results</w:t>
            </w:r>
          </w:p>
        </w:tc>
        <w:tc>
          <w:tcPr>
            <w:tcW w:w="180" w:type="dxa"/>
            <w:vAlign w:val="bottom"/>
          </w:tcPr>
          <w:p>
            <w:pPr>
              <w:spacing w:after="0"/>
              <w:rPr>
                <w:sz w:val="23"/>
                <w:szCs w:val="23"/>
                <w:color w:val="auto"/>
              </w:rPr>
            </w:pPr>
          </w:p>
        </w:tc>
        <w:tc>
          <w:tcPr>
            <w:tcW w:w="820" w:type="dxa"/>
            <w:vAlign w:val="bottom"/>
          </w:tcPr>
          <w:p>
            <w:pPr>
              <w:jc w:val="right"/>
              <w:ind w:right="155"/>
              <w:spacing w:after="0"/>
              <w:rPr>
                <w:sz w:val="20"/>
                <w:szCs w:val="20"/>
                <w:color w:val="auto"/>
              </w:rPr>
            </w:pPr>
            <w:r>
              <w:rPr>
                <w:rFonts w:ascii="Arial" w:cs="Arial" w:eastAsia="Arial" w:hAnsi="Arial"/>
                <w:sz w:val="17"/>
                <w:szCs w:val="17"/>
                <w:b w:val="1"/>
                <w:bCs w:val="1"/>
                <w:color w:val="auto"/>
                <w:w w:val="98"/>
              </w:rPr>
              <w:t>9/30/19</w:t>
            </w:r>
          </w:p>
        </w:tc>
        <w:tc>
          <w:tcPr>
            <w:tcW w:w="180" w:type="dxa"/>
            <w:vAlign w:val="bottom"/>
          </w:tcPr>
          <w:p>
            <w:pPr>
              <w:spacing w:after="0"/>
              <w:rPr>
                <w:sz w:val="23"/>
                <w:szCs w:val="23"/>
                <w:color w:val="auto"/>
              </w:rPr>
            </w:pPr>
          </w:p>
        </w:tc>
        <w:tc>
          <w:tcPr>
            <w:tcW w:w="84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6/30/19</w:t>
            </w:r>
          </w:p>
        </w:tc>
        <w:tc>
          <w:tcPr>
            <w:tcW w:w="180" w:type="dxa"/>
            <w:vAlign w:val="bottom"/>
          </w:tcPr>
          <w:p>
            <w:pPr>
              <w:spacing w:after="0"/>
              <w:rPr>
                <w:sz w:val="23"/>
                <w:szCs w:val="23"/>
                <w:color w:val="auto"/>
              </w:rPr>
            </w:pPr>
          </w:p>
        </w:tc>
        <w:tc>
          <w:tcPr>
            <w:tcW w:w="840" w:type="dxa"/>
            <w:vAlign w:val="bottom"/>
          </w:tcPr>
          <w:p>
            <w:pPr>
              <w:jc w:val="right"/>
              <w:ind w:right="155"/>
              <w:spacing w:after="0"/>
              <w:rPr>
                <w:sz w:val="20"/>
                <w:szCs w:val="20"/>
                <w:color w:val="auto"/>
              </w:rPr>
            </w:pPr>
            <w:r>
              <w:rPr>
                <w:rFonts w:ascii="Arial" w:cs="Arial" w:eastAsia="Arial" w:hAnsi="Arial"/>
                <w:sz w:val="17"/>
                <w:szCs w:val="17"/>
                <w:b w:val="1"/>
                <w:bCs w:val="1"/>
                <w:color w:val="auto"/>
              </w:rPr>
              <w:t>3/31/19</w:t>
            </w:r>
          </w:p>
        </w:tc>
        <w:tc>
          <w:tcPr>
            <w:tcW w:w="0" w:type="dxa"/>
            <w:vAlign w:val="bottom"/>
          </w:tcPr>
          <w:p>
            <w:pPr>
              <w:spacing w:after="0"/>
              <w:rPr>
                <w:sz w:val="1"/>
                <w:szCs w:val="1"/>
                <w:color w:val="auto"/>
              </w:rPr>
            </w:pPr>
          </w:p>
        </w:tc>
      </w:tr>
      <w:tr>
        <w:trPr>
          <w:trHeight w:val="31"/>
        </w:trPr>
        <w:tc>
          <w:tcPr>
            <w:tcW w:w="29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Operating Income (Loss):</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GAAP Operating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C2C2C"/>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C2C2C"/>
              </w:rPr>
              <w:t>(118)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70"/>
        </w:trPr>
        <w:tc>
          <w:tcPr>
            <w:tcW w:w="2940" w:type="dxa"/>
            <w:vAlign w:val="bottom"/>
          </w:tcPr>
          <w:p>
            <w:pPr>
              <w:ind w:left="180"/>
              <w:spacing w:after="0" w:line="270" w:lineRule="exact"/>
              <w:rPr>
                <w:sz w:val="20"/>
                <w:szCs w:val="20"/>
                <w:color w:val="auto"/>
              </w:rPr>
            </w:pPr>
            <w:r>
              <w:rPr>
                <w:rFonts w:ascii="Arial" w:cs="Arial" w:eastAsia="Arial" w:hAnsi="Arial"/>
                <w:sz w:val="17"/>
                <w:szCs w:val="17"/>
                <w:color w:val="auto"/>
              </w:rPr>
              <w:t xml:space="preserve">Goodwill Impairment </w:t>
            </w:r>
            <w:r>
              <w:rPr>
                <w:rFonts w:ascii="Arial" w:cs="Arial" w:eastAsia="Arial" w:hAnsi="Arial"/>
                <w:sz w:val="28"/>
                <w:szCs w:val="28"/>
                <w:color w:val="auto"/>
                <w:vertAlign w:val="superscript"/>
              </w:rPr>
              <w:t>(a)</w:t>
            </w:r>
          </w:p>
        </w:tc>
        <w:tc>
          <w:tcPr>
            <w:tcW w:w="180" w:type="dxa"/>
            <w:vAlign w:val="bottom"/>
          </w:tcPr>
          <w:p>
            <w:pPr>
              <w:spacing w:after="0"/>
              <w:rPr>
                <w:sz w:val="23"/>
                <w:szCs w:val="23"/>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167</w:t>
            </w:r>
          </w:p>
        </w:tc>
        <w:tc>
          <w:tcPr>
            <w:tcW w:w="200" w:type="dxa"/>
            <w:vAlign w:val="bottom"/>
          </w:tcPr>
          <w:p>
            <w:pPr>
              <w:spacing w:after="0"/>
              <w:rPr>
                <w:sz w:val="23"/>
                <w:szCs w:val="23"/>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399</w:t>
            </w:r>
          </w:p>
        </w:tc>
        <w:tc>
          <w:tcPr>
            <w:tcW w:w="18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102</w:t>
            </w:r>
          </w:p>
        </w:tc>
        <w:tc>
          <w:tcPr>
            <w:tcW w:w="18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 xml:space="preserve">Restructuring Charges </w:t>
            </w:r>
            <w:r>
              <w:rPr>
                <w:rFonts w:ascii="Arial" w:cs="Arial" w:eastAsia="Arial" w:hAnsi="Arial"/>
                <w:sz w:val="28"/>
                <w:szCs w:val="28"/>
                <w:color w:val="auto"/>
                <w:vertAlign w:val="superscript"/>
              </w:rPr>
              <w:t>(b)</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CEEFF"/>
          </w:tcPr>
          <w:p>
            <w:pPr>
              <w:spacing w:after="0"/>
              <w:rPr>
                <w:sz w:val="23"/>
                <w:szCs w:val="23"/>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96</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53</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2"/>
        </w:trPr>
        <w:tc>
          <w:tcPr>
            <w:tcW w:w="2940" w:type="dxa"/>
            <w:vAlign w:val="bottom"/>
          </w:tcPr>
          <w:p>
            <w:pPr>
              <w:ind w:left="180"/>
              <w:spacing w:after="0"/>
              <w:rPr>
                <w:sz w:val="20"/>
                <w:szCs w:val="20"/>
                <w:color w:val="auto"/>
              </w:rPr>
            </w:pPr>
            <w:r>
              <w:rPr>
                <w:rFonts w:ascii="Arial" w:cs="Arial" w:eastAsia="Arial" w:hAnsi="Arial"/>
                <w:sz w:val="17"/>
                <w:szCs w:val="17"/>
                <w:color w:val="auto"/>
              </w:rPr>
              <w:t>Long-lived Assets Impairment and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14"/>
                <w:szCs w:val="14"/>
                <w:color w:val="auto"/>
              </w:rPr>
              <w:t>(c) (d)</w:t>
            </w:r>
          </w:p>
        </w:tc>
        <w:tc>
          <w:tcPr>
            <w:tcW w:w="18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650</w:t>
            </w:r>
          </w:p>
        </w:tc>
        <w:tc>
          <w:tcPr>
            <w:tcW w:w="2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254</w:t>
            </w:r>
          </w:p>
        </w:tc>
        <w:tc>
          <w:tcPr>
            <w:tcW w:w="12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254</w:t>
            </w:r>
          </w:p>
        </w:tc>
        <w:tc>
          <w:tcPr>
            <w:tcW w:w="18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2C2C2C"/>
              </w:rPr>
              <w:t>41</w:t>
            </w:r>
          </w:p>
        </w:tc>
        <w:tc>
          <w:tcPr>
            <w:tcW w:w="1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Prepetition Charges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2C2C2C"/>
              </w:rPr>
              <w:t>76</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9"/>
        </w:trPr>
        <w:tc>
          <w:tcPr>
            <w:tcW w:w="2940" w:type="dxa"/>
            <w:vAlign w:val="bottom"/>
          </w:tcPr>
          <w:p>
            <w:pPr>
              <w:ind w:left="180"/>
              <w:spacing w:after="0"/>
              <w:rPr>
                <w:sz w:val="20"/>
                <w:szCs w:val="20"/>
                <w:color w:val="auto"/>
              </w:rPr>
            </w:pPr>
            <w:r>
              <w:rPr>
                <w:rFonts w:ascii="Arial" w:cs="Arial" w:eastAsia="Arial" w:hAnsi="Arial"/>
                <w:sz w:val="17"/>
                <w:szCs w:val="17"/>
                <w:color w:val="auto"/>
              </w:rPr>
              <w:t>Gain on Sale of Operational Assets</w:t>
            </w:r>
          </w:p>
        </w:tc>
        <w:tc>
          <w:tcPr>
            <w:tcW w:w="180" w:type="dxa"/>
            <w:vAlign w:val="bottom"/>
          </w:tcPr>
          <w:p>
            <w:pPr>
              <w:spacing w:after="0"/>
              <w:rPr>
                <w:sz w:val="20"/>
                <w:szCs w:val="20"/>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2C2C2C"/>
              </w:rPr>
              <w:t>—</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Loss on Sale of Business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C2C2C"/>
              </w:rPr>
              <w:t>(114)</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3"/>
        </w:trPr>
        <w:tc>
          <w:tcPr>
            <w:tcW w:w="2940" w:type="dxa"/>
            <w:vAlign w:val="bottom"/>
          </w:tcPr>
          <w:p>
            <w:pPr>
              <w:ind w:left="260"/>
              <w:spacing w:after="0"/>
              <w:rPr>
                <w:sz w:val="20"/>
                <w:szCs w:val="20"/>
                <w:color w:val="auto"/>
              </w:rPr>
            </w:pPr>
            <w:r>
              <w:rPr>
                <w:rFonts w:ascii="Arial" w:cs="Arial" w:eastAsia="Arial" w:hAnsi="Arial"/>
                <w:sz w:val="17"/>
                <w:szCs w:val="17"/>
                <w:color w:val="auto"/>
              </w:rPr>
              <w:t>Operating Non-GAAP Adjustments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843</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342</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342</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487</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125</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31"/>
        </w:trPr>
        <w:tc>
          <w:tcPr>
            <w:tcW w:w="2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7"/>
              </w:rPr>
              <w:t>Non-GAAP Adjusted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C2C2C"/>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2C2C2C"/>
              </w:rPr>
              <w:t>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w w:val="97"/>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940" w:type="dxa"/>
            <w:vAlign w:val="bottom"/>
          </w:tcPr>
          <w:p>
            <w:pPr>
              <w:ind w:left="40"/>
              <w:spacing w:after="0"/>
              <w:rPr>
                <w:sz w:val="20"/>
                <w:szCs w:val="20"/>
                <w:color w:val="auto"/>
              </w:rPr>
            </w:pPr>
            <w:r>
              <w:rPr>
                <w:rFonts w:ascii="Arial" w:cs="Arial" w:eastAsia="Arial" w:hAnsi="Arial"/>
                <w:sz w:val="17"/>
                <w:szCs w:val="17"/>
                <w:color w:val="auto"/>
              </w:rPr>
              <w:t>GAAP Income (Loss) Before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40"/>
              <w:spacing w:after="0"/>
              <w:rPr>
                <w:sz w:val="20"/>
                <w:szCs w:val="20"/>
                <w:color w:val="auto"/>
              </w:rPr>
            </w:pPr>
            <w:r>
              <w:rPr>
                <w:rFonts w:ascii="Arial" w:cs="Arial" w:eastAsia="Arial" w:hAnsi="Arial"/>
                <w:sz w:val="17"/>
                <w:szCs w:val="17"/>
                <w:color w:val="auto"/>
              </w:rPr>
              <w:t>Taxes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(914)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5,347</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5,332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(784)</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Non-GAAP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843</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342</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487</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2C2C2C"/>
              </w:rPr>
              <w:t>125</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70"/>
        </w:trPr>
        <w:tc>
          <w:tcPr>
            <w:tcW w:w="29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7"/>
                <w:szCs w:val="17"/>
                <w:color w:val="auto"/>
              </w:rPr>
              <w:t xml:space="preserve">Reorganization Items </w:t>
            </w:r>
            <w:r>
              <w:rPr>
                <w:rFonts w:ascii="Arial" w:cs="Arial" w:eastAsia="Arial" w:hAnsi="Arial"/>
                <w:sz w:val="28"/>
                <w:szCs w:val="28"/>
                <w:color w:val="auto"/>
                <w:vertAlign w:val="superscript"/>
              </w:rPr>
              <w:t>(e)</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(5,692)</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(5,688)</w:t>
            </w: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303</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9"/>
              </w:rPr>
              <w:t>Non-GAAP Adjustments Before Taxes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852</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(5,346)</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790</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w w:val="98"/>
              </w:rPr>
              <w:t>Non-GAAP Loss Before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108"/>
        </w:trPr>
        <w:tc>
          <w:tcPr>
            <w:tcW w:w="29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7"/>
                <w:szCs w:val="17"/>
                <w:b w:val="1"/>
                <w:bCs w:val="1"/>
                <w:color w:val="auto"/>
                <w:w w:val="95"/>
              </w:rPr>
              <w:t>Benefit (Provision) for Income Taxes: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GAAP Benefit (Provision) for Income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Taxes</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9"/>
        </w:trPr>
        <w:tc>
          <w:tcPr>
            <w:tcW w:w="2940" w:type="dxa"/>
            <w:vAlign w:val="bottom"/>
          </w:tcPr>
          <w:p>
            <w:pPr>
              <w:ind w:left="180"/>
              <w:spacing w:after="0"/>
              <w:rPr>
                <w:sz w:val="20"/>
                <w:szCs w:val="20"/>
                <w:color w:val="auto"/>
              </w:rPr>
            </w:pPr>
            <w:r>
              <w:rPr>
                <w:rFonts w:ascii="Arial" w:cs="Arial" w:eastAsia="Arial" w:hAnsi="Arial"/>
                <w:sz w:val="17"/>
                <w:szCs w:val="17"/>
                <w:color w:val="auto"/>
                <w:w w:val="95"/>
              </w:rPr>
              <w:t>Tax Effect on Non-GAAP Adjustments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1"/>
        </w:trPr>
        <w:tc>
          <w:tcPr>
            <w:tcW w:w="2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7"/>
              </w:rPr>
              <w:t>Non-GAAP Provision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Income (Loss) Attributable to</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Weatherford:</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7"/>
                <w:szCs w:val="17"/>
                <w:color w:val="auto"/>
              </w:rPr>
              <w:t>GAAP Net Income (Loss)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(966)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5,279</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5,253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(821)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(316)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Non-GAAP Adjustments,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845</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(5,326)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(5,322)</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786</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127</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Non-GAAP 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108"/>
        </w:trPr>
        <w:tc>
          <w:tcPr>
            <w:tcW w:w="29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940" w:type="dxa"/>
            <w:vAlign w:val="bottom"/>
          </w:tcPr>
          <w:p>
            <w:pPr>
              <w:ind w:left="40"/>
              <w:spacing w:after="0"/>
              <w:rPr>
                <w:sz w:val="20"/>
                <w:szCs w:val="20"/>
                <w:color w:val="auto"/>
              </w:rPr>
            </w:pPr>
            <w:r>
              <w:rPr>
                <w:rFonts w:ascii="Arial" w:cs="Arial" w:eastAsia="Arial" w:hAnsi="Arial"/>
                <w:sz w:val="17"/>
                <w:szCs w:val="17"/>
                <w:b w:val="1"/>
                <w:bCs w:val="1"/>
                <w:color w:val="auto"/>
              </w:rPr>
              <w:t>Diluted Income (Loss) Per Share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40"/>
              <w:spacing w:after="0"/>
              <w:rPr>
                <w:sz w:val="20"/>
                <w:szCs w:val="20"/>
                <w:color w:val="auto"/>
              </w:rPr>
            </w:pPr>
            <w:r>
              <w:rPr>
                <w:rFonts w:ascii="Arial" w:cs="Arial" w:eastAsia="Arial" w:hAnsi="Arial"/>
                <w:sz w:val="17"/>
                <w:szCs w:val="17"/>
                <w:b w:val="1"/>
                <w:bCs w:val="1"/>
                <w:color w:val="auto"/>
              </w:rPr>
              <w:t>Attributable to Weatherford: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7"/>
              </w:rPr>
              <w:t>GAAP Diluted Income (Loss)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239"/>
        </w:trPr>
        <w:tc>
          <w:tcPr>
            <w:tcW w:w="2940" w:type="dxa"/>
            <w:vAlign w:val="bottom"/>
          </w:tcPr>
          <w:p>
            <w:pPr>
              <w:ind w:left="180"/>
              <w:spacing w:after="0"/>
              <w:rPr>
                <w:sz w:val="20"/>
                <w:szCs w:val="20"/>
                <w:color w:val="auto"/>
              </w:rPr>
            </w:pPr>
            <w:r>
              <w:rPr>
                <w:rFonts w:ascii="Arial" w:cs="Arial" w:eastAsia="Arial" w:hAnsi="Arial"/>
                <w:sz w:val="17"/>
                <w:szCs w:val="17"/>
                <w:color w:val="auto"/>
              </w:rPr>
              <w:t>Non-GAAP Adjustments, net of tax</w:t>
            </w:r>
          </w:p>
        </w:tc>
        <w:tc>
          <w:tcPr>
            <w:tcW w:w="180" w:type="dxa"/>
            <w:vAlign w:val="bottom"/>
          </w:tcPr>
          <w:p>
            <w:pPr>
              <w:spacing w:after="0"/>
              <w:rPr>
                <w:sz w:val="20"/>
                <w:szCs w:val="20"/>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12.07</w:t>
            </w:r>
          </w:p>
        </w:tc>
        <w:tc>
          <w:tcPr>
            <w:tcW w:w="20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0.06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(5.31)</w:t>
            </w:r>
          </w:p>
        </w:tc>
        <w:tc>
          <w:tcPr>
            <w:tcW w:w="1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n/a</w:t>
            </w:r>
          </w:p>
        </w:tc>
        <w:tc>
          <w:tcPr>
            <w:tcW w:w="18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0.79</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0.12</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31"/>
        </w:trPr>
        <w:tc>
          <w:tcPr>
            <w:tcW w:w="2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Non-GAAP Diluted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n/a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20" w:hanging="250"/>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goodwill impairment after a fair value assessment of our business and assets for the periods presented.</w:t>
      </w:r>
    </w:p>
    <w:p>
      <w:pPr>
        <w:spacing w:after="0" w:line="9" w:lineRule="exact"/>
        <w:rPr>
          <w:rFonts w:ascii="Arial" w:cs="Arial" w:eastAsia="Arial" w:hAnsi="Arial"/>
          <w:sz w:val="13"/>
          <w:szCs w:val="13"/>
          <w:color w:val="auto"/>
        </w:rPr>
      </w:pPr>
    </w:p>
    <w:p>
      <w:pPr>
        <w:ind w:left="420" w:hanging="250"/>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restructuring, facility consolidation and severance costs for the periods presented.</w:t>
      </w:r>
    </w:p>
    <w:p>
      <w:pPr>
        <w:ind w:left="420" w:hanging="250"/>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Primarily included a long-lived assets impairment after a fair value assessment of our business and assets in the first quarter of 2020.</w:t>
      </w:r>
    </w:p>
    <w:p>
      <w:pPr>
        <w:ind w:left="420" w:hanging="250"/>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Primarily included asset write-downs and inventory charges, partially offset by a gain on purchase of a joint venture remaining interest in the predecessor prior quarter.</w:t>
      </w:r>
    </w:p>
    <w:p>
      <w:pPr>
        <w:ind w:left="420" w:hanging="250"/>
        <w:spacing w:after="0"/>
        <w:tabs>
          <w:tab w:leader="none" w:pos="4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Primarily from the gain on settlement of liabilities subject to compromise and fresh start valuation adjustments in the fourth quarter of 2019 and unamortized debt issuance and other fees in the third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-455295</wp:posOffset>
            </wp:positionV>
            <wp:extent cx="5271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554"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Weatherford International plc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Reconciliation of GAAP to Non-GAAP Financial Measures - EBITDA (Unaudited)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in Millions)</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w w:val="83"/>
              </w:rPr>
              <w:t>Successor</w:t>
            </w:r>
          </w:p>
        </w:tc>
        <w:tc>
          <w:tcPr>
            <w:tcW w:w="200" w:type="dxa"/>
            <w:vAlign w:val="bottom"/>
          </w:tcPr>
          <w:p>
            <w:pPr>
              <w:spacing w:after="0"/>
              <w:rPr>
                <w:sz w:val="20"/>
                <w:szCs w:val="20"/>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83"/>
              </w:rPr>
              <w:t>Successor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5"/>
              <w:spacing w:after="0"/>
              <w:rPr>
                <w:sz w:val="20"/>
                <w:szCs w:val="20"/>
                <w:color w:val="auto"/>
              </w:rPr>
            </w:pPr>
            <w:r>
              <w:rPr>
                <w:rFonts w:ascii="Arial" w:cs="Arial" w:eastAsia="Arial" w:hAnsi="Arial"/>
                <w:sz w:val="17"/>
                <w:szCs w:val="17"/>
                <w:b w:val="1"/>
                <w:bCs w:val="1"/>
                <w:color w:val="auto"/>
                <w:w w:val="86"/>
              </w:rPr>
              <w:t>Predecessor</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Predecessor</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0"/>
        </w:trPr>
        <w:tc>
          <w:tcPr>
            <w:tcW w:w="3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3"/>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w w:val="97"/>
              </w:rPr>
              <w:t>Quarter</w:t>
            </w:r>
          </w:p>
        </w:tc>
        <w:tc>
          <w:tcPr>
            <w:tcW w:w="200" w:type="dxa"/>
            <w:vAlign w:val="bottom"/>
          </w:tcPr>
          <w:p>
            <w:pPr>
              <w:spacing w:after="0"/>
              <w:rPr>
                <w:sz w:val="20"/>
                <w:szCs w:val="20"/>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91"/>
              </w:rPr>
              <w:t>Period From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95"/>
              <w:spacing w:after="0"/>
              <w:rPr>
                <w:sz w:val="20"/>
                <w:szCs w:val="20"/>
                <w:color w:val="auto"/>
              </w:rPr>
            </w:pPr>
            <w:r>
              <w:rPr>
                <w:rFonts w:ascii="Arial" w:cs="Arial" w:eastAsia="Arial" w:hAnsi="Arial"/>
                <w:sz w:val="17"/>
                <w:szCs w:val="17"/>
                <w:b w:val="1"/>
                <w:bCs w:val="1"/>
                <w:color w:val="auto"/>
                <w:w w:val="93"/>
              </w:rPr>
              <w:t>Period From</w:t>
            </w:r>
          </w:p>
        </w:tc>
        <w:tc>
          <w:tcPr>
            <w:tcW w:w="180" w:type="dxa"/>
            <w:vAlign w:val="bottom"/>
          </w:tcPr>
          <w:p>
            <w:pPr>
              <w:spacing w:after="0"/>
              <w:rPr>
                <w:sz w:val="20"/>
                <w:szCs w:val="20"/>
                <w:color w:val="auto"/>
              </w:rPr>
            </w:pPr>
          </w:p>
        </w:tc>
        <w:tc>
          <w:tcPr>
            <w:tcW w:w="1160" w:type="dxa"/>
            <w:vAlign w:val="bottom"/>
          </w:tcPr>
          <w:p>
            <w:pPr>
              <w:jc w:val="center"/>
              <w:ind w:right="115"/>
              <w:spacing w:after="0"/>
              <w:rPr>
                <w:sz w:val="20"/>
                <w:szCs w:val="20"/>
                <w:color w:val="auto"/>
              </w:rPr>
            </w:pPr>
            <w:r>
              <w:rPr>
                <w:rFonts w:ascii="Arial" w:cs="Arial" w:eastAsia="Arial" w:hAnsi="Arial"/>
                <w:sz w:val="17"/>
                <w:szCs w:val="17"/>
                <w:b w:val="1"/>
                <w:bCs w:val="1"/>
                <w:color w:val="auto"/>
                <w:w w:val="95"/>
              </w:rPr>
              <w:t>Non-GAAP</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35"/>
              <w:spacing w:after="0"/>
              <w:rPr>
                <w:sz w:val="20"/>
                <w:szCs w:val="20"/>
                <w:color w:val="auto"/>
              </w:rPr>
            </w:pPr>
            <w:r>
              <w:rPr>
                <w:rFonts w:ascii="Arial" w:cs="Arial" w:eastAsia="Arial" w:hAnsi="Arial"/>
                <w:sz w:val="17"/>
                <w:szCs w:val="17"/>
                <w:b w:val="1"/>
                <w:bCs w:val="1"/>
                <w:color w:val="auto"/>
                <w:w w:val="94"/>
              </w:rPr>
              <w:t>Quarter</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3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w w:val="92"/>
              </w:rPr>
              <w:t>Ended</w:t>
            </w:r>
          </w:p>
        </w:tc>
        <w:tc>
          <w:tcPr>
            <w:tcW w:w="200" w:type="dxa"/>
            <w:vAlign w:val="bottom"/>
          </w:tcPr>
          <w:p>
            <w:pPr>
              <w:spacing w:after="0"/>
              <w:rPr>
                <w:sz w:val="23"/>
                <w:szCs w:val="23"/>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91"/>
              </w:rPr>
              <w:t>12/14/19 to</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center"/>
              <w:ind w:right="95"/>
              <w:spacing w:after="0"/>
              <w:rPr>
                <w:sz w:val="20"/>
                <w:szCs w:val="20"/>
                <w:color w:val="auto"/>
              </w:rPr>
            </w:pPr>
            <w:r>
              <w:rPr>
                <w:rFonts w:ascii="Arial" w:cs="Arial" w:eastAsia="Arial" w:hAnsi="Arial"/>
                <w:sz w:val="17"/>
                <w:szCs w:val="17"/>
                <w:b w:val="1"/>
                <w:bCs w:val="1"/>
                <w:color w:val="auto"/>
                <w:w w:val="90"/>
              </w:rPr>
              <w:t>10/1/19 to</w:t>
            </w:r>
          </w:p>
        </w:tc>
        <w:tc>
          <w:tcPr>
            <w:tcW w:w="180" w:type="dxa"/>
            <w:vAlign w:val="bottom"/>
          </w:tcPr>
          <w:p>
            <w:pPr>
              <w:spacing w:after="0"/>
              <w:rPr>
                <w:sz w:val="23"/>
                <w:szCs w:val="23"/>
                <w:color w:val="auto"/>
              </w:rPr>
            </w:pPr>
          </w:p>
        </w:tc>
        <w:tc>
          <w:tcPr>
            <w:tcW w:w="1160" w:type="dxa"/>
            <w:vAlign w:val="bottom"/>
          </w:tcPr>
          <w:p>
            <w:pPr>
              <w:jc w:val="center"/>
              <w:ind w:right="115"/>
              <w:spacing w:after="0"/>
              <w:rPr>
                <w:sz w:val="20"/>
                <w:szCs w:val="20"/>
                <w:color w:val="auto"/>
              </w:rPr>
            </w:pPr>
            <w:r>
              <w:rPr>
                <w:rFonts w:ascii="Arial" w:cs="Arial" w:eastAsia="Arial" w:hAnsi="Arial"/>
                <w:sz w:val="17"/>
                <w:szCs w:val="17"/>
                <w:b w:val="1"/>
                <w:bCs w:val="1"/>
                <w:color w:val="auto"/>
                <w:w w:val="91"/>
              </w:rPr>
              <w:t>Combined</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center"/>
              <w:ind w:right="35"/>
              <w:spacing w:after="0"/>
              <w:rPr>
                <w:sz w:val="20"/>
                <w:szCs w:val="20"/>
                <w:color w:val="auto"/>
              </w:rPr>
            </w:pPr>
            <w:r>
              <w:rPr>
                <w:rFonts w:ascii="Arial" w:cs="Arial" w:eastAsia="Arial" w:hAnsi="Arial"/>
                <w:sz w:val="17"/>
                <w:szCs w:val="17"/>
                <w:b w:val="1"/>
                <w:bCs w:val="1"/>
                <w:color w:val="auto"/>
                <w:w w:val="88"/>
              </w:rPr>
              <w:t>Ended</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w w:val="91"/>
              </w:rPr>
              <w:t>3/31/20</w:t>
            </w:r>
          </w:p>
        </w:tc>
        <w:tc>
          <w:tcPr>
            <w:tcW w:w="200" w:type="dxa"/>
            <w:vAlign w:val="bottom"/>
          </w:tcPr>
          <w:p>
            <w:pPr>
              <w:spacing w:after="0"/>
              <w:rPr>
                <w:sz w:val="23"/>
                <w:szCs w:val="23"/>
                <w:color w:val="auto"/>
              </w:rPr>
            </w:pPr>
          </w:p>
        </w:tc>
        <w:tc>
          <w:tcPr>
            <w:tcW w:w="1100" w:type="dxa"/>
            <w:vAlign w:val="bottom"/>
          </w:tcPr>
          <w:p>
            <w:pPr>
              <w:jc w:val="center"/>
              <w:ind w:right="55"/>
              <w:spacing w:after="0"/>
              <w:rPr>
                <w:sz w:val="20"/>
                <w:szCs w:val="20"/>
                <w:color w:val="auto"/>
              </w:rPr>
            </w:pPr>
            <w:r>
              <w:rPr>
                <w:rFonts w:ascii="Arial" w:cs="Arial" w:eastAsia="Arial" w:hAnsi="Arial"/>
                <w:sz w:val="17"/>
                <w:szCs w:val="17"/>
                <w:b w:val="1"/>
                <w:bCs w:val="1"/>
                <w:color w:val="auto"/>
                <w:w w:val="90"/>
              </w:rPr>
              <w:t>12/31/19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center"/>
              <w:ind w:right="75"/>
              <w:spacing w:after="0"/>
              <w:rPr>
                <w:sz w:val="20"/>
                <w:szCs w:val="20"/>
                <w:color w:val="auto"/>
              </w:rPr>
            </w:pPr>
            <w:r>
              <w:rPr>
                <w:rFonts w:ascii="Arial" w:cs="Arial" w:eastAsia="Arial" w:hAnsi="Arial"/>
                <w:sz w:val="17"/>
                <w:szCs w:val="17"/>
                <w:b w:val="1"/>
                <w:bCs w:val="1"/>
                <w:color w:val="auto"/>
                <w:w w:val="90"/>
              </w:rPr>
              <w:t>12/13/19</w:t>
            </w:r>
          </w:p>
        </w:tc>
        <w:tc>
          <w:tcPr>
            <w:tcW w:w="180" w:type="dxa"/>
            <w:vAlign w:val="bottom"/>
          </w:tcPr>
          <w:p>
            <w:pPr>
              <w:spacing w:after="0"/>
              <w:rPr>
                <w:sz w:val="23"/>
                <w:szCs w:val="23"/>
                <w:color w:val="auto"/>
              </w:rPr>
            </w:pPr>
          </w:p>
        </w:tc>
        <w:tc>
          <w:tcPr>
            <w:tcW w:w="1160" w:type="dxa"/>
            <w:vAlign w:val="bottom"/>
          </w:tcPr>
          <w:p>
            <w:pPr>
              <w:jc w:val="center"/>
              <w:ind w:right="95"/>
              <w:spacing w:after="0"/>
              <w:rPr>
                <w:sz w:val="20"/>
                <w:szCs w:val="20"/>
                <w:color w:val="auto"/>
              </w:rPr>
            </w:pPr>
            <w:r>
              <w:rPr>
                <w:rFonts w:ascii="Arial" w:cs="Arial" w:eastAsia="Arial" w:hAnsi="Arial"/>
                <w:sz w:val="17"/>
                <w:szCs w:val="17"/>
                <w:b w:val="1"/>
                <w:bCs w:val="1"/>
                <w:color w:val="auto"/>
                <w:w w:val="87"/>
              </w:rPr>
              <w:t>Results</w:t>
            </w:r>
          </w:p>
        </w:tc>
        <w:tc>
          <w:tcPr>
            <w:tcW w:w="140" w:type="dxa"/>
            <w:vAlign w:val="bottom"/>
          </w:tcPr>
          <w:p>
            <w:pPr>
              <w:spacing w:after="0"/>
              <w:rPr>
                <w:sz w:val="23"/>
                <w:szCs w:val="23"/>
                <w:color w:val="auto"/>
              </w:rPr>
            </w:pPr>
          </w:p>
        </w:tc>
        <w:tc>
          <w:tcPr>
            <w:tcW w:w="740" w:type="dxa"/>
            <w:vAlign w:val="bottom"/>
          </w:tcPr>
          <w:p>
            <w:pPr>
              <w:jc w:val="right"/>
              <w:ind w:right="95"/>
              <w:spacing w:after="0"/>
              <w:rPr>
                <w:sz w:val="20"/>
                <w:szCs w:val="20"/>
                <w:color w:val="auto"/>
              </w:rPr>
            </w:pPr>
            <w:r>
              <w:rPr>
                <w:rFonts w:ascii="Arial" w:cs="Arial" w:eastAsia="Arial" w:hAnsi="Arial"/>
                <w:sz w:val="17"/>
                <w:szCs w:val="17"/>
                <w:b w:val="1"/>
                <w:bCs w:val="1"/>
                <w:color w:val="auto"/>
                <w:w w:val="95"/>
              </w:rPr>
              <w:t>9/30/19</w:t>
            </w:r>
          </w:p>
        </w:tc>
        <w:tc>
          <w:tcPr>
            <w:tcW w:w="140" w:type="dxa"/>
            <w:vAlign w:val="bottom"/>
          </w:tcPr>
          <w:p>
            <w:pPr>
              <w:spacing w:after="0"/>
              <w:rPr>
                <w:sz w:val="23"/>
                <w:szCs w:val="23"/>
                <w:color w:val="auto"/>
              </w:rPr>
            </w:pPr>
          </w:p>
        </w:tc>
        <w:tc>
          <w:tcPr>
            <w:tcW w:w="780" w:type="dxa"/>
            <w:vAlign w:val="bottom"/>
          </w:tcPr>
          <w:p>
            <w:pPr>
              <w:jc w:val="center"/>
              <w:ind w:right="55"/>
              <w:spacing w:after="0"/>
              <w:rPr>
                <w:sz w:val="20"/>
                <w:szCs w:val="20"/>
                <w:color w:val="auto"/>
              </w:rPr>
            </w:pPr>
            <w:r>
              <w:rPr>
                <w:rFonts w:ascii="Arial" w:cs="Arial" w:eastAsia="Arial" w:hAnsi="Arial"/>
                <w:sz w:val="17"/>
                <w:szCs w:val="17"/>
                <w:b w:val="1"/>
                <w:bCs w:val="1"/>
                <w:color w:val="2C2C2C"/>
                <w:w w:val="91"/>
              </w:rPr>
              <w:t>6/30/19</w:t>
            </w:r>
          </w:p>
        </w:tc>
        <w:tc>
          <w:tcPr>
            <w:tcW w:w="140" w:type="dxa"/>
            <w:vAlign w:val="bottom"/>
          </w:tcPr>
          <w:p>
            <w:pPr>
              <w:spacing w:after="0"/>
              <w:rPr>
                <w:sz w:val="23"/>
                <w:szCs w:val="23"/>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b w:val="1"/>
                <w:bCs w:val="1"/>
                <w:color w:val="auto"/>
                <w:w w:val="91"/>
              </w:rPr>
              <w:t>3/31/19</w:t>
            </w:r>
          </w:p>
        </w:tc>
      </w:tr>
      <w:tr>
        <w:trPr>
          <w:trHeight w:val="31"/>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7"/>
        </w:trPr>
        <w:tc>
          <w:tcPr>
            <w:tcW w:w="3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08"/>
        </w:trPr>
        <w:tc>
          <w:tcPr>
            <w:tcW w:w="3260" w:type="dxa"/>
            <w:vAlign w:val="bottom"/>
          </w:tcPr>
          <w:p>
            <w:pPr>
              <w:ind w:left="20"/>
              <w:spacing w:after="0"/>
              <w:rPr>
                <w:sz w:val="20"/>
                <w:szCs w:val="20"/>
                <w:color w:val="auto"/>
              </w:rPr>
            </w:pPr>
            <w:r>
              <w:rPr>
                <w:rFonts w:ascii="Arial" w:cs="Arial" w:eastAsia="Arial" w:hAnsi="Arial"/>
                <w:sz w:val="17"/>
                <w:szCs w:val="17"/>
                <w:b w:val="1"/>
                <w:bCs w:val="1"/>
                <w:color w:val="auto"/>
              </w:rPr>
              <w:t>Net Income (Loss) Attributable to</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3260" w:type="dxa"/>
            <w:vAlign w:val="bottom"/>
          </w:tcPr>
          <w:p>
            <w:pPr>
              <w:ind w:left="20"/>
              <w:spacing w:after="0"/>
              <w:rPr>
                <w:sz w:val="20"/>
                <w:szCs w:val="20"/>
                <w:color w:val="auto"/>
              </w:rPr>
            </w:pPr>
            <w:r>
              <w:rPr>
                <w:rFonts w:ascii="Arial" w:cs="Arial" w:eastAsia="Arial" w:hAnsi="Arial"/>
                <w:sz w:val="17"/>
                <w:szCs w:val="17"/>
                <w:b w:val="1"/>
                <w:bCs w:val="1"/>
                <w:color w:val="auto"/>
              </w:rPr>
              <w:t>Weatherford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(966)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5,279</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5,253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(821)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(316)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(481)</w:t>
            </w:r>
          </w:p>
        </w:tc>
      </w:tr>
      <w:tr>
        <w:trPr>
          <w:trHeight w:val="31"/>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2"/>
        </w:trPr>
        <w:tc>
          <w:tcPr>
            <w:tcW w:w="326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6"/>
              </w:rPr>
              <w:t>Net Income Attributable to Noncontrolling</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7"/>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r>
      <w:tr>
        <w:trPr>
          <w:trHeight w:val="233"/>
        </w:trPr>
        <w:tc>
          <w:tcPr>
            <w:tcW w:w="3260" w:type="dxa"/>
            <w:vAlign w:val="bottom"/>
          </w:tcPr>
          <w:p>
            <w:pPr>
              <w:ind w:left="20"/>
              <w:spacing w:after="0"/>
              <w:rPr>
                <w:sz w:val="20"/>
                <w:szCs w:val="20"/>
                <w:color w:val="auto"/>
              </w:rPr>
            </w:pPr>
            <w:r>
              <w:rPr>
                <w:rFonts w:ascii="Arial" w:cs="Arial" w:eastAsia="Arial" w:hAnsi="Arial"/>
                <w:sz w:val="17"/>
                <w:szCs w:val="17"/>
                <w:color w:val="auto"/>
              </w:rPr>
              <w:t>Net Income (Loss )</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(958)</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5,288</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5,264</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(815)</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(477)</w:t>
            </w:r>
          </w:p>
        </w:tc>
      </w:tr>
      <w:tr>
        <w:trPr>
          <w:trHeight w:val="31"/>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58</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160</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155</w:t>
            </w:r>
          </w:p>
        </w:tc>
      </w:tr>
      <w:tr>
        <w:trPr>
          <w:trHeight w:val="239"/>
        </w:trPr>
        <w:tc>
          <w:tcPr>
            <w:tcW w:w="3260" w:type="dxa"/>
            <w:vAlign w:val="bottom"/>
          </w:tcPr>
          <w:p>
            <w:pPr>
              <w:ind w:left="260"/>
              <w:spacing w:after="0"/>
              <w:rPr>
                <w:sz w:val="20"/>
                <w:szCs w:val="20"/>
                <w:color w:val="auto"/>
              </w:rPr>
            </w:pPr>
            <w:r>
              <w:rPr>
                <w:rFonts w:ascii="Arial" w:cs="Arial" w:eastAsia="Arial" w:hAnsi="Arial"/>
                <w:sz w:val="17"/>
                <w:szCs w:val="17"/>
                <w:color w:val="auto"/>
              </w:rPr>
              <w:t>Income Tax Provision</w:t>
            </w:r>
          </w:p>
        </w:tc>
        <w:tc>
          <w:tcPr>
            <w:tcW w:w="12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59</w:t>
            </w:r>
          </w:p>
        </w:tc>
        <w:tc>
          <w:tcPr>
            <w:tcW w:w="18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68</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12</w:t>
            </w:r>
          </w:p>
        </w:tc>
      </w:tr>
      <w:tr>
        <w:trPr>
          <w:trHeight w:val="31"/>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157</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124</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118</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116</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123</w:t>
            </w:r>
          </w:p>
        </w:tc>
      </w:tr>
      <w:tr>
        <w:trPr>
          <w:trHeight w:val="233"/>
        </w:trPr>
        <w:tc>
          <w:tcPr>
            <w:tcW w:w="3260" w:type="dxa"/>
            <w:vAlign w:val="bottom"/>
          </w:tcPr>
          <w:p>
            <w:pPr>
              <w:ind w:left="20"/>
              <w:spacing w:after="0"/>
              <w:rPr>
                <w:sz w:val="20"/>
                <w:szCs w:val="20"/>
                <w:color w:val="auto"/>
              </w:rPr>
            </w:pPr>
            <w:r>
              <w:rPr>
                <w:rFonts w:ascii="Arial" w:cs="Arial" w:eastAsia="Arial" w:hAnsi="Arial"/>
                <w:sz w:val="17"/>
                <w:szCs w:val="17"/>
                <w:color w:val="auto"/>
              </w:rPr>
              <w:t>EBITDA</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(699)</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5,458</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5,489</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(640)</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(187)</w:t>
            </w:r>
          </w:p>
        </w:tc>
      </w:tr>
      <w:tr>
        <w:trPr>
          <w:trHeight w:val="31"/>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83"/>
        </w:trPr>
        <w:tc>
          <w:tcPr>
            <w:tcW w:w="3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9"/>
        </w:trPr>
        <w:tc>
          <w:tcPr>
            <w:tcW w:w="326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Adjustments: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1"/>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Reorganization Items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(5,692)</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(5,688)</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303</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r>
      <w:tr>
        <w:trPr>
          <w:trHeight w:val="239"/>
        </w:trPr>
        <w:tc>
          <w:tcPr>
            <w:tcW w:w="3260" w:type="dxa"/>
            <w:vAlign w:val="bottom"/>
          </w:tcPr>
          <w:p>
            <w:pPr>
              <w:ind w:left="260"/>
              <w:spacing w:after="0"/>
              <w:rPr>
                <w:sz w:val="20"/>
                <w:szCs w:val="20"/>
                <w:color w:val="auto"/>
              </w:rPr>
            </w:pPr>
            <w:r>
              <w:rPr>
                <w:rFonts w:ascii="Arial" w:cs="Arial" w:eastAsia="Arial" w:hAnsi="Arial"/>
                <w:sz w:val="17"/>
                <w:szCs w:val="17"/>
                <w:color w:val="auto"/>
              </w:rPr>
              <w:t>Goodwill Impairment</w:t>
            </w:r>
          </w:p>
        </w:tc>
        <w:tc>
          <w:tcPr>
            <w:tcW w:w="12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167</w:t>
            </w:r>
          </w:p>
        </w:tc>
        <w:tc>
          <w:tcPr>
            <w:tcW w:w="200" w:type="dxa"/>
            <w:vAlign w:val="bottom"/>
          </w:tcPr>
          <w:p>
            <w:pPr>
              <w:spacing w:after="0"/>
              <w:rPr>
                <w:sz w:val="20"/>
                <w:szCs w:val="20"/>
                <w:color w:val="auto"/>
              </w:rPr>
            </w:pPr>
          </w:p>
        </w:tc>
        <w:tc>
          <w:tcPr>
            <w:tcW w:w="12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399</w:t>
            </w:r>
          </w:p>
        </w:tc>
        <w:tc>
          <w:tcPr>
            <w:tcW w:w="14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229</w:t>
            </w:r>
          </w:p>
        </w:tc>
      </w:tr>
      <w:tr>
        <w:trPr>
          <w:trHeight w:val="31"/>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w w:val="97"/>
              </w:rPr>
              <w:t>Long-lived Asset Impairments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650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254</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254</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w:t>
            </w:r>
          </w:p>
        </w:tc>
      </w:tr>
      <w:tr>
        <w:trPr>
          <w:trHeight w:val="239"/>
        </w:trPr>
        <w:tc>
          <w:tcPr>
            <w:tcW w:w="3260" w:type="dxa"/>
            <w:vAlign w:val="bottom"/>
          </w:tcPr>
          <w:p>
            <w:pPr>
              <w:ind w:left="260"/>
              <w:spacing w:after="0"/>
              <w:rPr>
                <w:sz w:val="20"/>
                <w:szCs w:val="20"/>
                <w:color w:val="auto"/>
              </w:rPr>
            </w:pPr>
            <w:r>
              <w:rPr>
                <w:rFonts w:ascii="Arial" w:cs="Arial" w:eastAsia="Arial" w:hAnsi="Arial"/>
                <w:sz w:val="17"/>
                <w:szCs w:val="17"/>
                <w:color w:val="auto"/>
              </w:rPr>
              <w:t>Restructuring Charges</w:t>
            </w:r>
          </w:p>
        </w:tc>
        <w:tc>
          <w:tcPr>
            <w:tcW w:w="12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20"/>
                <w:szCs w:val="20"/>
                <w:color w:val="auto"/>
              </w:rPr>
            </w:pPr>
          </w:p>
        </w:tc>
        <w:tc>
          <w:tcPr>
            <w:tcW w:w="12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96</w:t>
            </w:r>
          </w:p>
        </w:tc>
        <w:tc>
          <w:tcPr>
            <w:tcW w:w="18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20</w:t>
            </w:r>
          </w:p>
        </w:tc>
      </w:tr>
      <w:tr>
        <w:trPr>
          <w:trHeight w:val="31"/>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Prepetition Charges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w:t>
            </w:r>
          </w:p>
        </w:tc>
      </w:tr>
      <w:tr>
        <w:trPr>
          <w:trHeight w:val="239"/>
        </w:trPr>
        <w:tc>
          <w:tcPr>
            <w:tcW w:w="3260" w:type="dxa"/>
            <w:vAlign w:val="bottom"/>
          </w:tcPr>
          <w:p>
            <w:pPr>
              <w:ind w:left="260"/>
              <w:spacing w:after="0"/>
              <w:rPr>
                <w:sz w:val="20"/>
                <w:szCs w:val="20"/>
                <w:color w:val="auto"/>
              </w:rPr>
            </w:pPr>
            <w:r>
              <w:rPr>
                <w:rFonts w:ascii="Arial" w:cs="Arial" w:eastAsia="Arial" w:hAnsi="Arial"/>
                <w:sz w:val="17"/>
                <w:szCs w:val="17"/>
                <w:color w:val="auto"/>
              </w:rPr>
              <w:t>(Gain) Loss on Sale of Business</w:t>
            </w:r>
          </w:p>
        </w:tc>
        <w:tc>
          <w:tcPr>
            <w:tcW w:w="12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2</w:t>
            </w:r>
          </w:p>
        </w:tc>
      </w:tr>
      <w:tr>
        <w:trPr>
          <w:trHeight w:val="31"/>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260" w:type="dxa"/>
            <w:vAlign w:val="bottom"/>
            <w:shd w:val="clear" w:color="auto" w:fill="CCEEFF"/>
          </w:tcPr>
          <w:p>
            <w:pPr>
              <w:ind w:left="260"/>
              <w:spacing w:after="0" w:line="270" w:lineRule="exact"/>
              <w:rPr>
                <w:sz w:val="20"/>
                <w:szCs w:val="20"/>
                <w:color w:val="auto"/>
              </w:rPr>
            </w:pPr>
            <w:r>
              <w:rPr>
                <w:rFonts w:ascii="Arial" w:cs="Arial" w:eastAsia="Arial" w:hAnsi="Arial"/>
                <w:sz w:val="17"/>
                <w:szCs w:val="17"/>
                <w:color w:val="auto"/>
              </w:rPr>
              <w:t xml:space="preserve">Stock-Based Compensation </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3"/>
                <w:szCs w:val="23"/>
                <w:color w:val="auto"/>
              </w:rPr>
            </w:pPr>
          </w:p>
        </w:tc>
        <w:tc>
          <w:tcPr>
            <w:tcW w:w="12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w:t>
            </w:r>
          </w:p>
        </w:tc>
      </w:tr>
      <w:tr>
        <w:trPr>
          <w:trHeight w:val="239"/>
        </w:trPr>
        <w:tc>
          <w:tcPr>
            <w:tcW w:w="3260" w:type="dxa"/>
            <w:vAlign w:val="bottom"/>
          </w:tcPr>
          <w:p>
            <w:pPr>
              <w:ind w:left="260"/>
              <w:spacing w:after="0"/>
              <w:rPr>
                <w:sz w:val="20"/>
                <w:szCs w:val="20"/>
                <w:color w:val="auto"/>
              </w:rPr>
            </w:pPr>
            <w:r>
              <w:rPr>
                <w:rFonts w:ascii="Arial" w:cs="Arial" w:eastAsia="Arial" w:hAnsi="Arial"/>
                <w:sz w:val="17"/>
                <w:szCs w:val="17"/>
                <w:color w:val="auto"/>
              </w:rPr>
              <w:t>Other Non-Operating Expense, Net</w:t>
            </w:r>
          </w:p>
        </w:tc>
        <w:tc>
          <w:tcPr>
            <w:tcW w:w="12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20"/>
                <w:szCs w:val="20"/>
                <w:color w:val="auto"/>
              </w:rPr>
            </w:pPr>
          </w:p>
        </w:tc>
        <w:tc>
          <w:tcPr>
            <w:tcW w:w="12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9</w:t>
            </w:r>
          </w:p>
        </w:tc>
      </w:tr>
      <w:tr>
        <w:trPr>
          <w:trHeight w:val="31"/>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128</w:t>
            </w: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60" w:right="200" w:hanging="252"/>
        <w:spacing w:after="0" w:line="229" w:lineRule="auto"/>
        <w:tabs>
          <w:tab w:leader="none" w:pos="17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In the first quarter of 2020 the Company began reporting adjusted EBITDA excluding the burden of stock-based compensation. Historical periods have been restated to reflect this methodology.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7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2020-05-11T15:39:03Z</dcterms:created>
  <dcterms:modified xsi:type="dcterms:W3CDTF">2020-05-11T15:39:03Z</dcterms:modified>
</cp:coreProperties>
</file>