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June 17, 2016</w:t>
      </w:r>
    </w:p>
    <w:p>
      <w:pPr>
        <w:spacing w:after="0" w:line="27" w:lineRule="exact"/>
        <w:rPr>
          <w:sz w:val="24"/>
          <w:szCs w:val="24"/>
          <w:color w:val="auto"/>
        </w:rPr>
      </w:pPr>
    </w:p>
    <w:p>
      <w:pPr>
        <w:ind w:left="9240"/>
        <w:spacing w:after="0"/>
        <w:rPr>
          <w:sz w:val="20"/>
          <w:szCs w:val="20"/>
          <w:color w:val="auto"/>
        </w:rPr>
      </w:pPr>
      <w:r>
        <w:rPr>
          <w:rFonts w:ascii="Arial" w:cs="Arial" w:eastAsia="Arial" w:hAnsi="Arial"/>
          <w:sz w:val="16"/>
          <w:szCs w:val="16"/>
          <w:b w:val="1"/>
          <w:bCs w:val="1"/>
          <w:color w:val="auto"/>
        </w:rPr>
        <w:t>Registration No. 333-______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___________________________________________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S-8</w:t>
      </w:r>
    </w:p>
    <w:p>
      <w:pPr>
        <w:spacing w:after="0" w:line="80"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REGISTRATION STATEMENT UNDER THE SECURITIES ACT OF 1933</w:t>
      </w:r>
    </w:p>
    <w:p>
      <w:pPr>
        <w:spacing w:after="0" w:line="39"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___________________________________________</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Weatherford International public limited company</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51" w:lineRule="exact"/>
        <w:rPr>
          <w:sz w:val="24"/>
          <w:szCs w:val="24"/>
          <w:color w:val="auto"/>
        </w:rPr>
      </w:pPr>
    </w:p>
    <w:tbl>
      <w:tblPr>
        <w:tblLayout w:type="fixed"/>
        <w:tblInd w:w="1000" w:type="dxa"/>
        <w:tblCellMar>
          <w:top w:w="0" w:type="dxa"/>
          <w:left w:w="0" w:type="dxa"/>
          <w:bottom w:w="0" w:type="dxa"/>
          <w:right w:w="0" w:type="dxa"/>
        </w:tblCellMar>
      </w:tblPr>
      <w:tr>
        <w:trPr>
          <w:trHeight w:val="216"/>
        </w:trPr>
        <w:tc>
          <w:tcPr>
            <w:tcW w:w="7480" w:type="dxa"/>
            <w:vAlign w:val="bottom"/>
          </w:tcPr>
          <w:p>
            <w:pPr>
              <w:ind w:left="760"/>
              <w:spacing w:after="0"/>
              <w:rPr>
                <w:sz w:val="20"/>
                <w:szCs w:val="20"/>
                <w:color w:val="auto"/>
              </w:rPr>
            </w:pPr>
            <w:r>
              <w:rPr>
                <w:rFonts w:ascii="Arial" w:cs="Arial" w:eastAsia="Arial" w:hAnsi="Arial"/>
                <w:sz w:val="18"/>
                <w:szCs w:val="18"/>
                <w:b w:val="1"/>
                <w:bCs w:val="1"/>
                <w:color w:val="auto"/>
              </w:rPr>
              <w:t>Ireland</w:t>
            </w:r>
          </w:p>
        </w:tc>
        <w:tc>
          <w:tcPr>
            <w:tcW w:w="1400" w:type="dxa"/>
            <w:vAlign w:val="bottom"/>
          </w:tcPr>
          <w:p>
            <w:pPr>
              <w:jc w:val="center"/>
              <w:ind w:left="86"/>
              <w:spacing w:after="0"/>
              <w:rPr>
                <w:sz w:val="20"/>
                <w:szCs w:val="20"/>
                <w:color w:val="auto"/>
              </w:rPr>
            </w:pPr>
            <w:r>
              <w:rPr>
                <w:rFonts w:ascii="Arial" w:cs="Arial" w:eastAsia="Arial" w:hAnsi="Arial"/>
                <w:sz w:val="18"/>
                <w:szCs w:val="18"/>
                <w:b w:val="1"/>
                <w:bCs w:val="1"/>
                <w:color w:val="auto"/>
                <w:w w:val="91"/>
              </w:rPr>
              <w:t>98-0606750</w:t>
            </w:r>
          </w:p>
        </w:tc>
      </w:tr>
      <w:tr>
        <w:trPr>
          <w:trHeight w:val="135"/>
        </w:trPr>
        <w:tc>
          <w:tcPr>
            <w:tcW w:w="7480" w:type="dxa"/>
            <w:vAlign w:val="bottom"/>
          </w:tcPr>
          <w:p>
            <w:pPr>
              <w:jc w:val="center"/>
              <w:ind w:right="5256"/>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1400" w:type="dxa"/>
            <w:vAlign w:val="bottom"/>
          </w:tcPr>
          <w:p>
            <w:pPr>
              <w:jc w:val="center"/>
              <w:ind w:left="86"/>
              <w:spacing w:after="0" w:line="135" w:lineRule="exact"/>
              <w:rPr>
                <w:sz w:val="20"/>
                <w:szCs w:val="20"/>
                <w:color w:val="auto"/>
              </w:rPr>
            </w:pPr>
            <w:r>
              <w:rPr>
                <w:rFonts w:ascii="Arial" w:cs="Arial" w:eastAsia="Arial" w:hAnsi="Arial"/>
                <w:sz w:val="13"/>
                <w:szCs w:val="13"/>
                <w:b w:val="1"/>
                <w:bCs w:val="1"/>
                <w:color w:val="auto"/>
                <w:w w:val="92"/>
              </w:rPr>
              <w:t>(I.R.S. Employer</w:t>
            </w:r>
          </w:p>
        </w:tc>
      </w:tr>
      <w:tr>
        <w:trPr>
          <w:trHeight w:val="164"/>
        </w:trPr>
        <w:tc>
          <w:tcPr>
            <w:tcW w:w="7480" w:type="dxa"/>
            <w:vAlign w:val="bottom"/>
          </w:tcPr>
          <w:p>
            <w:pPr>
              <w:jc w:val="center"/>
              <w:ind w:right="5276"/>
              <w:spacing w:after="0"/>
              <w:rPr>
                <w:sz w:val="20"/>
                <w:szCs w:val="20"/>
                <w:color w:val="auto"/>
              </w:rPr>
            </w:pPr>
            <w:r>
              <w:rPr>
                <w:rFonts w:ascii="Arial" w:cs="Arial" w:eastAsia="Arial" w:hAnsi="Arial"/>
                <w:sz w:val="13"/>
                <w:szCs w:val="13"/>
                <w:b w:val="1"/>
                <w:bCs w:val="1"/>
                <w:color w:val="auto"/>
                <w:w w:val="88"/>
              </w:rPr>
              <w:t>incorporation or organization)</w:t>
            </w:r>
          </w:p>
        </w:tc>
        <w:tc>
          <w:tcPr>
            <w:tcW w:w="1400" w:type="dxa"/>
            <w:vAlign w:val="bottom"/>
          </w:tcPr>
          <w:p>
            <w:pPr>
              <w:jc w:val="center"/>
              <w:ind w:left="86"/>
              <w:spacing w:after="0"/>
              <w:rPr>
                <w:sz w:val="20"/>
                <w:szCs w:val="20"/>
                <w:color w:val="auto"/>
              </w:rPr>
            </w:pPr>
            <w:r>
              <w:rPr>
                <w:rFonts w:ascii="Arial" w:cs="Arial" w:eastAsia="Arial" w:hAnsi="Arial"/>
                <w:sz w:val="13"/>
                <w:szCs w:val="13"/>
                <w:b w:val="1"/>
                <w:bCs w:val="1"/>
                <w:color w:val="auto"/>
                <w:w w:val="89"/>
              </w:rPr>
              <w:t>Identification Number)</w:t>
            </w:r>
          </w:p>
        </w:tc>
      </w:tr>
      <w:tr>
        <w:trPr>
          <w:trHeight w:val="241"/>
        </w:trPr>
        <w:tc>
          <w:tcPr>
            <w:tcW w:w="7480" w:type="dxa"/>
            <w:vAlign w:val="bottom"/>
          </w:tcPr>
          <w:p>
            <w:pPr>
              <w:jc w:val="center"/>
              <w:ind w:right="5256"/>
              <w:spacing w:after="0"/>
              <w:rPr>
                <w:sz w:val="20"/>
                <w:szCs w:val="20"/>
                <w:color w:val="auto"/>
              </w:rPr>
            </w:pPr>
            <w:r>
              <w:rPr>
                <w:rFonts w:ascii="Arial" w:cs="Arial" w:eastAsia="Arial" w:hAnsi="Arial"/>
                <w:sz w:val="18"/>
                <w:szCs w:val="18"/>
                <w:b w:val="1"/>
                <w:bCs w:val="1"/>
                <w:color w:val="auto"/>
                <w:w w:val="86"/>
              </w:rPr>
              <w:t>Bahnhofstrasse 1</w:t>
            </w:r>
          </w:p>
        </w:tc>
        <w:tc>
          <w:tcPr>
            <w:tcW w:w="1400" w:type="dxa"/>
            <w:vAlign w:val="bottom"/>
          </w:tcPr>
          <w:p>
            <w:pPr>
              <w:spacing w:after="0"/>
              <w:rPr>
                <w:sz w:val="20"/>
                <w:szCs w:val="20"/>
                <w:color w:val="auto"/>
              </w:rPr>
            </w:pPr>
          </w:p>
        </w:tc>
      </w:tr>
      <w:tr>
        <w:trPr>
          <w:trHeight w:val="216"/>
        </w:trPr>
        <w:tc>
          <w:tcPr>
            <w:tcW w:w="7480" w:type="dxa"/>
            <w:vAlign w:val="bottom"/>
          </w:tcPr>
          <w:p>
            <w:pPr>
              <w:jc w:val="center"/>
              <w:ind w:right="5256"/>
              <w:spacing w:after="0"/>
              <w:rPr>
                <w:sz w:val="20"/>
                <w:szCs w:val="20"/>
                <w:color w:val="auto"/>
              </w:rPr>
            </w:pPr>
            <w:r>
              <w:rPr>
                <w:rFonts w:ascii="Arial" w:cs="Arial" w:eastAsia="Arial" w:hAnsi="Arial"/>
                <w:sz w:val="18"/>
                <w:szCs w:val="18"/>
                <w:b w:val="1"/>
                <w:bCs w:val="1"/>
                <w:color w:val="auto"/>
                <w:w w:val="91"/>
              </w:rPr>
              <w:t>6340 Baar, Switzerland</w:t>
            </w:r>
          </w:p>
        </w:tc>
        <w:tc>
          <w:tcPr>
            <w:tcW w:w="1400" w:type="dxa"/>
            <w:vAlign w:val="bottom"/>
          </w:tcPr>
          <w:p>
            <w:pPr>
              <w:jc w:val="center"/>
              <w:ind w:left="86"/>
              <w:spacing w:after="0"/>
              <w:rPr>
                <w:sz w:val="20"/>
                <w:szCs w:val="20"/>
                <w:color w:val="auto"/>
              </w:rPr>
            </w:pPr>
            <w:r>
              <w:rPr>
                <w:rFonts w:ascii="Arial" w:cs="Arial" w:eastAsia="Arial" w:hAnsi="Arial"/>
                <w:sz w:val="18"/>
                <w:szCs w:val="18"/>
                <w:b w:val="1"/>
                <w:bCs w:val="1"/>
                <w:color w:val="auto"/>
                <w:w w:val="95"/>
              </w:rPr>
              <w:t>CH 6340</w:t>
            </w:r>
          </w:p>
        </w:tc>
      </w:tr>
      <w:tr>
        <w:trPr>
          <w:trHeight w:val="164"/>
        </w:trPr>
        <w:tc>
          <w:tcPr>
            <w:tcW w:w="7480" w:type="dxa"/>
            <w:vAlign w:val="bottom"/>
          </w:tcPr>
          <w:p>
            <w:pPr>
              <w:jc w:val="center"/>
              <w:ind w:right="5256"/>
              <w:spacing w:after="0"/>
              <w:rPr>
                <w:sz w:val="20"/>
                <w:szCs w:val="20"/>
                <w:color w:val="auto"/>
              </w:rPr>
            </w:pPr>
            <w:r>
              <w:rPr>
                <w:rFonts w:ascii="Arial" w:cs="Arial" w:eastAsia="Arial" w:hAnsi="Arial"/>
                <w:sz w:val="13"/>
                <w:szCs w:val="13"/>
                <w:b w:val="1"/>
                <w:bCs w:val="1"/>
                <w:color w:val="auto"/>
                <w:w w:val="86"/>
              </w:rPr>
              <w:t>(Address of Principal Executive Offices)</w:t>
            </w:r>
          </w:p>
        </w:tc>
        <w:tc>
          <w:tcPr>
            <w:tcW w:w="1400" w:type="dxa"/>
            <w:vAlign w:val="bottom"/>
          </w:tcPr>
          <w:p>
            <w:pPr>
              <w:jc w:val="center"/>
              <w:ind w:left="86"/>
              <w:spacing w:after="0"/>
              <w:rPr>
                <w:sz w:val="20"/>
                <w:szCs w:val="20"/>
                <w:color w:val="auto"/>
              </w:rPr>
            </w:pPr>
            <w:r>
              <w:rPr>
                <w:rFonts w:ascii="Arial" w:cs="Arial" w:eastAsia="Arial" w:hAnsi="Arial"/>
                <w:sz w:val="13"/>
                <w:szCs w:val="13"/>
                <w:b w:val="1"/>
                <w:bCs w:val="1"/>
                <w:color w:val="auto"/>
                <w:w w:val="93"/>
              </w:rPr>
              <w:t>(Zip Code)</w:t>
            </w:r>
          </w:p>
        </w:tc>
      </w:tr>
      <w:tr>
        <w:trPr>
          <w:trHeight w:val="448"/>
        </w:trPr>
        <w:tc>
          <w:tcPr>
            <w:tcW w:w="7480" w:type="dxa"/>
            <w:vAlign w:val="bottom"/>
          </w:tcPr>
          <w:p>
            <w:pPr>
              <w:jc w:val="center"/>
              <w:ind w:left="1876"/>
              <w:spacing w:after="0"/>
              <w:rPr>
                <w:sz w:val="20"/>
                <w:szCs w:val="20"/>
                <w:color w:val="auto"/>
              </w:rPr>
            </w:pPr>
            <w:r>
              <w:rPr>
                <w:rFonts w:ascii="Arial" w:cs="Arial" w:eastAsia="Arial" w:hAnsi="Arial"/>
                <w:sz w:val="18"/>
                <w:szCs w:val="18"/>
                <w:b w:val="1"/>
                <w:bCs w:val="1"/>
                <w:color w:val="auto"/>
                <w:w w:val="90"/>
              </w:rPr>
              <w:t>Weatherford International plc Employee Stock Purchase Plan</w:t>
            </w:r>
          </w:p>
        </w:tc>
        <w:tc>
          <w:tcPr>
            <w:tcW w:w="1400" w:type="dxa"/>
            <w:vAlign w:val="bottom"/>
          </w:tcPr>
          <w:p>
            <w:pPr>
              <w:spacing w:after="0"/>
              <w:rPr>
                <w:sz w:val="24"/>
                <w:szCs w:val="24"/>
                <w:color w:val="auto"/>
              </w:rPr>
            </w:pPr>
          </w:p>
        </w:tc>
      </w:tr>
      <w:tr>
        <w:trPr>
          <w:trHeight w:val="184"/>
        </w:trPr>
        <w:tc>
          <w:tcPr>
            <w:tcW w:w="7480" w:type="dxa"/>
            <w:vAlign w:val="bottom"/>
          </w:tcPr>
          <w:p>
            <w:pPr>
              <w:jc w:val="center"/>
              <w:ind w:left="1856"/>
              <w:spacing w:after="0"/>
              <w:rPr>
                <w:sz w:val="20"/>
                <w:szCs w:val="20"/>
                <w:color w:val="auto"/>
              </w:rPr>
            </w:pPr>
            <w:r>
              <w:rPr>
                <w:rFonts w:ascii="Arial" w:cs="Arial" w:eastAsia="Arial" w:hAnsi="Arial"/>
                <w:sz w:val="13"/>
                <w:szCs w:val="13"/>
                <w:b w:val="1"/>
                <w:bCs w:val="1"/>
                <w:color w:val="auto"/>
                <w:w w:val="89"/>
              </w:rPr>
              <w:t>(Full title of the plan)</w:t>
            </w:r>
          </w:p>
        </w:tc>
        <w:tc>
          <w:tcPr>
            <w:tcW w:w="1400" w:type="dxa"/>
            <w:vAlign w:val="bottom"/>
          </w:tcPr>
          <w:p>
            <w:pPr>
              <w:spacing w:after="0"/>
              <w:rPr>
                <w:sz w:val="16"/>
                <w:szCs w:val="16"/>
                <w:color w:val="auto"/>
              </w:rPr>
            </w:pPr>
          </w:p>
        </w:tc>
      </w:tr>
      <w:tr>
        <w:trPr>
          <w:trHeight w:val="216"/>
        </w:trPr>
        <w:tc>
          <w:tcPr>
            <w:tcW w:w="7480" w:type="dxa"/>
            <w:vAlign w:val="bottom"/>
          </w:tcPr>
          <w:p>
            <w:pPr>
              <w:jc w:val="center"/>
              <w:ind w:left="1856"/>
              <w:spacing w:after="0"/>
              <w:rPr>
                <w:sz w:val="20"/>
                <w:szCs w:val="20"/>
                <w:color w:val="auto"/>
              </w:rPr>
            </w:pPr>
            <w:r>
              <w:rPr>
                <w:rFonts w:ascii="Arial" w:cs="Arial" w:eastAsia="Arial" w:hAnsi="Arial"/>
                <w:sz w:val="18"/>
                <w:szCs w:val="18"/>
                <w:b w:val="1"/>
                <w:bCs w:val="1"/>
                <w:color w:val="auto"/>
                <w:w w:val="89"/>
              </w:rPr>
              <w:t>___________________________________________</w:t>
            </w:r>
          </w:p>
        </w:tc>
        <w:tc>
          <w:tcPr>
            <w:tcW w:w="1400" w:type="dxa"/>
            <w:vAlign w:val="bottom"/>
          </w:tcPr>
          <w:p>
            <w:pPr>
              <w:spacing w:after="0"/>
              <w:rPr>
                <w:sz w:val="18"/>
                <w:szCs w:val="18"/>
                <w:color w:val="auto"/>
              </w:rPr>
            </w:pPr>
          </w:p>
        </w:tc>
      </w:tr>
      <w:tr>
        <w:trPr>
          <w:trHeight w:val="216"/>
        </w:trPr>
        <w:tc>
          <w:tcPr>
            <w:tcW w:w="7480" w:type="dxa"/>
            <w:vAlign w:val="bottom"/>
          </w:tcPr>
          <w:p>
            <w:pPr>
              <w:jc w:val="center"/>
              <w:ind w:left="1876"/>
              <w:spacing w:after="0"/>
              <w:rPr>
                <w:sz w:val="20"/>
                <w:szCs w:val="20"/>
                <w:color w:val="auto"/>
              </w:rPr>
            </w:pPr>
            <w:r>
              <w:rPr>
                <w:rFonts w:ascii="Arial" w:cs="Arial" w:eastAsia="Arial" w:hAnsi="Arial"/>
                <w:sz w:val="18"/>
                <w:szCs w:val="18"/>
                <w:b w:val="1"/>
                <w:bCs w:val="1"/>
                <w:color w:val="auto"/>
                <w:w w:val="97"/>
              </w:rPr>
              <w:t>Christina M. Ibrahim</w:t>
            </w:r>
          </w:p>
        </w:tc>
        <w:tc>
          <w:tcPr>
            <w:tcW w:w="1400" w:type="dxa"/>
            <w:vAlign w:val="bottom"/>
          </w:tcPr>
          <w:p>
            <w:pPr>
              <w:spacing w:after="0"/>
              <w:rPr>
                <w:sz w:val="18"/>
                <w:szCs w:val="18"/>
                <w:color w:val="auto"/>
              </w:rPr>
            </w:pPr>
          </w:p>
        </w:tc>
      </w:tr>
      <w:tr>
        <w:trPr>
          <w:trHeight w:val="216"/>
        </w:trPr>
        <w:tc>
          <w:tcPr>
            <w:tcW w:w="7480" w:type="dxa"/>
            <w:vAlign w:val="bottom"/>
          </w:tcPr>
          <w:p>
            <w:pPr>
              <w:jc w:val="center"/>
              <w:ind w:left="1856"/>
              <w:spacing w:after="0"/>
              <w:rPr>
                <w:sz w:val="20"/>
                <w:szCs w:val="20"/>
                <w:color w:val="auto"/>
              </w:rPr>
            </w:pPr>
            <w:r>
              <w:rPr>
                <w:rFonts w:ascii="Arial" w:cs="Arial" w:eastAsia="Arial" w:hAnsi="Arial"/>
                <w:sz w:val="18"/>
                <w:szCs w:val="18"/>
                <w:b w:val="1"/>
                <w:bCs w:val="1"/>
                <w:color w:val="auto"/>
                <w:w w:val="93"/>
              </w:rPr>
              <w:t>Weatherford International plc</w:t>
            </w:r>
          </w:p>
        </w:tc>
        <w:tc>
          <w:tcPr>
            <w:tcW w:w="1400" w:type="dxa"/>
            <w:vAlign w:val="bottom"/>
          </w:tcPr>
          <w:p>
            <w:pPr>
              <w:spacing w:after="0"/>
              <w:rPr>
                <w:sz w:val="18"/>
                <w:szCs w:val="18"/>
                <w:color w:val="auto"/>
              </w:rPr>
            </w:pPr>
          </w:p>
        </w:tc>
      </w:tr>
      <w:tr>
        <w:trPr>
          <w:trHeight w:val="216"/>
        </w:trPr>
        <w:tc>
          <w:tcPr>
            <w:tcW w:w="7480" w:type="dxa"/>
            <w:vAlign w:val="bottom"/>
          </w:tcPr>
          <w:p>
            <w:pPr>
              <w:jc w:val="center"/>
              <w:ind w:left="1876"/>
              <w:spacing w:after="0"/>
              <w:rPr>
                <w:sz w:val="20"/>
                <w:szCs w:val="20"/>
                <w:color w:val="auto"/>
              </w:rPr>
            </w:pPr>
            <w:r>
              <w:rPr>
                <w:rFonts w:ascii="Arial" w:cs="Arial" w:eastAsia="Arial" w:hAnsi="Arial"/>
                <w:sz w:val="18"/>
                <w:szCs w:val="18"/>
                <w:b w:val="1"/>
                <w:bCs w:val="1"/>
                <w:color w:val="auto"/>
                <w:w w:val="90"/>
              </w:rPr>
              <w:t>Executive Vice President, General Counsel and Corporate Secretary</w:t>
            </w:r>
          </w:p>
        </w:tc>
        <w:tc>
          <w:tcPr>
            <w:tcW w:w="1400" w:type="dxa"/>
            <w:vAlign w:val="bottom"/>
          </w:tcPr>
          <w:p>
            <w:pPr>
              <w:spacing w:after="0"/>
              <w:rPr>
                <w:sz w:val="18"/>
                <w:szCs w:val="18"/>
                <w:color w:val="auto"/>
              </w:rPr>
            </w:pPr>
          </w:p>
        </w:tc>
      </w:tr>
      <w:tr>
        <w:trPr>
          <w:trHeight w:val="216"/>
        </w:trPr>
        <w:tc>
          <w:tcPr>
            <w:tcW w:w="7480" w:type="dxa"/>
            <w:vAlign w:val="bottom"/>
          </w:tcPr>
          <w:p>
            <w:pPr>
              <w:jc w:val="center"/>
              <w:ind w:left="1856"/>
              <w:spacing w:after="0"/>
              <w:rPr>
                <w:sz w:val="20"/>
                <w:szCs w:val="20"/>
                <w:color w:val="auto"/>
              </w:rPr>
            </w:pPr>
            <w:r>
              <w:rPr>
                <w:rFonts w:ascii="Arial" w:cs="Arial" w:eastAsia="Arial" w:hAnsi="Arial"/>
                <w:sz w:val="18"/>
                <w:szCs w:val="18"/>
                <w:b w:val="1"/>
                <w:bCs w:val="1"/>
                <w:color w:val="auto"/>
                <w:w w:val="87"/>
              </w:rPr>
              <w:t>2000 St. James Place</w:t>
            </w:r>
          </w:p>
        </w:tc>
        <w:tc>
          <w:tcPr>
            <w:tcW w:w="1400" w:type="dxa"/>
            <w:vAlign w:val="bottom"/>
          </w:tcPr>
          <w:p>
            <w:pPr>
              <w:spacing w:after="0"/>
              <w:rPr>
                <w:sz w:val="18"/>
                <w:szCs w:val="18"/>
                <w:color w:val="auto"/>
              </w:rPr>
            </w:pPr>
          </w:p>
        </w:tc>
      </w:tr>
      <w:tr>
        <w:trPr>
          <w:trHeight w:val="216"/>
        </w:trPr>
        <w:tc>
          <w:tcPr>
            <w:tcW w:w="7480" w:type="dxa"/>
            <w:vAlign w:val="bottom"/>
          </w:tcPr>
          <w:p>
            <w:pPr>
              <w:jc w:val="center"/>
              <w:ind w:left="1856"/>
              <w:spacing w:after="0"/>
              <w:rPr>
                <w:sz w:val="20"/>
                <w:szCs w:val="20"/>
                <w:color w:val="auto"/>
              </w:rPr>
            </w:pPr>
            <w:r>
              <w:rPr>
                <w:rFonts w:ascii="Arial" w:cs="Arial" w:eastAsia="Arial" w:hAnsi="Arial"/>
                <w:sz w:val="18"/>
                <w:szCs w:val="18"/>
                <w:b w:val="1"/>
                <w:bCs w:val="1"/>
                <w:color w:val="auto"/>
                <w:w w:val="87"/>
              </w:rPr>
              <w:t>Houston, Texas 77056</w:t>
            </w:r>
          </w:p>
        </w:tc>
        <w:tc>
          <w:tcPr>
            <w:tcW w:w="1400" w:type="dxa"/>
            <w:vAlign w:val="bottom"/>
          </w:tcPr>
          <w:p>
            <w:pPr>
              <w:spacing w:after="0"/>
              <w:rPr>
                <w:sz w:val="18"/>
                <w:szCs w:val="18"/>
                <w:color w:val="auto"/>
              </w:rPr>
            </w:pPr>
          </w:p>
        </w:tc>
      </w:tr>
      <w:tr>
        <w:trPr>
          <w:trHeight w:val="216"/>
        </w:trPr>
        <w:tc>
          <w:tcPr>
            <w:tcW w:w="7480" w:type="dxa"/>
            <w:vAlign w:val="bottom"/>
          </w:tcPr>
          <w:p>
            <w:pPr>
              <w:jc w:val="center"/>
              <w:ind w:left="1876"/>
              <w:spacing w:after="0"/>
              <w:rPr>
                <w:sz w:val="20"/>
                <w:szCs w:val="20"/>
                <w:color w:val="auto"/>
              </w:rPr>
            </w:pPr>
            <w:r>
              <w:rPr>
                <w:rFonts w:ascii="Arial" w:cs="Arial" w:eastAsia="Arial" w:hAnsi="Arial"/>
                <w:sz w:val="18"/>
                <w:szCs w:val="18"/>
                <w:b w:val="1"/>
                <w:bCs w:val="1"/>
                <w:color w:val="auto"/>
                <w:w w:val="90"/>
              </w:rPr>
              <w:t>(713) 836-4000</w:t>
            </w:r>
          </w:p>
        </w:tc>
        <w:tc>
          <w:tcPr>
            <w:tcW w:w="1400" w:type="dxa"/>
            <w:vAlign w:val="bottom"/>
          </w:tcPr>
          <w:p>
            <w:pPr>
              <w:spacing w:after="0"/>
              <w:rPr>
                <w:sz w:val="18"/>
                <w:szCs w:val="18"/>
                <w:color w:val="auto"/>
              </w:rPr>
            </w:pPr>
          </w:p>
        </w:tc>
      </w:tr>
      <w:tr>
        <w:trPr>
          <w:trHeight w:val="148"/>
        </w:trPr>
        <w:tc>
          <w:tcPr>
            <w:tcW w:w="7480" w:type="dxa"/>
            <w:vAlign w:val="bottom"/>
          </w:tcPr>
          <w:p>
            <w:pPr>
              <w:jc w:val="center"/>
              <w:ind w:left="1856"/>
              <w:spacing w:after="0" w:line="149" w:lineRule="exact"/>
              <w:rPr>
                <w:sz w:val="20"/>
                <w:szCs w:val="20"/>
                <w:color w:val="auto"/>
              </w:rPr>
            </w:pPr>
            <w:r>
              <w:rPr>
                <w:rFonts w:ascii="Arial" w:cs="Arial" w:eastAsia="Arial" w:hAnsi="Arial"/>
                <w:sz w:val="13"/>
                <w:szCs w:val="13"/>
                <w:b w:val="1"/>
                <w:bCs w:val="1"/>
                <w:color w:val="auto"/>
                <w:w w:val="85"/>
              </w:rPr>
              <w:t>(Name, address and telephone number, including area code, of agent for service)</w:t>
            </w:r>
          </w:p>
        </w:tc>
        <w:tc>
          <w:tcPr>
            <w:tcW w:w="1400" w:type="dxa"/>
            <w:vAlign w:val="bottom"/>
          </w:tcPr>
          <w:p>
            <w:pPr>
              <w:spacing w:after="0"/>
              <w:rPr>
                <w:sz w:val="12"/>
                <w:szCs w:val="12"/>
                <w:color w:val="auto"/>
              </w:rPr>
            </w:pPr>
          </w:p>
        </w:tc>
      </w:tr>
      <w:tr>
        <w:trPr>
          <w:trHeight w:val="220"/>
        </w:trPr>
        <w:tc>
          <w:tcPr>
            <w:tcW w:w="7480" w:type="dxa"/>
            <w:vAlign w:val="bottom"/>
          </w:tcPr>
          <w:p>
            <w:pPr>
              <w:jc w:val="center"/>
              <w:ind w:left="1856"/>
              <w:spacing w:after="0"/>
              <w:rPr>
                <w:sz w:val="20"/>
                <w:szCs w:val="20"/>
                <w:color w:val="auto"/>
              </w:rPr>
            </w:pPr>
            <w:r>
              <w:rPr>
                <w:rFonts w:ascii="Arial" w:cs="Arial" w:eastAsia="Arial" w:hAnsi="Arial"/>
                <w:sz w:val="18"/>
                <w:szCs w:val="18"/>
                <w:b w:val="1"/>
                <w:bCs w:val="1"/>
                <w:color w:val="auto"/>
                <w:w w:val="89"/>
              </w:rPr>
              <w:t>___________________________________________</w:t>
            </w:r>
          </w:p>
        </w:tc>
        <w:tc>
          <w:tcPr>
            <w:tcW w:w="1400" w:type="dxa"/>
            <w:vAlign w:val="bottom"/>
          </w:tcPr>
          <w:p>
            <w:pPr>
              <w:spacing w:after="0"/>
              <w:rPr>
                <w:sz w:val="19"/>
                <w:szCs w:val="19"/>
                <w:color w:val="auto"/>
              </w:rPr>
            </w:pPr>
          </w:p>
        </w:tc>
      </w:tr>
      <w:tr>
        <w:trPr>
          <w:trHeight w:val="212"/>
        </w:trPr>
        <w:tc>
          <w:tcPr>
            <w:tcW w:w="7480" w:type="dxa"/>
            <w:vAlign w:val="bottom"/>
          </w:tcPr>
          <w:p>
            <w:pPr>
              <w:jc w:val="center"/>
              <w:ind w:left="1856"/>
              <w:spacing w:after="0"/>
              <w:rPr>
                <w:sz w:val="20"/>
                <w:szCs w:val="20"/>
                <w:color w:val="auto"/>
              </w:rPr>
            </w:pPr>
            <w:r>
              <w:rPr>
                <w:rFonts w:ascii="Arial" w:cs="Arial" w:eastAsia="Arial" w:hAnsi="Arial"/>
                <w:sz w:val="18"/>
                <w:szCs w:val="18"/>
                <w:i w:val="1"/>
                <w:iCs w:val="1"/>
                <w:color w:val="auto"/>
                <w:w w:val="93"/>
              </w:rPr>
              <w:t>with copy to:</w:t>
            </w:r>
          </w:p>
        </w:tc>
        <w:tc>
          <w:tcPr>
            <w:tcW w:w="1400" w:type="dxa"/>
            <w:vAlign w:val="bottom"/>
          </w:tcPr>
          <w:p>
            <w:pPr>
              <w:spacing w:after="0"/>
              <w:rPr>
                <w:sz w:val="18"/>
                <w:szCs w:val="18"/>
                <w:color w:val="auto"/>
              </w:rPr>
            </w:pPr>
          </w:p>
        </w:tc>
      </w:tr>
      <w:tr>
        <w:trPr>
          <w:trHeight w:val="216"/>
        </w:trPr>
        <w:tc>
          <w:tcPr>
            <w:tcW w:w="7480" w:type="dxa"/>
            <w:vAlign w:val="bottom"/>
          </w:tcPr>
          <w:p>
            <w:pPr>
              <w:ind w:left="4100"/>
              <w:spacing w:after="0"/>
              <w:rPr>
                <w:sz w:val="20"/>
                <w:szCs w:val="20"/>
                <w:color w:val="auto"/>
              </w:rPr>
            </w:pPr>
            <w:r>
              <w:rPr>
                <w:rFonts w:ascii="Arial" w:cs="Arial" w:eastAsia="Arial" w:hAnsi="Arial"/>
                <w:sz w:val="18"/>
                <w:szCs w:val="18"/>
                <w:b w:val="1"/>
                <w:bCs w:val="1"/>
                <w:color w:val="auto"/>
              </w:rPr>
              <w:t>Jonathan B. Newton</w:t>
            </w:r>
          </w:p>
        </w:tc>
        <w:tc>
          <w:tcPr>
            <w:tcW w:w="1400" w:type="dxa"/>
            <w:vAlign w:val="bottom"/>
          </w:tcPr>
          <w:p>
            <w:pPr>
              <w:spacing w:after="0"/>
              <w:rPr>
                <w:sz w:val="18"/>
                <w:szCs w:val="18"/>
                <w:color w:val="auto"/>
              </w:rPr>
            </w:pPr>
          </w:p>
        </w:tc>
      </w:tr>
      <w:tr>
        <w:trPr>
          <w:trHeight w:val="216"/>
        </w:trPr>
        <w:tc>
          <w:tcPr>
            <w:tcW w:w="7480" w:type="dxa"/>
            <w:vAlign w:val="bottom"/>
          </w:tcPr>
          <w:p>
            <w:pPr>
              <w:jc w:val="center"/>
              <w:ind w:left="1876"/>
              <w:spacing w:after="0"/>
              <w:rPr>
                <w:sz w:val="20"/>
                <w:szCs w:val="20"/>
                <w:color w:val="auto"/>
              </w:rPr>
            </w:pPr>
            <w:r>
              <w:rPr>
                <w:rFonts w:ascii="Arial" w:cs="Arial" w:eastAsia="Arial" w:hAnsi="Arial"/>
                <w:sz w:val="18"/>
                <w:szCs w:val="18"/>
                <w:b w:val="1"/>
                <w:bCs w:val="1"/>
                <w:color w:val="auto"/>
                <w:w w:val="96"/>
              </w:rPr>
              <w:t>Baker &amp; McKenzie LLP</w:t>
            </w:r>
          </w:p>
        </w:tc>
        <w:tc>
          <w:tcPr>
            <w:tcW w:w="1400" w:type="dxa"/>
            <w:vAlign w:val="bottom"/>
          </w:tcPr>
          <w:p>
            <w:pPr>
              <w:spacing w:after="0"/>
              <w:rPr>
                <w:sz w:val="18"/>
                <w:szCs w:val="18"/>
                <w:color w:val="auto"/>
              </w:rPr>
            </w:pPr>
          </w:p>
        </w:tc>
      </w:tr>
      <w:tr>
        <w:trPr>
          <w:trHeight w:val="216"/>
        </w:trPr>
        <w:tc>
          <w:tcPr>
            <w:tcW w:w="7480" w:type="dxa"/>
            <w:vAlign w:val="bottom"/>
          </w:tcPr>
          <w:p>
            <w:pPr>
              <w:jc w:val="center"/>
              <w:ind w:left="1876"/>
              <w:spacing w:after="0"/>
              <w:rPr>
                <w:sz w:val="20"/>
                <w:szCs w:val="20"/>
                <w:color w:val="auto"/>
              </w:rPr>
            </w:pPr>
            <w:r>
              <w:rPr>
                <w:rFonts w:ascii="Arial" w:cs="Arial" w:eastAsia="Arial" w:hAnsi="Arial"/>
                <w:sz w:val="18"/>
                <w:szCs w:val="18"/>
                <w:b w:val="1"/>
                <w:bCs w:val="1"/>
                <w:color w:val="auto"/>
                <w:w w:val="89"/>
              </w:rPr>
              <w:t>700 Louisiana, Suite 3000</w:t>
            </w:r>
          </w:p>
        </w:tc>
        <w:tc>
          <w:tcPr>
            <w:tcW w:w="1400" w:type="dxa"/>
            <w:vAlign w:val="bottom"/>
          </w:tcPr>
          <w:p>
            <w:pPr>
              <w:spacing w:after="0"/>
              <w:rPr>
                <w:sz w:val="18"/>
                <w:szCs w:val="18"/>
                <w:color w:val="auto"/>
              </w:rPr>
            </w:pPr>
          </w:p>
        </w:tc>
      </w:tr>
      <w:tr>
        <w:trPr>
          <w:trHeight w:val="216"/>
        </w:trPr>
        <w:tc>
          <w:tcPr>
            <w:tcW w:w="7480" w:type="dxa"/>
            <w:vAlign w:val="bottom"/>
          </w:tcPr>
          <w:p>
            <w:pPr>
              <w:jc w:val="center"/>
              <w:ind w:left="1856"/>
              <w:spacing w:after="0"/>
              <w:rPr>
                <w:sz w:val="20"/>
                <w:szCs w:val="20"/>
                <w:color w:val="auto"/>
              </w:rPr>
            </w:pPr>
            <w:r>
              <w:rPr>
                <w:rFonts w:ascii="Arial" w:cs="Arial" w:eastAsia="Arial" w:hAnsi="Arial"/>
                <w:sz w:val="18"/>
                <w:szCs w:val="18"/>
                <w:b w:val="1"/>
                <w:bCs w:val="1"/>
                <w:color w:val="auto"/>
                <w:w w:val="87"/>
              </w:rPr>
              <w:t>Houston, Texas 77002</w:t>
            </w:r>
          </w:p>
        </w:tc>
        <w:tc>
          <w:tcPr>
            <w:tcW w:w="1400" w:type="dxa"/>
            <w:vAlign w:val="bottom"/>
          </w:tcPr>
          <w:p>
            <w:pPr>
              <w:spacing w:after="0"/>
              <w:rPr>
                <w:sz w:val="18"/>
                <w:szCs w:val="18"/>
                <w:color w:val="auto"/>
              </w:rPr>
            </w:pPr>
          </w:p>
        </w:tc>
      </w:tr>
      <w:tr>
        <w:trPr>
          <w:trHeight w:val="216"/>
        </w:trPr>
        <w:tc>
          <w:tcPr>
            <w:tcW w:w="7480" w:type="dxa"/>
            <w:vAlign w:val="bottom"/>
          </w:tcPr>
          <w:p>
            <w:pPr>
              <w:jc w:val="center"/>
              <w:ind w:left="1876"/>
              <w:spacing w:after="0"/>
              <w:rPr>
                <w:sz w:val="20"/>
                <w:szCs w:val="20"/>
                <w:color w:val="auto"/>
              </w:rPr>
            </w:pPr>
            <w:r>
              <w:rPr>
                <w:rFonts w:ascii="Arial" w:cs="Arial" w:eastAsia="Arial" w:hAnsi="Arial"/>
                <w:sz w:val="18"/>
                <w:szCs w:val="18"/>
                <w:b w:val="1"/>
                <w:bCs w:val="1"/>
                <w:color w:val="auto"/>
                <w:w w:val="90"/>
              </w:rPr>
              <w:t>(713) 427-5000</w:t>
            </w:r>
          </w:p>
        </w:tc>
        <w:tc>
          <w:tcPr>
            <w:tcW w:w="1400" w:type="dxa"/>
            <w:vAlign w:val="bottom"/>
          </w:tcPr>
          <w:p>
            <w:pPr>
              <w:spacing w:after="0"/>
              <w:rPr>
                <w:sz w:val="18"/>
                <w:szCs w:val="18"/>
                <w:color w:val="auto"/>
              </w:rPr>
            </w:pPr>
          </w:p>
        </w:tc>
      </w:tr>
      <w:tr>
        <w:trPr>
          <w:trHeight w:val="234"/>
        </w:trPr>
        <w:tc>
          <w:tcPr>
            <w:tcW w:w="7480" w:type="dxa"/>
            <w:vAlign w:val="bottom"/>
          </w:tcPr>
          <w:p>
            <w:pPr>
              <w:jc w:val="center"/>
              <w:ind w:left="1856"/>
              <w:spacing w:after="0"/>
              <w:rPr>
                <w:sz w:val="20"/>
                <w:szCs w:val="20"/>
                <w:color w:val="auto"/>
              </w:rPr>
            </w:pPr>
            <w:r>
              <w:rPr>
                <w:rFonts w:ascii="Arial" w:cs="Arial" w:eastAsia="Arial" w:hAnsi="Arial"/>
                <w:sz w:val="18"/>
                <w:szCs w:val="18"/>
                <w:b w:val="1"/>
                <w:bCs w:val="1"/>
                <w:color w:val="auto"/>
                <w:w w:val="89"/>
              </w:rPr>
              <w:t>___________________________________________</w:t>
            </w:r>
          </w:p>
        </w:tc>
        <w:tc>
          <w:tcPr>
            <w:tcW w:w="1400" w:type="dxa"/>
            <w:vAlign w:val="bottom"/>
          </w:tcPr>
          <w:p>
            <w:pPr>
              <w:spacing w:after="0"/>
              <w:rPr>
                <w:sz w:val="20"/>
                <w:szCs w:val="20"/>
                <w:color w:val="auto"/>
              </w:rPr>
            </w:pPr>
          </w:p>
        </w:tc>
      </w:tr>
    </w:tbl>
    <w:p>
      <w:pPr>
        <w:spacing w:after="0" w:line="40"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88" w:lineRule="exact"/>
        <w:rPr>
          <w:sz w:val="24"/>
          <w:szCs w:val="24"/>
          <w:color w:val="auto"/>
        </w:rPr>
      </w:pPr>
    </w:p>
    <w:tbl>
      <w:tblPr>
        <w:tblLayout w:type="fixed"/>
        <w:tblInd w:w="480" w:type="dxa"/>
        <w:tblCellMar>
          <w:top w:w="0" w:type="dxa"/>
          <w:left w:w="0" w:type="dxa"/>
          <w:bottom w:w="0" w:type="dxa"/>
          <w:right w:w="0" w:type="dxa"/>
        </w:tblCellMar>
      </w:tblPr>
      <w:tr>
        <w:trPr>
          <w:trHeight w:val="235"/>
        </w:trPr>
        <w:tc>
          <w:tcPr>
            <w:tcW w:w="2160" w:type="dxa"/>
            <w:vAlign w:val="bottom"/>
            <w:gridSpan w:val="2"/>
          </w:tcPr>
          <w:p>
            <w:pPr>
              <w:spacing w:after="0"/>
              <w:rPr>
                <w:sz w:val="20"/>
                <w:szCs w:val="20"/>
                <w:color w:val="auto"/>
              </w:rPr>
            </w:pPr>
            <w:r>
              <w:rPr>
                <w:rFonts w:ascii="Arial" w:cs="Arial" w:eastAsia="Arial" w:hAnsi="Arial"/>
                <w:sz w:val="18"/>
                <w:szCs w:val="18"/>
                <w:color w:val="auto"/>
              </w:rPr>
              <w:t>Large accelerated filer</w:t>
            </w:r>
          </w:p>
        </w:tc>
        <w:tc>
          <w:tcPr>
            <w:tcW w:w="2180" w:type="dxa"/>
            <w:vAlign w:val="bottom"/>
            <w:gridSpan w:val="2"/>
          </w:tcPr>
          <w:p>
            <w:pPr>
              <w:ind w:left="180"/>
              <w:spacing w:after="0"/>
              <w:rPr>
                <w:sz w:val="20"/>
                <w:szCs w:val="20"/>
                <w:color w:val="auto"/>
              </w:rPr>
            </w:pPr>
            <w:r>
              <w:rPr>
                <w:rFonts w:ascii="Arial" w:cs="Arial" w:eastAsia="Arial" w:hAnsi="Arial"/>
                <w:sz w:val="18"/>
                <w:szCs w:val="18"/>
                <w:color w:val="auto"/>
              </w:rPr>
              <w:t>x</w:t>
            </w:r>
          </w:p>
        </w:tc>
        <w:tc>
          <w:tcPr>
            <w:tcW w:w="1980" w:type="dxa"/>
            <w:vAlign w:val="bottom"/>
          </w:tcPr>
          <w:p>
            <w:pPr>
              <w:spacing w:after="0"/>
              <w:rPr>
                <w:sz w:val="20"/>
                <w:szCs w:val="20"/>
                <w:color w:val="auto"/>
              </w:rPr>
            </w:pPr>
          </w:p>
        </w:tc>
        <w:tc>
          <w:tcPr>
            <w:tcW w:w="3860" w:type="dxa"/>
            <w:vAlign w:val="bottom"/>
            <w:gridSpan w:val="2"/>
          </w:tcPr>
          <w:p>
            <w:pPr>
              <w:ind w:left="1160"/>
              <w:spacing w:after="0"/>
              <w:rPr>
                <w:sz w:val="20"/>
                <w:szCs w:val="20"/>
                <w:color w:val="auto"/>
              </w:rPr>
            </w:pPr>
            <w:r>
              <w:rPr>
                <w:rFonts w:ascii="Arial" w:cs="Arial" w:eastAsia="Arial" w:hAnsi="Arial"/>
                <w:sz w:val="18"/>
                <w:szCs w:val="18"/>
                <w:color w:val="auto"/>
              </w:rPr>
              <w:t>Accelerated filer</w:t>
            </w:r>
          </w:p>
        </w:tc>
        <w:tc>
          <w:tcPr>
            <w:tcW w:w="260" w:type="dxa"/>
            <w:vAlign w:val="bottom"/>
          </w:tcPr>
          <w:p>
            <w:pPr>
              <w:ind w:left="140"/>
              <w:spacing w:after="0"/>
              <w:rPr>
                <w:sz w:val="20"/>
                <w:szCs w:val="20"/>
                <w:color w:val="auto"/>
              </w:rPr>
            </w:pPr>
            <w:r>
              <w:rPr>
                <w:rFonts w:ascii="Arial" w:cs="Arial" w:eastAsia="Arial" w:hAnsi="Arial"/>
                <w:sz w:val="14"/>
                <w:szCs w:val="14"/>
                <w:color w:val="auto"/>
              </w:rPr>
              <w:t>o</w:t>
            </w:r>
          </w:p>
        </w:tc>
      </w:tr>
      <w:tr>
        <w:trPr>
          <w:trHeight w:val="500"/>
        </w:trPr>
        <w:tc>
          <w:tcPr>
            <w:tcW w:w="2160" w:type="dxa"/>
            <w:vAlign w:val="bottom"/>
            <w:gridSpan w:val="2"/>
          </w:tcPr>
          <w:p>
            <w:pPr>
              <w:spacing w:after="0"/>
              <w:rPr>
                <w:sz w:val="20"/>
                <w:szCs w:val="20"/>
                <w:color w:val="auto"/>
              </w:rPr>
            </w:pPr>
            <w:r>
              <w:rPr>
                <w:rFonts w:ascii="Arial" w:cs="Arial" w:eastAsia="Arial" w:hAnsi="Arial"/>
                <w:sz w:val="18"/>
                <w:szCs w:val="18"/>
                <w:color w:val="auto"/>
              </w:rPr>
              <w:t>Non-accelerated filer</w:t>
            </w:r>
          </w:p>
        </w:tc>
        <w:tc>
          <w:tcPr>
            <w:tcW w:w="4160" w:type="dxa"/>
            <w:vAlign w:val="bottom"/>
            <w:gridSpan w:val="3"/>
          </w:tcPr>
          <w:p>
            <w:pPr>
              <w:ind w:left="180"/>
              <w:spacing w:after="0"/>
              <w:rPr>
                <w:sz w:val="20"/>
                <w:szCs w:val="20"/>
                <w:color w:val="auto"/>
              </w:rPr>
            </w:pPr>
            <w:r>
              <w:rPr>
                <w:rFonts w:ascii="Arial" w:cs="Arial" w:eastAsia="Arial" w:hAnsi="Arial"/>
                <w:sz w:val="14"/>
                <w:szCs w:val="14"/>
                <w:color w:val="auto"/>
              </w:rPr>
              <w:t xml:space="preserve">o  </w:t>
            </w:r>
            <w:r>
              <w:rPr>
                <w:rFonts w:ascii="Arial" w:cs="Arial" w:eastAsia="Arial" w:hAnsi="Arial"/>
                <w:sz w:val="18"/>
                <w:szCs w:val="18"/>
                <w:color w:val="auto"/>
              </w:rPr>
              <w:t>(Do not check if a smaller reporting company)</w:t>
            </w:r>
          </w:p>
        </w:tc>
        <w:tc>
          <w:tcPr>
            <w:tcW w:w="3860" w:type="dxa"/>
            <w:vAlign w:val="bottom"/>
            <w:gridSpan w:val="2"/>
          </w:tcPr>
          <w:p>
            <w:pPr>
              <w:ind w:left="1160"/>
              <w:spacing w:after="0"/>
              <w:rPr>
                <w:sz w:val="20"/>
                <w:szCs w:val="20"/>
                <w:color w:val="auto"/>
              </w:rPr>
            </w:pPr>
            <w:r>
              <w:rPr>
                <w:rFonts w:ascii="Arial" w:cs="Arial" w:eastAsia="Arial" w:hAnsi="Arial"/>
                <w:sz w:val="18"/>
                <w:szCs w:val="18"/>
                <w:color w:val="auto"/>
              </w:rPr>
              <w:t>Smaller reporting company</w:t>
            </w:r>
          </w:p>
        </w:tc>
        <w:tc>
          <w:tcPr>
            <w:tcW w:w="260" w:type="dxa"/>
            <w:vAlign w:val="bottom"/>
          </w:tcPr>
          <w:p>
            <w:pPr>
              <w:ind w:left="140"/>
              <w:spacing w:after="0"/>
              <w:rPr>
                <w:sz w:val="20"/>
                <w:szCs w:val="20"/>
                <w:color w:val="auto"/>
              </w:rPr>
            </w:pPr>
            <w:r>
              <w:rPr>
                <w:rFonts w:ascii="Arial" w:cs="Arial" w:eastAsia="Arial" w:hAnsi="Arial"/>
                <w:sz w:val="14"/>
                <w:szCs w:val="14"/>
                <w:color w:val="auto"/>
              </w:rPr>
              <w:t>o</w:t>
            </w:r>
          </w:p>
        </w:tc>
      </w:tr>
      <w:tr>
        <w:trPr>
          <w:trHeight w:val="459"/>
        </w:trPr>
        <w:tc>
          <w:tcPr>
            <w:tcW w:w="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920" w:type="dxa"/>
            <w:vAlign w:val="bottom"/>
            <w:gridSpan w:val="3"/>
          </w:tcPr>
          <w:p>
            <w:pPr>
              <w:ind w:left="1140"/>
              <w:spacing w:after="0"/>
              <w:rPr>
                <w:sz w:val="20"/>
                <w:szCs w:val="20"/>
                <w:color w:val="auto"/>
              </w:rPr>
            </w:pPr>
            <w:r>
              <w:rPr>
                <w:rFonts w:ascii="Arial" w:cs="Arial" w:eastAsia="Arial" w:hAnsi="Arial"/>
                <w:sz w:val="18"/>
                <w:szCs w:val="18"/>
                <w:b w:val="1"/>
                <w:bCs w:val="1"/>
                <w:color w:val="auto"/>
              </w:rPr>
              <w:t>CALCULATION OF REGISTRATION FEE</w:t>
            </w:r>
          </w:p>
        </w:tc>
        <w:tc>
          <w:tcPr>
            <w:tcW w:w="19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35"/>
        </w:trPr>
        <w:tc>
          <w:tcPr>
            <w:tcW w:w="40" w:type="dxa"/>
            <w:vAlign w:val="bottom"/>
          </w:tcPr>
          <w:p>
            <w:pPr>
              <w:spacing w:after="0"/>
              <w:rPr>
                <w:sz w:val="11"/>
                <w:szCs w:val="11"/>
                <w:color w:val="auto"/>
              </w:rPr>
            </w:pPr>
          </w:p>
        </w:tc>
        <w:tc>
          <w:tcPr>
            <w:tcW w:w="2120" w:type="dxa"/>
            <w:vAlign w:val="bottom"/>
            <w:tcBorders>
              <w:bottom w:val="single" w:sz="8" w:color="00000A"/>
            </w:tcBorders>
          </w:tcPr>
          <w:p>
            <w:pPr>
              <w:spacing w:after="0"/>
              <w:rPr>
                <w:sz w:val="11"/>
                <w:szCs w:val="11"/>
                <w:color w:val="auto"/>
              </w:rPr>
            </w:pPr>
          </w:p>
        </w:tc>
        <w:tc>
          <w:tcPr>
            <w:tcW w:w="200" w:type="dxa"/>
            <w:vAlign w:val="bottom"/>
            <w:tcBorders>
              <w:bottom w:val="single" w:sz="8" w:color="00000A"/>
            </w:tcBorders>
          </w:tcPr>
          <w:p>
            <w:pPr>
              <w:spacing w:after="0"/>
              <w:rPr>
                <w:sz w:val="11"/>
                <w:szCs w:val="11"/>
                <w:color w:val="auto"/>
              </w:rPr>
            </w:pPr>
          </w:p>
        </w:tc>
        <w:tc>
          <w:tcPr>
            <w:tcW w:w="1980" w:type="dxa"/>
            <w:vAlign w:val="bottom"/>
            <w:tcBorders>
              <w:bottom w:val="single" w:sz="8" w:color="00000A"/>
            </w:tcBorders>
          </w:tcPr>
          <w:p>
            <w:pPr>
              <w:spacing w:after="0"/>
              <w:rPr>
                <w:sz w:val="11"/>
                <w:szCs w:val="11"/>
                <w:color w:val="auto"/>
              </w:rPr>
            </w:pPr>
          </w:p>
        </w:tc>
        <w:tc>
          <w:tcPr>
            <w:tcW w:w="1980" w:type="dxa"/>
            <w:vAlign w:val="bottom"/>
            <w:tcBorders>
              <w:bottom w:val="single" w:sz="8" w:color="00000A"/>
            </w:tcBorders>
          </w:tcPr>
          <w:p>
            <w:pPr>
              <w:spacing w:after="0"/>
              <w:rPr>
                <w:sz w:val="11"/>
                <w:szCs w:val="11"/>
                <w:color w:val="auto"/>
              </w:rPr>
            </w:pPr>
          </w:p>
        </w:tc>
        <w:tc>
          <w:tcPr>
            <w:tcW w:w="1960" w:type="dxa"/>
            <w:vAlign w:val="bottom"/>
            <w:tcBorders>
              <w:bottom w:val="single" w:sz="8" w:color="00000A"/>
            </w:tcBorders>
          </w:tcPr>
          <w:p>
            <w:pPr>
              <w:spacing w:after="0"/>
              <w:rPr>
                <w:sz w:val="11"/>
                <w:szCs w:val="11"/>
                <w:color w:val="auto"/>
              </w:rPr>
            </w:pPr>
          </w:p>
        </w:tc>
        <w:tc>
          <w:tcPr>
            <w:tcW w:w="1900" w:type="dxa"/>
            <w:vAlign w:val="bottom"/>
            <w:tcBorders>
              <w:bottom w:val="single" w:sz="8" w:color="00000A"/>
            </w:tcBorders>
          </w:tcPr>
          <w:p>
            <w:pPr>
              <w:spacing w:after="0"/>
              <w:rPr>
                <w:sz w:val="11"/>
                <w:szCs w:val="11"/>
                <w:color w:val="auto"/>
              </w:rPr>
            </w:pPr>
          </w:p>
        </w:tc>
        <w:tc>
          <w:tcPr>
            <w:tcW w:w="260" w:type="dxa"/>
            <w:vAlign w:val="bottom"/>
            <w:tcBorders>
              <w:bottom w:val="single" w:sz="8" w:color="00000A"/>
            </w:tcBorders>
          </w:tcPr>
          <w:p>
            <w:pPr>
              <w:spacing w:after="0"/>
              <w:rPr>
                <w:sz w:val="11"/>
                <w:szCs w:val="11"/>
                <w:color w:val="auto"/>
              </w:rPr>
            </w:pPr>
          </w:p>
        </w:tc>
      </w:tr>
      <w:tr>
        <w:trPr>
          <w:trHeight w:val="20"/>
        </w:trPr>
        <w:tc>
          <w:tcPr>
            <w:tcW w:w="40" w:type="dxa"/>
            <w:vAlign w:val="bottom"/>
          </w:tcPr>
          <w:p>
            <w:pPr>
              <w:spacing w:after="0" w:line="20" w:lineRule="exact"/>
              <w:rPr>
                <w:sz w:val="1"/>
                <w:szCs w:val="1"/>
                <w:color w:val="auto"/>
              </w:rPr>
            </w:pPr>
          </w:p>
        </w:tc>
        <w:tc>
          <w:tcPr>
            <w:tcW w:w="2120" w:type="dxa"/>
            <w:vAlign w:val="bottom"/>
            <w:tcBorders>
              <w:bottom w:val="single" w:sz="8" w:color="00000A"/>
            </w:tcBorders>
          </w:tcPr>
          <w:p>
            <w:pPr>
              <w:spacing w:after="0" w:line="20" w:lineRule="exact"/>
              <w:rPr>
                <w:sz w:val="1"/>
                <w:szCs w:val="1"/>
                <w:color w:val="auto"/>
              </w:rPr>
            </w:pPr>
          </w:p>
        </w:tc>
        <w:tc>
          <w:tcPr>
            <w:tcW w:w="200" w:type="dxa"/>
            <w:vAlign w:val="bottom"/>
            <w:tcBorders>
              <w:bottom w:val="single" w:sz="8" w:color="00000A"/>
            </w:tcBorders>
          </w:tcPr>
          <w:p>
            <w:pPr>
              <w:spacing w:after="0" w:line="20" w:lineRule="exact"/>
              <w:rPr>
                <w:sz w:val="1"/>
                <w:szCs w:val="1"/>
                <w:color w:val="auto"/>
              </w:rPr>
            </w:pPr>
          </w:p>
        </w:tc>
        <w:tc>
          <w:tcPr>
            <w:tcW w:w="1980" w:type="dxa"/>
            <w:vAlign w:val="bottom"/>
            <w:tcBorders>
              <w:bottom w:val="single" w:sz="8" w:color="00000A"/>
            </w:tcBorders>
          </w:tcPr>
          <w:p>
            <w:pPr>
              <w:spacing w:after="0" w:line="20" w:lineRule="exact"/>
              <w:rPr>
                <w:sz w:val="1"/>
                <w:szCs w:val="1"/>
                <w:color w:val="auto"/>
              </w:rPr>
            </w:pPr>
          </w:p>
        </w:tc>
        <w:tc>
          <w:tcPr>
            <w:tcW w:w="1980" w:type="dxa"/>
            <w:vAlign w:val="bottom"/>
            <w:tcBorders>
              <w:bottom w:val="single" w:sz="8" w:color="00000A"/>
            </w:tcBorders>
          </w:tcPr>
          <w:p>
            <w:pPr>
              <w:spacing w:after="0" w:line="20" w:lineRule="exact"/>
              <w:rPr>
                <w:sz w:val="1"/>
                <w:szCs w:val="1"/>
                <w:color w:val="auto"/>
              </w:rPr>
            </w:pPr>
          </w:p>
        </w:tc>
        <w:tc>
          <w:tcPr>
            <w:tcW w:w="1960" w:type="dxa"/>
            <w:vAlign w:val="bottom"/>
            <w:tcBorders>
              <w:bottom w:val="single" w:sz="8" w:color="00000A"/>
            </w:tcBorders>
          </w:tcPr>
          <w:p>
            <w:pPr>
              <w:spacing w:after="0" w:line="20" w:lineRule="exact"/>
              <w:rPr>
                <w:sz w:val="1"/>
                <w:szCs w:val="1"/>
                <w:color w:val="auto"/>
              </w:rPr>
            </w:pPr>
          </w:p>
        </w:tc>
        <w:tc>
          <w:tcPr>
            <w:tcW w:w="1900" w:type="dxa"/>
            <w:vAlign w:val="bottom"/>
            <w:tcBorders>
              <w:bottom w:val="single" w:sz="8" w:color="00000A"/>
            </w:tcBorders>
          </w:tcPr>
          <w:p>
            <w:pPr>
              <w:spacing w:after="0" w:line="20" w:lineRule="exact"/>
              <w:rPr>
                <w:sz w:val="1"/>
                <w:szCs w:val="1"/>
                <w:color w:val="auto"/>
              </w:rPr>
            </w:pPr>
          </w:p>
        </w:tc>
        <w:tc>
          <w:tcPr>
            <w:tcW w:w="260" w:type="dxa"/>
            <w:vAlign w:val="bottom"/>
            <w:tcBorders>
              <w:bottom w:val="single" w:sz="8" w:color="00000A"/>
            </w:tcBorders>
          </w:tcPr>
          <w:p>
            <w:pPr>
              <w:spacing w:after="0" w:line="20" w:lineRule="exact"/>
              <w:rPr>
                <w:sz w:val="1"/>
                <w:szCs w:val="1"/>
                <w:color w:val="auto"/>
              </w:rPr>
            </w:pPr>
          </w:p>
        </w:tc>
      </w:tr>
      <w:tr>
        <w:trPr>
          <w:trHeight w:val="124"/>
        </w:trPr>
        <w:tc>
          <w:tcPr>
            <w:tcW w:w="4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200" w:type="dxa"/>
            <w:vAlign w:val="bottom"/>
            <w:tcBorders>
              <w:right w:val="single" w:sz="8" w:color="00000A"/>
            </w:tcBorders>
          </w:tcPr>
          <w:p>
            <w:pPr>
              <w:spacing w:after="0"/>
              <w:rPr>
                <w:sz w:val="10"/>
                <w:szCs w:val="10"/>
                <w:color w:val="auto"/>
              </w:rPr>
            </w:pPr>
          </w:p>
        </w:tc>
        <w:tc>
          <w:tcPr>
            <w:tcW w:w="1980" w:type="dxa"/>
            <w:vAlign w:val="bottom"/>
            <w:tcBorders>
              <w:right w:val="single" w:sz="8" w:color="00000A"/>
            </w:tcBorders>
          </w:tcPr>
          <w:p>
            <w:pPr>
              <w:spacing w:after="0"/>
              <w:rPr>
                <w:sz w:val="10"/>
                <w:szCs w:val="10"/>
                <w:color w:val="auto"/>
              </w:rPr>
            </w:pPr>
          </w:p>
        </w:tc>
        <w:tc>
          <w:tcPr>
            <w:tcW w:w="1980" w:type="dxa"/>
            <w:vAlign w:val="bottom"/>
            <w:tcBorders>
              <w:right w:val="single" w:sz="8" w:color="00000A"/>
            </w:tcBorders>
          </w:tcPr>
          <w:p>
            <w:pPr>
              <w:jc w:val="center"/>
              <w:spacing w:after="0" w:line="124" w:lineRule="exact"/>
              <w:rPr>
                <w:sz w:val="20"/>
                <w:szCs w:val="20"/>
                <w:color w:val="auto"/>
              </w:rPr>
            </w:pPr>
            <w:r>
              <w:rPr>
                <w:rFonts w:ascii="Arial" w:cs="Arial" w:eastAsia="Arial" w:hAnsi="Arial"/>
                <w:sz w:val="13"/>
                <w:szCs w:val="13"/>
                <w:b w:val="1"/>
                <w:bCs w:val="1"/>
                <w:color w:val="auto"/>
                <w:w w:val="87"/>
              </w:rPr>
              <w:t>Proposed maximum offering price</w:t>
            </w:r>
          </w:p>
        </w:tc>
        <w:tc>
          <w:tcPr>
            <w:tcW w:w="1960" w:type="dxa"/>
            <w:vAlign w:val="bottom"/>
            <w:tcBorders>
              <w:right w:val="single" w:sz="8" w:color="00000A"/>
            </w:tcBorders>
          </w:tcPr>
          <w:p>
            <w:pPr>
              <w:jc w:val="center"/>
              <w:spacing w:after="0" w:line="124" w:lineRule="exact"/>
              <w:rPr>
                <w:sz w:val="20"/>
                <w:szCs w:val="20"/>
                <w:color w:val="auto"/>
              </w:rPr>
            </w:pPr>
            <w:r>
              <w:rPr>
                <w:rFonts w:ascii="Arial" w:cs="Arial" w:eastAsia="Arial" w:hAnsi="Arial"/>
                <w:sz w:val="13"/>
                <w:szCs w:val="13"/>
                <w:b w:val="1"/>
                <w:bCs w:val="1"/>
                <w:color w:val="auto"/>
                <w:w w:val="86"/>
              </w:rPr>
              <w:t>Proposed maximum aggregate</w:t>
            </w:r>
          </w:p>
        </w:tc>
        <w:tc>
          <w:tcPr>
            <w:tcW w:w="1900" w:type="dxa"/>
            <w:vAlign w:val="bottom"/>
          </w:tcPr>
          <w:p>
            <w:pPr>
              <w:spacing w:after="0"/>
              <w:rPr>
                <w:sz w:val="10"/>
                <w:szCs w:val="10"/>
                <w:color w:val="auto"/>
              </w:rPr>
            </w:pPr>
          </w:p>
        </w:tc>
        <w:tc>
          <w:tcPr>
            <w:tcW w:w="260" w:type="dxa"/>
            <w:vAlign w:val="bottom"/>
          </w:tcPr>
          <w:p>
            <w:pPr>
              <w:spacing w:after="0"/>
              <w:rPr>
                <w:sz w:val="10"/>
                <w:szCs w:val="10"/>
                <w:color w:val="auto"/>
              </w:rPr>
            </w:pPr>
          </w:p>
        </w:tc>
      </w:tr>
      <w:tr>
        <w:trPr>
          <w:trHeight w:val="174"/>
        </w:trPr>
        <w:tc>
          <w:tcPr>
            <w:tcW w:w="40" w:type="dxa"/>
            <w:vAlign w:val="bottom"/>
          </w:tcPr>
          <w:p>
            <w:pPr>
              <w:spacing w:after="0"/>
              <w:rPr>
                <w:sz w:val="15"/>
                <w:szCs w:val="15"/>
                <w:color w:val="auto"/>
              </w:rPr>
            </w:pPr>
          </w:p>
        </w:tc>
        <w:tc>
          <w:tcPr>
            <w:tcW w:w="2120" w:type="dxa"/>
            <w:vAlign w:val="bottom"/>
            <w:tcBorders>
              <w:bottom w:val="single" w:sz="8" w:color="00000A"/>
            </w:tcBorders>
          </w:tcPr>
          <w:p>
            <w:pPr>
              <w:ind w:left="20"/>
              <w:spacing w:after="0"/>
              <w:rPr>
                <w:sz w:val="20"/>
                <w:szCs w:val="20"/>
                <w:color w:val="auto"/>
              </w:rPr>
            </w:pPr>
            <w:r>
              <w:rPr>
                <w:rFonts w:ascii="Arial" w:cs="Arial" w:eastAsia="Arial" w:hAnsi="Arial"/>
                <w:sz w:val="13"/>
                <w:szCs w:val="13"/>
                <w:b w:val="1"/>
                <w:bCs w:val="1"/>
                <w:color w:val="auto"/>
                <w:w w:val="99"/>
              </w:rPr>
              <w:t>Title of securities to be registered</w:t>
            </w:r>
          </w:p>
        </w:tc>
        <w:tc>
          <w:tcPr>
            <w:tcW w:w="200" w:type="dxa"/>
            <w:vAlign w:val="bottom"/>
            <w:tcBorders>
              <w:bottom w:val="single" w:sz="8" w:color="00000A"/>
              <w:right w:val="single" w:sz="8" w:color="00000A"/>
            </w:tcBorders>
          </w:tcPr>
          <w:p>
            <w:pPr>
              <w:spacing w:after="0"/>
              <w:rPr>
                <w:sz w:val="15"/>
                <w:szCs w:val="15"/>
                <w:color w:val="auto"/>
              </w:rPr>
            </w:pPr>
          </w:p>
        </w:tc>
        <w:tc>
          <w:tcPr>
            <w:tcW w:w="19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3"/>
                <w:szCs w:val="13"/>
                <w:b w:val="1"/>
                <w:bCs w:val="1"/>
                <w:color w:val="auto"/>
                <w:w w:val="88"/>
              </w:rPr>
              <w:t>Amount to be registered</w:t>
            </w:r>
            <w:r>
              <w:rPr>
                <w:rFonts w:ascii="Arial" w:cs="Arial" w:eastAsia="Arial" w:hAnsi="Arial"/>
                <w:sz w:val="8"/>
                <w:szCs w:val="8"/>
                <w:b w:val="1"/>
                <w:bCs w:val="1"/>
                <w:color w:val="auto"/>
                <w:w w:val="88"/>
              </w:rPr>
              <w:t>(1)</w:t>
            </w:r>
          </w:p>
        </w:tc>
        <w:tc>
          <w:tcPr>
            <w:tcW w:w="19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3"/>
                <w:szCs w:val="13"/>
                <w:b w:val="1"/>
                <w:bCs w:val="1"/>
                <w:color w:val="auto"/>
                <w:w w:val="90"/>
              </w:rPr>
              <w:t>per share</w:t>
            </w:r>
            <w:r>
              <w:rPr>
                <w:rFonts w:ascii="Arial" w:cs="Arial" w:eastAsia="Arial" w:hAnsi="Arial"/>
                <w:sz w:val="8"/>
                <w:szCs w:val="8"/>
                <w:b w:val="1"/>
                <w:bCs w:val="1"/>
                <w:color w:val="auto"/>
                <w:w w:val="90"/>
              </w:rPr>
              <w:t>(2)</w:t>
            </w:r>
          </w:p>
        </w:tc>
        <w:tc>
          <w:tcPr>
            <w:tcW w:w="1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3"/>
                <w:szCs w:val="13"/>
                <w:b w:val="1"/>
                <w:bCs w:val="1"/>
                <w:color w:val="auto"/>
                <w:w w:val="90"/>
              </w:rPr>
              <w:t>offering price</w:t>
            </w:r>
            <w:r>
              <w:rPr>
                <w:rFonts w:ascii="Arial" w:cs="Arial" w:eastAsia="Arial" w:hAnsi="Arial"/>
                <w:sz w:val="8"/>
                <w:szCs w:val="8"/>
                <w:b w:val="1"/>
                <w:bCs w:val="1"/>
                <w:color w:val="auto"/>
                <w:w w:val="90"/>
              </w:rPr>
              <w:t>(2)</w:t>
            </w:r>
          </w:p>
        </w:tc>
        <w:tc>
          <w:tcPr>
            <w:tcW w:w="1900" w:type="dxa"/>
            <w:vAlign w:val="bottom"/>
            <w:tcBorders>
              <w:bottom w:val="single" w:sz="8" w:color="00000A"/>
            </w:tcBorders>
          </w:tcPr>
          <w:p>
            <w:pPr>
              <w:jc w:val="center"/>
              <w:ind w:left="163"/>
              <w:spacing w:after="0"/>
              <w:rPr>
                <w:sz w:val="20"/>
                <w:szCs w:val="20"/>
                <w:color w:val="auto"/>
              </w:rPr>
            </w:pPr>
            <w:r>
              <w:rPr>
                <w:rFonts w:ascii="Arial" w:cs="Arial" w:eastAsia="Arial" w:hAnsi="Arial"/>
                <w:sz w:val="13"/>
                <w:szCs w:val="13"/>
                <w:b w:val="1"/>
                <w:bCs w:val="1"/>
                <w:color w:val="auto"/>
                <w:w w:val="87"/>
              </w:rPr>
              <w:t>Amount of registration fee</w:t>
            </w:r>
          </w:p>
        </w:tc>
        <w:tc>
          <w:tcPr>
            <w:tcW w:w="260" w:type="dxa"/>
            <w:vAlign w:val="bottom"/>
            <w:tcBorders>
              <w:bottom w:val="single" w:sz="8" w:color="00000A"/>
            </w:tcBorders>
          </w:tcPr>
          <w:p>
            <w:pPr>
              <w:spacing w:after="0"/>
              <w:rPr>
                <w:sz w:val="15"/>
                <w:szCs w:val="15"/>
                <w:color w:val="auto"/>
              </w:rPr>
            </w:pPr>
          </w:p>
        </w:tc>
      </w:tr>
      <w:tr>
        <w:trPr>
          <w:trHeight w:val="229"/>
        </w:trPr>
        <w:tc>
          <w:tcPr>
            <w:tcW w:w="40" w:type="dxa"/>
            <w:vAlign w:val="bottom"/>
          </w:tcPr>
          <w:p>
            <w:pPr>
              <w:spacing w:after="0"/>
              <w:rPr>
                <w:sz w:val="19"/>
                <w:szCs w:val="19"/>
                <w:color w:val="auto"/>
              </w:rPr>
            </w:pPr>
          </w:p>
        </w:tc>
        <w:tc>
          <w:tcPr>
            <w:tcW w:w="2120" w:type="dxa"/>
            <w:vAlign w:val="bottom"/>
          </w:tcPr>
          <w:p>
            <w:pPr>
              <w:ind w:left="20"/>
              <w:spacing w:after="0"/>
              <w:rPr>
                <w:sz w:val="20"/>
                <w:szCs w:val="20"/>
                <w:color w:val="auto"/>
              </w:rPr>
            </w:pPr>
            <w:r>
              <w:rPr>
                <w:rFonts w:ascii="Arial" w:cs="Arial" w:eastAsia="Arial" w:hAnsi="Arial"/>
                <w:sz w:val="18"/>
                <w:szCs w:val="18"/>
                <w:color w:val="auto"/>
                <w:w w:val="96"/>
              </w:rPr>
              <w:t>Ordinary Shares, par value</w:t>
            </w:r>
          </w:p>
        </w:tc>
        <w:tc>
          <w:tcPr>
            <w:tcW w:w="200" w:type="dxa"/>
            <w:vAlign w:val="bottom"/>
            <w:tcBorders>
              <w:right w:val="single" w:sz="8" w:color="00000A"/>
            </w:tcBorders>
          </w:tcPr>
          <w:p>
            <w:pPr>
              <w:spacing w:after="0"/>
              <w:rPr>
                <w:sz w:val="19"/>
                <w:szCs w:val="19"/>
                <w:color w:val="auto"/>
              </w:rPr>
            </w:pPr>
          </w:p>
        </w:tc>
        <w:tc>
          <w:tcPr>
            <w:tcW w:w="1980" w:type="dxa"/>
            <w:vAlign w:val="bottom"/>
            <w:tcBorders>
              <w:right w:val="single" w:sz="8" w:color="00000A"/>
            </w:tcBorders>
          </w:tcPr>
          <w:p>
            <w:pPr>
              <w:spacing w:after="0"/>
              <w:rPr>
                <w:sz w:val="19"/>
                <w:szCs w:val="19"/>
                <w:color w:val="auto"/>
              </w:rPr>
            </w:pPr>
          </w:p>
        </w:tc>
        <w:tc>
          <w:tcPr>
            <w:tcW w:w="1980" w:type="dxa"/>
            <w:vAlign w:val="bottom"/>
            <w:tcBorders>
              <w:right w:val="single" w:sz="8" w:color="00000A"/>
            </w:tcBorders>
          </w:tcPr>
          <w:p>
            <w:pPr>
              <w:spacing w:after="0"/>
              <w:rPr>
                <w:sz w:val="19"/>
                <w:szCs w:val="19"/>
                <w:color w:val="auto"/>
              </w:rPr>
            </w:pPr>
          </w:p>
        </w:tc>
        <w:tc>
          <w:tcPr>
            <w:tcW w:w="1960" w:type="dxa"/>
            <w:vAlign w:val="bottom"/>
            <w:tcBorders>
              <w:right w:val="single" w:sz="8" w:color="00000A"/>
            </w:tcBorders>
          </w:tcPr>
          <w:p>
            <w:pPr>
              <w:spacing w:after="0"/>
              <w:rPr>
                <w:sz w:val="19"/>
                <w:szCs w:val="19"/>
                <w:color w:val="auto"/>
              </w:rPr>
            </w:pPr>
          </w:p>
        </w:tc>
        <w:tc>
          <w:tcPr>
            <w:tcW w:w="19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30"/>
        </w:trPr>
        <w:tc>
          <w:tcPr>
            <w:tcW w:w="2160" w:type="dxa"/>
            <w:vAlign w:val="bottom"/>
            <w:gridSpan w:val="2"/>
          </w:tcPr>
          <w:p>
            <w:pPr>
              <w:ind w:left="60"/>
              <w:spacing w:after="0"/>
              <w:rPr>
                <w:sz w:val="20"/>
                <w:szCs w:val="20"/>
                <w:color w:val="auto"/>
              </w:rPr>
            </w:pPr>
            <w:r>
              <w:rPr>
                <w:rFonts w:ascii="Arial" w:cs="Arial" w:eastAsia="Arial" w:hAnsi="Arial"/>
                <w:sz w:val="18"/>
                <w:szCs w:val="18"/>
                <w:color w:val="auto"/>
              </w:rPr>
              <w:t>$0.001</w:t>
            </w:r>
          </w:p>
        </w:tc>
        <w:tc>
          <w:tcPr>
            <w:tcW w:w="200" w:type="dxa"/>
            <w:vAlign w:val="bottom"/>
            <w:tcBorders>
              <w:right w:val="single" w:sz="8" w:color="00000A"/>
            </w:tcBorders>
          </w:tcPr>
          <w:p>
            <w:pPr>
              <w:spacing w:after="0"/>
              <w:rPr>
                <w:sz w:val="20"/>
                <w:szCs w:val="20"/>
                <w:color w:val="auto"/>
              </w:rPr>
            </w:pPr>
          </w:p>
        </w:tc>
        <w:tc>
          <w:tcPr>
            <w:tcW w:w="1980" w:type="dxa"/>
            <w:vAlign w:val="bottom"/>
            <w:tcBorders>
              <w:right w:val="single" w:sz="8" w:color="00000A"/>
            </w:tcBorders>
          </w:tcPr>
          <w:p>
            <w:pPr>
              <w:jc w:val="right"/>
              <w:ind w:right="519"/>
              <w:spacing w:after="0"/>
              <w:rPr>
                <w:sz w:val="20"/>
                <w:szCs w:val="20"/>
                <w:color w:val="auto"/>
              </w:rPr>
            </w:pPr>
            <w:r>
              <w:rPr>
                <w:rFonts w:ascii="Arial" w:cs="Arial" w:eastAsia="Arial" w:hAnsi="Arial"/>
                <w:sz w:val="18"/>
                <w:szCs w:val="18"/>
                <w:color w:val="auto"/>
              </w:rPr>
              <w:t>12,000,000</w:t>
            </w:r>
          </w:p>
        </w:tc>
        <w:tc>
          <w:tcPr>
            <w:tcW w:w="198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3"/>
              </w:rPr>
              <w:t>$6.01</w:t>
            </w:r>
          </w:p>
        </w:tc>
        <w:tc>
          <w:tcPr>
            <w:tcW w:w="19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89"/>
              </w:rPr>
              <w:t>$72,120,000.00</w:t>
            </w:r>
          </w:p>
        </w:tc>
        <w:tc>
          <w:tcPr>
            <w:tcW w:w="1900" w:type="dxa"/>
            <w:vAlign w:val="bottom"/>
          </w:tcPr>
          <w:p>
            <w:pPr>
              <w:jc w:val="right"/>
              <w:ind w:right="383"/>
              <w:spacing w:after="0"/>
              <w:rPr>
                <w:sz w:val="20"/>
                <w:szCs w:val="20"/>
                <w:color w:val="auto"/>
              </w:rPr>
            </w:pPr>
            <w:r>
              <w:rPr>
                <w:rFonts w:ascii="Arial" w:cs="Arial" w:eastAsia="Arial" w:hAnsi="Arial"/>
                <w:sz w:val="18"/>
                <w:szCs w:val="18"/>
                <w:color w:val="auto"/>
              </w:rPr>
              <w:t>$7,262.48</w:t>
            </w:r>
          </w:p>
        </w:tc>
        <w:tc>
          <w:tcPr>
            <w:tcW w:w="26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2120" w:type="dxa"/>
            <w:vAlign w:val="bottom"/>
            <w:tcBorders>
              <w:bottom w:val="single" w:sz="8" w:color="00000A"/>
            </w:tcBorders>
          </w:tcPr>
          <w:p>
            <w:pPr>
              <w:spacing w:after="0"/>
              <w:rPr>
                <w:sz w:val="2"/>
                <w:szCs w:val="2"/>
                <w:color w:val="auto"/>
              </w:rPr>
            </w:pPr>
          </w:p>
        </w:tc>
        <w:tc>
          <w:tcPr>
            <w:tcW w:w="200" w:type="dxa"/>
            <w:vAlign w:val="bottom"/>
            <w:tcBorders>
              <w:bottom w:val="single" w:sz="8" w:color="00000A"/>
              <w:right w:val="single" w:sz="8" w:color="00000A"/>
            </w:tcBorders>
          </w:tcPr>
          <w:p>
            <w:pPr>
              <w:spacing w:after="0"/>
              <w:rPr>
                <w:sz w:val="2"/>
                <w:szCs w:val="2"/>
                <w:color w:val="auto"/>
              </w:rPr>
            </w:pPr>
          </w:p>
        </w:tc>
        <w:tc>
          <w:tcPr>
            <w:tcW w:w="1980" w:type="dxa"/>
            <w:vAlign w:val="bottom"/>
            <w:tcBorders>
              <w:bottom w:val="single" w:sz="8" w:color="00000A"/>
              <w:right w:val="single" w:sz="8" w:color="00000A"/>
            </w:tcBorders>
          </w:tcPr>
          <w:p>
            <w:pPr>
              <w:spacing w:after="0"/>
              <w:rPr>
                <w:sz w:val="2"/>
                <w:szCs w:val="2"/>
                <w:color w:val="auto"/>
              </w:rPr>
            </w:pPr>
          </w:p>
        </w:tc>
        <w:tc>
          <w:tcPr>
            <w:tcW w:w="1980" w:type="dxa"/>
            <w:vAlign w:val="bottom"/>
            <w:tcBorders>
              <w:bottom w:val="single" w:sz="8" w:color="00000A"/>
              <w:right w:val="single" w:sz="8" w:color="00000A"/>
            </w:tcBorders>
          </w:tcPr>
          <w:p>
            <w:pPr>
              <w:spacing w:after="0"/>
              <w:rPr>
                <w:sz w:val="2"/>
                <w:szCs w:val="2"/>
                <w:color w:val="auto"/>
              </w:rPr>
            </w:pPr>
          </w:p>
        </w:tc>
        <w:tc>
          <w:tcPr>
            <w:tcW w:w="1960" w:type="dxa"/>
            <w:vAlign w:val="bottom"/>
            <w:tcBorders>
              <w:bottom w:val="single" w:sz="8" w:color="00000A"/>
              <w:right w:val="single" w:sz="8" w:color="00000A"/>
            </w:tcBorders>
          </w:tcPr>
          <w:p>
            <w:pPr>
              <w:spacing w:after="0"/>
              <w:rPr>
                <w:sz w:val="2"/>
                <w:szCs w:val="2"/>
                <w:color w:val="auto"/>
              </w:rPr>
            </w:pPr>
          </w:p>
        </w:tc>
        <w:tc>
          <w:tcPr>
            <w:tcW w:w="1900" w:type="dxa"/>
            <w:vAlign w:val="bottom"/>
            <w:tcBorders>
              <w:bottom w:val="single" w:sz="8" w:color="00000A"/>
            </w:tcBorders>
          </w:tcPr>
          <w:p>
            <w:pPr>
              <w:spacing w:after="0"/>
              <w:rPr>
                <w:sz w:val="2"/>
                <w:szCs w:val="2"/>
                <w:color w:val="auto"/>
              </w:rPr>
            </w:pPr>
          </w:p>
        </w:tc>
        <w:tc>
          <w:tcPr>
            <w:tcW w:w="260" w:type="dxa"/>
            <w:vAlign w:val="bottom"/>
            <w:tcBorders>
              <w:bottom w:val="single" w:sz="8" w:color="00000A"/>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2120" w:type="dxa"/>
            <w:vAlign w:val="bottom"/>
            <w:tcBorders>
              <w:bottom w:val="single" w:sz="8" w:color="00000A"/>
            </w:tcBorders>
          </w:tcPr>
          <w:p>
            <w:pPr>
              <w:spacing w:after="0" w:line="20" w:lineRule="exact"/>
              <w:rPr>
                <w:sz w:val="1"/>
                <w:szCs w:val="1"/>
                <w:color w:val="auto"/>
              </w:rPr>
            </w:pPr>
          </w:p>
        </w:tc>
        <w:tc>
          <w:tcPr>
            <w:tcW w:w="200" w:type="dxa"/>
            <w:vAlign w:val="bottom"/>
            <w:tcBorders>
              <w:bottom w:val="single" w:sz="8" w:color="00000A"/>
            </w:tcBorders>
          </w:tcPr>
          <w:p>
            <w:pPr>
              <w:spacing w:after="0" w:line="20" w:lineRule="exact"/>
              <w:rPr>
                <w:sz w:val="1"/>
                <w:szCs w:val="1"/>
                <w:color w:val="auto"/>
              </w:rPr>
            </w:pPr>
          </w:p>
        </w:tc>
        <w:tc>
          <w:tcPr>
            <w:tcW w:w="1980" w:type="dxa"/>
            <w:vAlign w:val="bottom"/>
            <w:tcBorders>
              <w:bottom w:val="single" w:sz="8" w:color="00000A"/>
            </w:tcBorders>
          </w:tcPr>
          <w:p>
            <w:pPr>
              <w:spacing w:after="0" w:line="20" w:lineRule="exact"/>
              <w:rPr>
                <w:sz w:val="1"/>
                <w:szCs w:val="1"/>
                <w:color w:val="auto"/>
              </w:rPr>
            </w:pPr>
          </w:p>
        </w:tc>
        <w:tc>
          <w:tcPr>
            <w:tcW w:w="1980" w:type="dxa"/>
            <w:vAlign w:val="bottom"/>
            <w:tcBorders>
              <w:bottom w:val="single" w:sz="8" w:color="00000A"/>
            </w:tcBorders>
          </w:tcPr>
          <w:p>
            <w:pPr>
              <w:spacing w:after="0" w:line="20" w:lineRule="exact"/>
              <w:rPr>
                <w:sz w:val="1"/>
                <w:szCs w:val="1"/>
                <w:color w:val="auto"/>
              </w:rPr>
            </w:pPr>
          </w:p>
        </w:tc>
        <w:tc>
          <w:tcPr>
            <w:tcW w:w="1960" w:type="dxa"/>
            <w:vAlign w:val="bottom"/>
            <w:tcBorders>
              <w:bottom w:val="single" w:sz="8" w:color="00000A"/>
            </w:tcBorders>
          </w:tcPr>
          <w:p>
            <w:pPr>
              <w:spacing w:after="0" w:line="20" w:lineRule="exact"/>
              <w:rPr>
                <w:sz w:val="1"/>
                <w:szCs w:val="1"/>
                <w:color w:val="auto"/>
              </w:rPr>
            </w:pPr>
          </w:p>
        </w:tc>
        <w:tc>
          <w:tcPr>
            <w:tcW w:w="1900" w:type="dxa"/>
            <w:vAlign w:val="bottom"/>
            <w:tcBorders>
              <w:bottom w:val="single" w:sz="8" w:color="00000A"/>
            </w:tcBorders>
          </w:tcPr>
          <w:p>
            <w:pPr>
              <w:spacing w:after="0" w:line="20" w:lineRule="exact"/>
              <w:rPr>
                <w:sz w:val="1"/>
                <w:szCs w:val="1"/>
                <w:color w:val="auto"/>
              </w:rPr>
            </w:pPr>
          </w:p>
        </w:tc>
        <w:tc>
          <w:tcPr>
            <w:tcW w:w="260" w:type="dxa"/>
            <w:vAlign w:val="bottom"/>
            <w:tcBorders>
              <w:bottom w:val="single" w:sz="8" w:color="00000A"/>
            </w:tcBorders>
          </w:tcPr>
          <w:p>
            <w:pPr>
              <w:spacing w:after="0" w:line="20" w:lineRule="exact"/>
              <w:rPr>
                <w:sz w:val="1"/>
                <w:szCs w:val="1"/>
                <w:color w:val="auto"/>
              </w:rPr>
            </w:pPr>
          </w:p>
        </w:tc>
      </w:tr>
    </w:tbl>
    <w:p>
      <w:pPr>
        <w:spacing w:after="0" w:line="143" w:lineRule="exact"/>
        <w:rPr>
          <w:sz w:val="24"/>
          <w:szCs w:val="24"/>
          <w:color w:val="auto"/>
        </w:rPr>
      </w:pPr>
    </w:p>
    <w:p>
      <w:pPr>
        <w:ind w:left="480" w:right="540" w:hanging="445"/>
        <w:spacing w:after="0" w:line="253" w:lineRule="auto"/>
        <w:tabs>
          <w:tab w:leader="none" w:pos="480" w:val="left"/>
        </w:tabs>
        <w:numPr>
          <w:ilvl w:val="0"/>
          <w:numId w:val="1"/>
        </w:numPr>
        <w:rPr>
          <w:rFonts w:ascii="Arial" w:cs="Arial" w:eastAsia="Arial" w:hAnsi="Arial"/>
          <w:sz w:val="14"/>
          <w:szCs w:val="14"/>
          <w:color w:val="auto"/>
        </w:rPr>
      </w:pPr>
      <w:r>
        <w:rPr>
          <w:rFonts w:ascii="Arial" w:cs="Arial" w:eastAsia="Arial" w:hAnsi="Arial"/>
          <w:sz w:val="14"/>
          <w:szCs w:val="14"/>
          <w:color w:val="auto"/>
        </w:rPr>
        <w:t>Pursuant to Rule 416(a) under the Securities Act of 1933, as amended (the “Securities Act”), this Registration Statement covers an indeterminable number of additional securities as may be offered or issued as a result of the anti-dilution provisions of the Weatherford International plc Employee Stock Purchase Plan.</w:t>
      </w:r>
    </w:p>
    <w:p>
      <w:pPr>
        <w:spacing w:after="0" w:line="11" w:lineRule="exact"/>
        <w:rPr>
          <w:rFonts w:ascii="Arial" w:cs="Arial" w:eastAsia="Arial" w:hAnsi="Arial"/>
          <w:sz w:val="14"/>
          <w:szCs w:val="14"/>
          <w:color w:val="auto"/>
        </w:rPr>
      </w:pPr>
    </w:p>
    <w:p>
      <w:pPr>
        <w:ind w:left="480" w:right="820" w:hanging="445"/>
        <w:spacing w:after="0" w:line="253" w:lineRule="auto"/>
        <w:tabs>
          <w:tab w:leader="none" w:pos="48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Rules 457(c) and 457(h) under the Securities Act and based upon the average of the high and low sales prices of an Ordinary Share as reported by the New York Stock Exchange, Inc. on June 16,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9291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291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19050</wp:posOffset>
            </wp:positionV>
            <wp:extent cx="69291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291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 w:name="page2"/>
    <w:bookmarkEnd w:id="1"/>
    <w:p>
      <w:pPr>
        <w:jc w:val="center"/>
        <w:ind w:right="640"/>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8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document(s) containing the employee benefit plan information required by Item 1 of Form S-8 and the statement of availability of registrant information and any other information required by Item 2 of Form S-8 will be sent or given to participants as specified by Rule 428 under the Securities Act of 1933, as amended (the “Securities Act”). In accordance with Rule 428 and the requirements of Part I of Form S-8, such documents are not being filed with the United States Securities and Exchange Commission (the “Commission”) either as part of this Registration Statement or as prospectuses or prospectus supplements pursuant to Rule 424 under the Securities Act. Weatherford International plc (the “Registrant”) will maintain a file of such documents in accordance with the provisions of Rule 428. Upon request, the Registrant will furnish to the Commission or its staff a copy of any or all of the documents included in such file.</w:t>
      </w:r>
    </w:p>
    <w:p>
      <w:pPr>
        <w:spacing w:after="0" w:line="174"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documents filed with the Commission by the Registrant pursuant to the Securities Exchange Act of 1934, as amended (the “Exchange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Act”), are incorporated in this Registration Statement by reference and shall be deemed to be a part hereof:</w:t>
      </w:r>
    </w:p>
    <w:p>
      <w:pPr>
        <w:spacing w:after="0" w:line="170" w:lineRule="exact"/>
        <w:rPr>
          <w:sz w:val="20"/>
          <w:szCs w:val="20"/>
          <w:color w:val="auto"/>
        </w:rPr>
      </w:pPr>
    </w:p>
    <w:p>
      <w:pPr>
        <w:ind w:left="640" w:hanging="320"/>
        <w:spacing w:after="0" w:line="277" w:lineRule="auto"/>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Annual Report on Form 10-K for the fiscal year ended December 31, 2015, as filed with the Commission on February 16, 2016;</w:t>
      </w:r>
    </w:p>
    <w:p>
      <w:pPr>
        <w:spacing w:after="0" w:line="170" w:lineRule="exact"/>
        <w:rPr>
          <w:rFonts w:ascii="Arial" w:cs="Arial" w:eastAsia="Arial" w:hAnsi="Arial"/>
          <w:sz w:val="18"/>
          <w:szCs w:val="18"/>
          <w:color w:val="auto"/>
        </w:rPr>
      </w:pPr>
    </w:p>
    <w:p>
      <w:pPr>
        <w:ind w:left="640" w:hanging="320"/>
        <w:spacing w:after="0" w:line="277" w:lineRule="auto"/>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Quarterly Report on Form 10-Q for the quarterly period ended March 31, 2016, as filed with the Commission on May 5, 2016;</w:t>
      </w:r>
    </w:p>
    <w:p>
      <w:pPr>
        <w:spacing w:after="0" w:line="170" w:lineRule="exact"/>
        <w:rPr>
          <w:rFonts w:ascii="Arial" w:cs="Arial" w:eastAsia="Arial" w:hAnsi="Arial"/>
          <w:sz w:val="18"/>
          <w:szCs w:val="18"/>
          <w:color w:val="auto"/>
        </w:rPr>
      </w:pPr>
    </w:p>
    <w:p>
      <w:pPr>
        <w:jc w:val="both"/>
        <w:ind w:left="640" w:hanging="320"/>
        <w:spacing w:after="0" w:line="264" w:lineRule="auto"/>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Current Reports on Form 8-K as filed with the Commission on February 4, 2016, March 3, 2016 (to the extent filed and not furnished), May 10, 2016, May 27, 2016, June 7, 2016, June 8, 2016 (to the extent filed and not furnished), June 10, 2016 (to the extent filed and not furnished), June 15, 2016 and June 16, 2016;</w:t>
      </w:r>
    </w:p>
    <w:p>
      <w:pPr>
        <w:spacing w:after="0" w:line="181" w:lineRule="exact"/>
        <w:rPr>
          <w:rFonts w:ascii="Arial" w:cs="Arial" w:eastAsia="Arial" w:hAnsi="Arial"/>
          <w:sz w:val="18"/>
          <w:szCs w:val="18"/>
          <w:color w:val="auto"/>
        </w:rPr>
      </w:pPr>
    </w:p>
    <w:p>
      <w:pPr>
        <w:ind w:left="640" w:hanging="320"/>
        <w:spacing w:after="0" w:line="277" w:lineRule="auto"/>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portions of the Registrant’s Definitive Proxy Statement, as filed with the Commission on April 26, 2016, incorporated by reference into the Registrant’s Annual Report on Form 10-K for the fiscal year ended December 31, 2015;</w:t>
      </w:r>
    </w:p>
    <w:p>
      <w:pPr>
        <w:spacing w:after="0" w:line="170" w:lineRule="exact"/>
        <w:rPr>
          <w:rFonts w:ascii="Arial" w:cs="Arial" w:eastAsia="Arial" w:hAnsi="Arial"/>
          <w:sz w:val="18"/>
          <w:szCs w:val="18"/>
          <w:color w:val="auto"/>
        </w:rPr>
      </w:pPr>
    </w:p>
    <w:p>
      <w:pPr>
        <w:ind w:left="640" w:hanging="320"/>
        <w:spacing w:after="0" w:line="293" w:lineRule="auto"/>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 other reports filed by the Registrant pursuant to Section 13(a) or 15(d) of the Exchange Act since the end of the fiscal year covered by the Registrant’s Annual Report on Form 10-K for the fiscal year ended December 31, 2015; and</w:t>
      </w:r>
    </w:p>
    <w:p>
      <w:pPr>
        <w:spacing w:after="0" w:line="156" w:lineRule="exact"/>
        <w:rPr>
          <w:rFonts w:ascii="Arial" w:cs="Arial" w:eastAsia="Arial" w:hAnsi="Arial"/>
          <w:sz w:val="18"/>
          <w:szCs w:val="18"/>
          <w:color w:val="auto"/>
        </w:rPr>
      </w:pPr>
    </w:p>
    <w:p>
      <w:pPr>
        <w:ind w:left="640" w:hanging="320"/>
        <w:spacing w:after="0" w:line="277" w:lineRule="auto"/>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the Ordinary Shares as set forth on Form 8-K as filed on June 17, 2014, and any further amendment or report filed for the purposes of updating such description.</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Each document filed by the Registrant with the Commission pursuant to Sections 13(a), 13(c), 14 and 15(d) of the Exchange Act subsequent to the date of this Registration Statement and prior to the filing of any post-effective amendment to this Registration Statement which indicates that all securities offered hereby have been sold or which deregisters all securities then remaining unsold, shall be deemed to be incorporated by reference in this Registration Statement and to be a part hereof from the date of filing of such documents.</w:t>
      </w:r>
    </w:p>
    <w:p>
      <w:pPr>
        <w:spacing w:after="0" w:line="13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Any statement contained herein, in any amendment hereto or in a document incorporated by reference herein shall be deemed to be modified or superseded for purposes of this Registration Statement to the extent that a statement contained herein or in any subsequently-filed amendment to this Registration Statement or in any document that also is incorporated by reference herein modifies or supersedes such statement. Any statement so modified or superseded shall not be deemed, except as so modified or superseded, to constitute a part of this Registration Statement.</w:t>
      </w:r>
    </w:p>
    <w:p>
      <w:pPr>
        <w:sectPr>
          <w:pgSz w:w="11900" w:h="16838" w:orient="portrait"/>
          <w:cols w:equalWidth="0" w:num="1">
            <w:col w:w="10760"/>
          </w:cols>
          <w:pgMar w:left="900" w:top="796" w:right="239" w:bottom="1440" w:gutter="0" w:footer="0" w:header="0"/>
        </w:sectPr>
      </w:pPr>
    </w:p>
    <w:bookmarkStart w:id="2" w:name="page3"/>
    <w:bookmarkEnd w:id="2"/>
    <w:p>
      <w:pPr>
        <w:ind w:left="80"/>
        <w:spacing w:after="0"/>
        <w:rPr>
          <w:sz w:val="20"/>
          <w:szCs w:val="20"/>
          <w:color w:val="auto"/>
        </w:rPr>
      </w:pPr>
      <w:r>
        <w:rPr>
          <w:rFonts w:ascii="Arial" w:cs="Arial" w:eastAsia="Arial" w:hAnsi="Arial"/>
          <w:sz w:val="18"/>
          <w:szCs w:val="18"/>
          <w:b w:val="1"/>
          <w:bCs w:val="1"/>
          <w:color w:val="auto"/>
        </w:rPr>
        <w:t>Item 4. Description of Securities.</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5. Interest of Named Experts and Counsel.</w:t>
      </w:r>
    </w:p>
    <w:p>
      <w:pPr>
        <w:spacing w:after="0" w:line="229" w:lineRule="exact"/>
        <w:rPr>
          <w:sz w:val="20"/>
          <w:szCs w:val="20"/>
          <w:color w:val="auto"/>
        </w:rPr>
      </w:pPr>
    </w:p>
    <w:p>
      <w:pPr>
        <w:ind w:left="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Registrant’s memorandum and articles of association confer an indemnity on its directors and officers, which is limited by the Irish Companies Act 2014 (the “Irish Companies Act”). The Irish Companies Act prescribes that such an indemnity, in effect, only permits a company to pay the costs or discharge the liability of a director or the secretary in defending proceedings, whether civil or criminal, in which judgment is given in his or her favor or in which he or she is acquitted, or where an Irish court otherwise grants relief because the director or the secretary acted honestly and reasonably and ought fairly to be excused. This restriction in the Irish Companies Acts does not apply to officers who are not directors or the secretary of the Registrant. Any provision whereby an Irish company seeks to indemnify its directors or its secretary over and above this shall be void under Irish law, whether contained in its articles of association or any contract between the director and the Irish company.</w:t>
      </w:r>
    </w:p>
    <w:p>
      <w:pPr>
        <w:spacing w:after="0" w:line="12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Registrant’s articles of association also contain indemnification and expense advancement provisions for persons who are not directors or the secretary of the Registrant.</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Irish companies may take out directors and officers liability insurance as well as other types of insurance, for their directors and officers.</w:t>
      </w:r>
    </w:p>
    <w:p>
      <w:pPr>
        <w:spacing w:after="0" w:line="19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the Registrant and Weatherford International Ltd. (“Weatherford Bermuda”), a Bermuda exempted company and wholly owned, indirect subsidiary of the Registrant have entered (and/or, if required, any other subsidiary of the Registrant may enter) into indemnification agreements (or deed poll indemnities) with or as to each of Registrant’s directors and certain officers as well as with individuals serving as directors, officers, employees, agents or fiduciaries of our subsidiaries or any other company, corporation, joint venture, trust, employee benefit plan or other entity or enterprise or by reason of anything done or not done by such person in any capacity providing for the indemnification of, and advancement of expenses to, these persons to the fullest extent permitted by law.</w:t>
      </w:r>
    </w:p>
    <w:p>
      <w:pPr>
        <w:spacing w:after="0" w:line="15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Irish law, a company may not exempt any director or the secretary from liability for negligence, default, breach of duty or breach of trust of which he or she may be guilty in relation to the company. However, where a breach of duty has been established, directors or the secretary may be statutorily exempted by an Irish court from personal liability for negligence or breach of duty if, among other things, the court determines that they have acted honestly and reasonably, and that they may fairly be excused as a result.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0840"/>
          </w:cols>
          <w:pgMar w:left="820" w:top="580" w:right="239" w:bottom="1440" w:gutter="0" w:footer="0" w:header="0"/>
        </w:sectPr>
      </w:pPr>
    </w:p>
    <w:bookmarkStart w:id="3" w:name="page4"/>
    <w:bookmarkEnd w:id="3"/>
    <w:p>
      <w:pPr>
        <w:ind w:left="160"/>
        <w:spacing w:after="0"/>
        <w:rPr>
          <w:sz w:val="20"/>
          <w:szCs w:val="20"/>
          <w:color w:val="auto"/>
        </w:rPr>
      </w:pPr>
      <w:r>
        <w:rPr>
          <w:rFonts w:ascii="Arial" w:cs="Arial" w:eastAsia="Arial" w:hAnsi="Arial"/>
          <w:sz w:val="18"/>
          <w:szCs w:val="18"/>
          <w:b w:val="1"/>
          <w:bCs w:val="1"/>
          <w:color w:val="auto"/>
        </w:rPr>
        <w:t>Item 8. Exhibits.</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documents are filed as a part of this Registration Statement or incorporated by reference herein:</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ind w:left="20"/>
              <w:spacing w:after="0"/>
              <w:rPr>
                <w:sz w:val="20"/>
                <w:szCs w:val="20"/>
                <w:color w:val="auto"/>
              </w:rPr>
            </w:pPr>
            <w:r>
              <w:rPr>
                <w:rFonts w:ascii="Arial" w:cs="Arial" w:eastAsia="Arial" w:hAnsi="Arial"/>
                <w:sz w:val="18"/>
                <w:szCs w:val="18"/>
                <w:color w:val="auto"/>
              </w:rPr>
              <w:t>Exhibit</w:t>
            </w:r>
          </w:p>
        </w:tc>
        <w:tc>
          <w:tcPr>
            <w:tcW w:w="9300" w:type="dxa"/>
            <w:vAlign w:val="bottom"/>
          </w:tcPr>
          <w:p>
            <w:pPr>
              <w:ind w:left="4260"/>
              <w:spacing w:after="0"/>
              <w:rPr>
                <w:sz w:val="20"/>
                <w:szCs w:val="20"/>
                <w:color w:val="auto"/>
              </w:rPr>
            </w:pPr>
            <w:r>
              <w:rPr>
                <w:rFonts w:ascii="Arial" w:cs="Arial" w:eastAsia="Arial" w:hAnsi="Arial"/>
                <w:sz w:val="18"/>
                <w:szCs w:val="18"/>
                <w:color w:val="auto"/>
              </w:rPr>
              <w:t>Description</w:t>
            </w:r>
          </w:p>
        </w:tc>
        <w:tc>
          <w:tcPr>
            <w:tcW w:w="0" w:type="dxa"/>
            <w:vAlign w:val="bottom"/>
          </w:tcPr>
          <w:p>
            <w:pPr>
              <w:spacing w:after="0"/>
              <w:rPr>
                <w:sz w:val="1"/>
                <w:szCs w:val="1"/>
                <w:color w:val="auto"/>
              </w:rPr>
            </w:pPr>
          </w:p>
        </w:tc>
      </w:tr>
      <w:tr>
        <w:trPr>
          <w:trHeight w:val="230"/>
        </w:trPr>
        <w:tc>
          <w:tcPr>
            <w:tcW w:w="1300" w:type="dxa"/>
            <w:vAlign w:val="bottom"/>
          </w:tcPr>
          <w:p>
            <w:pPr>
              <w:ind w:left="20"/>
              <w:spacing w:after="0"/>
              <w:rPr>
                <w:sz w:val="20"/>
                <w:szCs w:val="20"/>
                <w:color w:val="auto"/>
              </w:rPr>
            </w:pPr>
            <w:r>
              <w:rPr>
                <w:rFonts w:ascii="Arial" w:cs="Arial" w:eastAsia="Arial" w:hAnsi="Arial"/>
                <w:sz w:val="18"/>
                <w:szCs w:val="18"/>
                <w:color w:val="auto"/>
              </w:rPr>
              <w:t>No.</w:t>
            </w:r>
          </w:p>
        </w:tc>
        <w:tc>
          <w:tcPr>
            <w:tcW w:w="9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300" w:type="dxa"/>
            <w:vAlign w:val="bottom"/>
            <w:tcBorders>
              <w:bottom w:val="single" w:sz="8" w:color="auto"/>
            </w:tcBorders>
          </w:tcPr>
          <w:p>
            <w:pPr>
              <w:spacing w:after="0"/>
              <w:rPr>
                <w:sz w:val="2"/>
                <w:szCs w:val="2"/>
                <w:color w:val="auto"/>
              </w:rPr>
            </w:pPr>
          </w:p>
        </w:tc>
        <w:tc>
          <w:tcPr>
            <w:tcW w:w="9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4"/>
        </w:trPr>
        <w:tc>
          <w:tcPr>
            <w:tcW w:w="1300" w:type="dxa"/>
            <w:vAlign w:val="bottom"/>
            <w:vMerge w:val="restart"/>
          </w:tcPr>
          <w:p>
            <w:pPr>
              <w:ind w:left="20"/>
              <w:spacing w:after="0"/>
              <w:rPr>
                <w:sz w:val="20"/>
                <w:szCs w:val="20"/>
                <w:color w:val="auto"/>
              </w:rPr>
            </w:pPr>
            <w:r>
              <w:rPr>
                <w:rFonts w:ascii="Arial" w:cs="Arial" w:eastAsia="Arial" w:hAnsi="Arial"/>
                <w:sz w:val="18"/>
                <w:szCs w:val="18"/>
                <w:color w:val="auto"/>
              </w:rPr>
              <w:t>4.1</w:t>
            </w:r>
          </w:p>
        </w:tc>
        <w:tc>
          <w:tcPr>
            <w:tcW w:w="9300" w:type="dxa"/>
            <w:vAlign w:val="bottom"/>
          </w:tcPr>
          <w:p>
            <w:pPr>
              <w:ind w:left="100"/>
              <w:spacing w:after="0"/>
              <w:rPr>
                <w:sz w:val="20"/>
                <w:szCs w:val="20"/>
                <w:color w:val="auto"/>
              </w:rPr>
            </w:pPr>
            <w:r>
              <w:rPr>
                <w:rFonts w:ascii="Arial" w:cs="Arial" w:eastAsia="Arial" w:hAnsi="Arial"/>
                <w:sz w:val="18"/>
                <w:szCs w:val="18"/>
                <w:color w:val="auto"/>
                <w:w w:val="94"/>
              </w:rPr>
              <w:t>Memorandum and Articles of Weatherford International public limited company (incorporated by reference to Exhibit 3.1 to</w:t>
            </w:r>
          </w:p>
        </w:tc>
        <w:tc>
          <w:tcPr>
            <w:tcW w:w="0" w:type="dxa"/>
            <w:vAlign w:val="bottom"/>
          </w:tcPr>
          <w:p>
            <w:pPr>
              <w:spacing w:after="0"/>
              <w:rPr>
                <w:sz w:val="1"/>
                <w:szCs w:val="1"/>
                <w:color w:val="auto"/>
              </w:rPr>
            </w:pPr>
          </w:p>
        </w:tc>
      </w:tr>
      <w:tr>
        <w:trPr>
          <w:trHeight w:val="122"/>
        </w:trPr>
        <w:tc>
          <w:tcPr>
            <w:tcW w:w="1300" w:type="dxa"/>
            <w:vAlign w:val="bottom"/>
            <w:vMerge w:val="continue"/>
          </w:tcPr>
          <w:p>
            <w:pPr>
              <w:spacing w:after="0"/>
              <w:rPr>
                <w:sz w:val="10"/>
                <w:szCs w:val="10"/>
                <w:color w:val="auto"/>
              </w:rPr>
            </w:pPr>
          </w:p>
        </w:tc>
        <w:tc>
          <w:tcPr>
            <w:tcW w:w="9300" w:type="dxa"/>
            <w:vAlign w:val="bottom"/>
            <w:vMerge w:val="restart"/>
          </w:tcPr>
          <w:p>
            <w:pPr>
              <w:ind w:left="100"/>
              <w:spacing w:after="0"/>
              <w:rPr>
                <w:sz w:val="20"/>
                <w:szCs w:val="20"/>
                <w:color w:val="auto"/>
              </w:rPr>
            </w:pPr>
            <w:r>
              <w:rPr>
                <w:rFonts w:ascii="Arial" w:cs="Arial" w:eastAsia="Arial" w:hAnsi="Arial"/>
                <w:sz w:val="18"/>
                <w:szCs w:val="18"/>
                <w:color w:val="auto"/>
              </w:rPr>
              <w:t>Form 8-K, filed on June 17, 2014).</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9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77"/>
        </w:trPr>
        <w:tc>
          <w:tcPr>
            <w:tcW w:w="1300" w:type="dxa"/>
            <w:vAlign w:val="bottom"/>
          </w:tcPr>
          <w:p>
            <w:pPr>
              <w:spacing w:after="0"/>
              <w:rPr>
                <w:sz w:val="24"/>
                <w:szCs w:val="24"/>
                <w:color w:val="auto"/>
              </w:rPr>
            </w:pPr>
          </w:p>
        </w:tc>
        <w:tc>
          <w:tcPr>
            <w:tcW w:w="9300" w:type="dxa"/>
            <w:vAlign w:val="bottom"/>
          </w:tcPr>
          <w:p>
            <w:pPr>
              <w:ind w:left="100"/>
              <w:spacing w:after="0"/>
              <w:rPr>
                <w:sz w:val="20"/>
                <w:szCs w:val="20"/>
                <w:color w:val="auto"/>
              </w:rPr>
            </w:pPr>
            <w:r>
              <w:rPr>
                <w:rFonts w:ascii="Arial" w:cs="Arial" w:eastAsia="Arial" w:hAnsi="Arial"/>
                <w:sz w:val="18"/>
                <w:szCs w:val="18"/>
                <w:color w:val="auto"/>
                <w:w w:val="99"/>
              </w:rPr>
              <w:t>Weatherford International plc Employee Stock Purchase Plan (incorporated by reference to Annex A of Weatherford</w:t>
            </w:r>
          </w:p>
        </w:tc>
        <w:tc>
          <w:tcPr>
            <w:tcW w:w="0" w:type="dxa"/>
            <w:vAlign w:val="bottom"/>
          </w:tcPr>
          <w:p>
            <w:pPr>
              <w:spacing w:after="0"/>
              <w:rPr>
                <w:sz w:val="1"/>
                <w:szCs w:val="1"/>
                <w:color w:val="auto"/>
              </w:rPr>
            </w:pPr>
          </w:p>
        </w:tc>
      </w:tr>
      <w:tr>
        <w:trPr>
          <w:trHeight w:val="230"/>
        </w:trPr>
        <w:tc>
          <w:tcPr>
            <w:tcW w:w="1300" w:type="dxa"/>
            <w:vAlign w:val="bottom"/>
          </w:tcPr>
          <w:p>
            <w:pPr>
              <w:ind w:left="20"/>
              <w:spacing w:after="0"/>
              <w:rPr>
                <w:sz w:val="20"/>
                <w:szCs w:val="20"/>
                <w:color w:val="auto"/>
              </w:rPr>
            </w:pPr>
            <w:r>
              <w:rPr>
                <w:rFonts w:ascii="Arial" w:cs="Arial" w:eastAsia="Arial" w:hAnsi="Arial"/>
                <w:sz w:val="18"/>
                <w:szCs w:val="18"/>
                <w:color w:val="auto"/>
              </w:rPr>
              <w:t>4.2</w:t>
            </w:r>
          </w:p>
        </w:tc>
        <w:tc>
          <w:tcPr>
            <w:tcW w:w="9300" w:type="dxa"/>
            <w:vAlign w:val="bottom"/>
          </w:tcPr>
          <w:p>
            <w:pPr>
              <w:ind w:left="100"/>
              <w:spacing w:after="0"/>
              <w:rPr>
                <w:sz w:val="20"/>
                <w:szCs w:val="20"/>
                <w:color w:val="auto"/>
              </w:rPr>
            </w:pPr>
            <w:r>
              <w:rPr>
                <w:rFonts w:ascii="Arial" w:cs="Arial" w:eastAsia="Arial" w:hAnsi="Arial"/>
                <w:sz w:val="18"/>
                <w:szCs w:val="18"/>
                <w:color w:val="auto"/>
              </w:rPr>
              <w:t>International plc’s Definitive Proxy Statement on Schedule 14A, filed on April 26, 2016).</w:t>
            </w:r>
          </w:p>
        </w:tc>
        <w:tc>
          <w:tcPr>
            <w:tcW w:w="0" w:type="dxa"/>
            <w:vAlign w:val="bottom"/>
          </w:tcPr>
          <w:p>
            <w:pPr>
              <w:spacing w:after="0"/>
              <w:rPr>
                <w:sz w:val="1"/>
                <w:szCs w:val="1"/>
                <w:color w:val="auto"/>
              </w:rPr>
            </w:pPr>
          </w:p>
        </w:tc>
      </w:tr>
      <w:tr>
        <w:trPr>
          <w:trHeight w:val="392"/>
        </w:trPr>
        <w:tc>
          <w:tcPr>
            <w:tcW w:w="1300" w:type="dxa"/>
            <w:vAlign w:val="bottom"/>
            <w:vMerge w:val="restart"/>
          </w:tcPr>
          <w:p>
            <w:pPr>
              <w:ind w:left="20"/>
              <w:spacing w:after="0"/>
              <w:rPr>
                <w:sz w:val="20"/>
                <w:szCs w:val="20"/>
                <w:color w:val="auto"/>
              </w:rPr>
            </w:pPr>
            <w:r>
              <w:rPr>
                <w:rFonts w:ascii="Arial" w:cs="Arial" w:eastAsia="Arial" w:hAnsi="Arial"/>
                <w:sz w:val="18"/>
                <w:szCs w:val="18"/>
                <w:color w:val="auto"/>
              </w:rPr>
              <w:t>5.1*</w:t>
            </w:r>
          </w:p>
        </w:tc>
        <w:tc>
          <w:tcPr>
            <w:tcW w:w="9300" w:type="dxa"/>
            <w:vAlign w:val="bottom"/>
          </w:tcPr>
          <w:p>
            <w:pPr>
              <w:ind w:left="100"/>
              <w:spacing w:after="0"/>
              <w:rPr>
                <w:sz w:val="20"/>
                <w:szCs w:val="20"/>
                <w:color w:val="auto"/>
              </w:rPr>
            </w:pPr>
            <w:r>
              <w:rPr>
                <w:rFonts w:ascii="Arial" w:cs="Arial" w:eastAsia="Arial" w:hAnsi="Arial"/>
                <w:sz w:val="18"/>
                <w:szCs w:val="18"/>
                <w:color w:val="auto"/>
              </w:rPr>
              <w:t>Opinion of Matheson regarding the legality of securities being registered.</w:t>
            </w:r>
          </w:p>
        </w:tc>
        <w:tc>
          <w:tcPr>
            <w:tcW w:w="0" w:type="dxa"/>
            <w:vAlign w:val="bottom"/>
          </w:tcPr>
          <w:p>
            <w:pPr>
              <w:spacing w:after="0"/>
              <w:rPr>
                <w:sz w:val="1"/>
                <w:szCs w:val="1"/>
                <w:color w:val="auto"/>
              </w:rPr>
            </w:pPr>
          </w:p>
        </w:tc>
      </w:tr>
      <w:tr>
        <w:trPr>
          <w:trHeight w:val="108"/>
        </w:trPr>
        <w:tc>
          <w:tcPr>
            <w:tcW w:w="1300" w:type="dxa"/>
            <w:vAlign w:val="bottom"/>
            <w:vMerge w:val="continue"/>
          </w:tcPr>
          <w:p>
            <w:pPr>
              <w:spacing w:after="0"/>
              <w:rPr>
                <w:sz w:val="9"/>
                <w:szCs w:val="9"/>
                <w:color w:val="auto"/>
              </w:rPr>
            </w:pPr>
          </w:p>
        </w:tc>
        <w:tc>
          <w:tcPr>
            <w:tcW w:w="9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2"/>
        </w:trPr>
        <w:tc>
          <w:tcPr>
            <w:tcW w:w="1300" w:type="dxa"/>
            <w:vAlign w:val="bottom"/>
            <w:vMerge w:val="restart"/>
          </w:tcPr>
          <w:p>
            <w:pPr>
              <w:ind w:left="20"/>
              <w:spacing w:after="0"/>
              <w:rPr>
                <w:sz w:val="20"/>
                <w:szCs w:val="20"/>
                <w:color w:val="auto"/>
              </w:rPr>
            </w:pPr>
            <w:r>
              <w:rPr>
                <w:rFonts w:ascii="Arial" w:cs="Arial" w:eastAsia="Arial" w:hAnsi="Arial"/>
                <w:sz w:val="18"/>
                <w:szCs w:val="18"/>
                <w:color w:val="auto"/>
              </w:rPr>
              <w:t>23.1*</w:t>
            </w:r>
          </w:p>
        </w:tc>
        <w:tc>
          <w:tcPr>
            <w:tcW w:w="9300" w:type="dxa"/>
            <w:vAlign w:val="bottom"/>
          </w:tcPr>
          <w:p>
            <w:pPr>
              <w:ind w:left="100"/>
              <w:spacing w:after="0"/>
              <w:rPr>
                <w:sz w:val="20"/>
                <w:szCs w:val="20"/>
                <w:color w:val="auto"/>
              </w:rPr>
            </w:pPr>
            <w:r>
              <w:rPr>
                <w:rFonts w:ascii="Arial" w:cs="Arial" w:eastAsia="Arial" w:hAnsi="Arial"/>
                <w:sz w:val="18"/>
                <w:szCs w:val="18"/>
                <w:color w:val="auto"/>
              </w:rPr>
              <w:t>Consent of KPMG LLP.</w:t>
            </w:r>
          </w:p>
        </w:tc>
        <w:tc>
          <w:tcPr>
            <w:tcW w:w="0" w:type="dxa"/>
            <w:vAlign w:val="bottom"/>
          </w:tcPr>
          <w:p>
            <w:pPr>
              <w:spacing w:after="0"/>
              <w:rPr>
                <w:sz w:val="1"/>
                <w:szCs w:val="1"/>
                <w:color w:val="auto"/>
              </w:rPr>
            </w:pPr>
          </w:p>
        </w:tc>
      </w:tr>
      <w:tr>
        <w:trPr>
          <w:trHeight w:val="108"/>
        </w:trPr>
        <w:tc>
          <w:tcPr>
            <w:tcW w:w="1300" w:type="dxa"/>
            <w:vAlign w:val="bottom"/>
            <w:vMerge w:val="continue"/>
          </w:tcPr>
          <w:p>
            <w:pPr>
              <w:spacing w:after="0"/>
              <w:rPr>
                <w:sz w:val="9"/>
                <w:szCs w:val="9"/>
                <w:color w:val="auto"/>
              </w:rPr>
            </w:pPr>
          </w:p>
        </w:tc>
        <w:tc>
          <w:tcPr>
            <w:tcW w:w="9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2"/>
        </w:trPr>
        <w:tc>
          <w:tcPr>
            <w:tcW w:w="1300" w:type="dxa"/>
            <w:vAlign w:val="bottom"/>
          </w:tcPr>
          <w:p>
            <w:pPr>
              <w:ind w:left="20"/>
              <w:spacing w:after="0"/>
              <w:rPr>
                <w:sz w:val="20"/>
                <w:szCs w:val="20"/>
                <w:color w:val="auto"/>
              </w:rPr>
            </w:pPr>
            <w:r>
              <w:rPr>
                <w:rFonts w:ascii="Arial" w:cs="Arial" w:eastAsia="Arial" w:hAnsi="Arial"/>
                <w:sz w:val="18"/>
                <w:szCs w:val="18"/>
                <w:color w:val="auto"/>
              </w:rPr>
              <w:t>23.2*</w:t>
            </w:r>
          </w:p>
        </w:tc>
        <w:tc>
          <w:tcPr>
            <w:tcW w:w="9300" w:type="dxa"/>
            <w:vAlign w:val="bottom"/>
          </w:tcPr>
          <w:p>
            <w:pPr>
              <w:ind w:left="100"/>
              <w:spacing w:after="0"/>
              <w:rPr>
                <w:sz w:val="20"/>
                <w:szCs w:val="20"/>
                <w:color w:val="auto"/>
              </w:rPr>
            </w:pPr>
            <w:r>
              <w:rPr>
                <w:rFonts w:ascii="Arial" w:cs="Arial" w:eastAsia="Arial" w:hAnsi="Arial"/>
                <w:sz w:val="18"/>
                <w:szCs w:val="18"/>
                <w:color w:val="auto"/>
              </w:rPr>
              <w:t>Consent of Matheson (included in Exhibit 5.1).</w:t>
            </w:r>
          </w:p>
        </w:tc>
        <w:tc>
          <w:tcPr>
            <w:tcW w:w="0" w:type="dxa"/>
            <w:vAlign w:val="bottom"/>
          </w:tcPr>
          <w:p>
            <w:pPr>
              <w:spacing w:after="0"/>
              <w:rPr>
                <w:sz w:val="1"/>
                <w:szCs w:val="1"/>
                <w:color w:val="auto"/>
              </w:rPr>
            </w:pPr>
          </w:p>
        </w:tc>
      </w:tr>
      <w:tr>
        <w:trPr>
          <w:trHeight w:val="500"/>
        </w:trPr>
        <w:tc>
          <w:tcPr>
            <w:tcW w:w="1300" w:type="dxa"/>
            <w:vAlign w:val="bottom"/>
          </w:tcPr>
          <w:p>
            <w:pPr>
              <w:ind w:left="20"/>
              <w:spacing w:after="0"/>
              <w:rPr>
                <w:sz w:val="20"/>
                <w:szCs w:val="20"/>
                <w:color w:val="auto"/>
              </w:rPr>
            </w:pPr>
            <w:r>
              <w:rPr>
                <w:rFonts w:ascii="Arial" w:cs="Arial" w:eastAsia="Arial" w:hAnsi="Arial"/>
                <w:sz w:val="18"/>
                <w:szCs w:val="18"/>
                <w:color w:val="auto"/>
              </w:rPr>
              <w:t>24.1*</w:t>
            </w:r>
          </w:p>
        </w:tc>
        <w:tc>
          <w:tcPr>
            <w:tcW w:w="9300" w:type="dxa"/>
            <w:vAlign w:val="bottom"/>
          </w:tcPr>
          <w:p>
            <w:pPr>
              <w:ind w:left="100"/>
              <w:spacing w:after="0"/>
              <w:rPr>
                <w:sz w:val="20"/>
                <w:szCs w:val="20"/>
                <w:color w:val="auto"/>
              </w:rPr>
            </w:pPr>
            <w:r>
              <w:rPr>
                <w:rFonts w:ascii="Arial" w:cs="Arial" w:eastAsia="Arial" w:hAnsi="Arial"/>
                <w:sz w:val="18"/>
                <w:szCs w:val="18"/>
                <w:color w:val="auto"/>
              </w:rPr>
              <w:t>Power of Attorney (included on the signature page to this Registration Statement).</w:t>
            </w:r>
          </w:p>
        </w:tc>
        <w:tc>
          <w:tcPr>
            <w:tcW w:w="0" w:type="dxa"/>
            <w:vAlign w:val="bottom"/>
          </w:tcPr>
          <w:p>
            <w:pPr>
              <w:spacing w:after="0"/>
              <w:rPr>
                <w:sz w:val="1"/>
                <w:szCs w:val="1"/>
                <w:color w:val="auto"/>
              </w:rPr>
            </w:pPr>
          </w:p>
        </w:tc>
      </w:tr>
      <w:tr>
        <w:trPr>
          <w:trHeight w:val="257"/>
        </w:trPr>
        <w:tc>
          <w:tcPr>
            <w:tcW w:w="1300" w:type="dxa"/>
            <w:vAlign w:val="bottom"/>
            <w:tcBorders>
              <w:bottom w:val="single" w:sz="8" w:color="auto"/>
            </w:tcBorders>
          </w:tcPr>
          <w:p>
            <w:pPr>
              <w:spacing w:after="0"/>
              <w:rPr>
                <w:sz w:val="22"/>
                <w:szCs w:val="22"/>
                <w:color w:val="auto"/>
              </w:rPr>
            </w:pPr>
          </w:p>
        </w:tc>
        <w:tc>
          <w:tcPr>
            <w:tcW w:w="93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00" w:type="dxa"/>
            <w:vAlign w:val="bottom"/>
          </w:tcPr>
          <w:p>
            <w:pPr>
              <w:ind w:left="20"/>
              <w:spacing w:after="0"/>
              <w:rPr>
                <w:sz w:val="20"/>
                <w:szCs w:val="20"/>
                <w:color w:val="auto"/>
              </w:rPr>
            </w:pPr>
            <w:r>
              <w:rPr>
                <w:rFonts w:ascii="Arial" w:cs="Arial" w:eastAsia="Arial" w:hAnsi="Arial"/>
                <w:sz w:val="18"/>
                <w:szCs w:val="18"/>
                <w:color w:val="auto"/>
              </w:rPr>
              <w:t>*Filed herewith.</w:t>
            </w:r>
          </w:p>
        </w:tc>
        <w:tc>
          <w:tcPr>
            <w:tcW w:w="9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Item 9. Undertakings.</w:t>
      </w:r>
    </w:p>
    <w:p>
      <w:pPr>
        <w:spacing w:after="0" w:line="229" w:lineRule="exact"/>
        <w:rPr>
          <w:sz w:val="20"/>
          <w:szCs w:val="20"/>
          <w:color w:val="auto"/>
        </w:rPr>
      </w:pPr>
    </w:p>
    <w:p>
      <w:pPr>
        <w:ind w:left="620" w:hanging="384"/>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800" w:hanging="384"/>
        <w:spacing w:after="0"/>
        <w:tabs>
          <w:tab w:leader="none" w:pos="8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940" w:hanging="344"/>
        <w:spacing w:after="0"/>
        <w:tabs>
          <w:tab w:leader="none" w:pos="940"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25" w:lineRule="exact"/>
        <w:rPr>
          <w:rFonts w:ascii="Arial" w:cs="Arial" w:eastAsia="Arial" w:hAnsi="Arial"/>
          <w:sz w:val="18"/>
          <w:szCs w:val="18"/>
          <w:color w:val="auto"/>
        </w:rPr>
      </w:pPr>
    </w:p>
    <w:p>
      <w:pPr>
        <w:jc w:val="both"/>
        <w:ind w:left="880" w:firstLine="208"/>
        <w:spacing w:after="0" w:line="272" w:lineRule="auto"/>
        <w:tabs>
          <w:tab w:leader="none" w:pos="1507" w:val="left"/>
        </w:tabs>
        <w:numPr>
          <w:ilvl w:val="3"/>
          <w:numId w:val="3"/>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a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177" w:lineRule="exact"/>
        <w:rPr>
          <w:rFonts w:ascii="Arial" w:cs="Arial" w:eastAsia="Arial" w:hAnsi="Arial"/>
          <w:sz w:val="17"/>
          <w:szCs w:val="17"/>
          <w:color w:val="auto"/>
        </w:rPr>
      </w:pPr>
    </w:p>
    <w:p>
      <w:pPr>
        <w:ind w:left="880" w:firstLine="199"/>
        <w:spacing w:after="0" w:line="277" w:lineRule="auto"/>
        <w:tabs>
          <w:tab w:leader="none" w:pos="1538" w:val="left"/>
        </w:tabs>
        <w:numPr>
          <w:ilvl w:val="3"/>
          <w:numId w:val="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jc w:val="both"/>
        <w:ind w:left="240"/>
        <w:spacing w:after="0" w:line="286" w:lineRule="auto"/>
        <w:rPr>
          <w:sz w:val="20"/>
          <w:szCs w:val="20"/>
          <w:color w:val="auto"/>
        </w:rPr>
      </w:pPr>
      <w:r>
        <w:rPr>
          <w:rFonts w:ascii="Arial" w:cs="Arial" w:eastAsia="Arial" w:hAnsi="Arial"/>
          <w:sz w:val="17"/>
          <w:szCs w:val="17"/>
          <w:color w:val="auto"/>
        </w:rPr>
        <w:t>provided, however, that the undertakings set forth in paragraphs (a)(1)(i) and (a)(1)(ii) of this section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w:t>
      </w:r>
    </w:p>
    <w:p>
      <w:pPr>
        <w:spacing w:after="0" w:line="166" w:lineRule="exact"/>
        <w:rPr>
          <w:sz w:val="20"/>
          <w:szCs w:val="20"/>
          <w:color w:val="auto"/>
        </w:rPr>
      </w:pPr>
    </w:p>
    <w:p>
      <w:pPr>
        <w:jc w:val="both"/>
        <w:ind w:left="240" w:firstLine="189"/>
        <w:spacing w:after="0" w:line="221" w:lineRule="exact"/>
        <w:tabs>
          <w:tab w:leader="none" w:pos="832" w:val="left"/>
        </w:tabs>
        <w:numPr>
          <w:ilvl w:val="1"/>
          <w:numId w:val="4"/>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w:t>
      </w:r>
      <w:r>
        <w:rPr>
          <w:rFonts w:ascii="MS PGothic" w:cs="MS PGothic" w:eastAsia="MS PGothic" w:hAnsi="MS PGothic"/>
          <w:sz w:val="18"/>
          <w:szCs w:val="18"/>
          <w:color w:val="auto"/>
        </w:rPr>
        <w:t>‑</w:t>
      </w:r>
      <w:r>
        <w:rPr>
          <w:rFonts w:ascii="Arial" w:cs="Arial" w:eastAsia="Arial" w:hAnsi="Arial"/>
          <w:sz w:val="18"/>
          <w:szCs w:val="18"/>
          <w:color w:val="auto"/>
        </w:rPr>
        <w:t>effective amendment shall be deemed to be a new registration statement relating to the securities offered therein, and the offering of such securities at that time shall be deemed to be the initial bona fide offering thereof.</w:t>
      </w:r>
    </w:p>
    <w:p>
      <w:pPr>
        <w:spacing w:after="0" w:line="201" w:lineRule="exact"/>
        <w:rPr>
          <w:rFonts w:ascii="Arial" w:cs="Arial" w:eastAsia="Arial" w:hAnsi="Arial"/>
          <w:sz w:val="18"/>
          <w:szCs w:val="18"/>
          <w:color w:val="auto"/>
        </w:rPr>
      </w:pPr>
    </w:p>
    <w:p>
      <w:pPr>
        <w:ind w:left="240" w:firstLine="250"/>
        <w:spacing w:after="0" w:line="277" w:lineRule="auto"/>
        <w:tabs>
          <w:tab w:leader="none" w:pos="953"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jc w:val="both"/>
        <w:ind w:left="240" w:hanging="4"/>
        <w:spacing w:after="0" w:line="264" w:lineRule="auto"/>
        <w:tabs>
          <w:tab w:leader="none" w:pos="74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w:t>
      </w:r>
    </w:p>
    <w:p>
      <w:pPr>
        <w:sectPr>
          <w:pgSz w:w="11900" w:h="16838" w:orient="portrait"/>
          <w:cols w:equalWidth="0" w:num="1">
            <w:col w:w="11000"/>
          </w:cols>
          <w:pgMar w:left="660" w:top="796" w:right="239" w:bottom="1440" w:gutter="0" w:footer="0" w:header="0"/>
        </w:sectPr>
      </w:pPr>
    </w:p>
    <w:bookmarkStart w:id="4" w:name="page5"/>
    <w:bookmarkEnd w:id="4"/>
    <w:p>
      <w:pPr>
        <w:ind w:left="660"/>
        <w:spacing w:after="0" w:line="277" w:lineRule="auto"/>
        <w:rPr>
          <w:sz w:val="20"/>
          <w:szCs w:val="20"/>
          <w:color w:val="auto"/>
        </w:rPr>
      </w:pPr>
      <w:r>
        <w:rPr>
          <w:rFonts w:ascii="Arial" w:cs="Arial" w:eastAsia="Arial" w:hAnsi="Arial"/>
          <w:sz w:val="18"/>
          <w:szCs w:val="18"/>
          <w:color w:val="auto"/>
        </w:rPr>
        <w:t>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70" w:lineRule="exact"/>
        <w:rPr>
          <w:sz w:val="20"/>
          <w:szCs w:val="20"/>
          <w:color w:val="auto"/>
        </w:rPr>
      </w:pPr>
    </w:p>
    <w:p>
      <w:pPr>
        <w:jc w:val="both"/>
        <w:ind w:left="660" w:hanging="4"/>
        <w:spacing w:after="0" w:line="271" w:lineRule="auto"/>
        <w:tabs>
          <w:tab w:leader="none" w:pos="1074" w:val="left"/>
        </w:tabs>
        <w:numPr>
          <w:ilvl w:val="0"/>
          <w:numId w:val="6"/>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Geneva, Switzerland on June 17, 2016.</w:t>
      </w:r>
    </w:p>
    <w:p>
      <w:pPr>
        <w:spacing w:after="0" w:line="177"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WEATHERFORD INTERNATIONAL PLC</w:t>
      </w:r>
    </w:p>
    <w:p>
      <w:pPr>
        <w:spacing w:after="0" w:line="229" w:lineRule="exact"/>
        <w:rPr>
          <w:sz w:val="20"/>
          <w:szCs w:val="20"/>
          <w:color w:val="auto"/>
        </w:rPr>
      </w:pPr>
    </w:p>
    <w:p>
      <w:pPr>
        <w:ind w:left="2760"/>
        <w:spacing w:after="0"/>
        <w:tabs>
          <w:tab w:leader="none" w:pos="3180" w:val="left"/>
        </w:tabs>
        <w:rPr>
          <w:sz w:val="20"/>
          <w:szCs w:val="20"/>
          <w:color w:val="auto"/>
        </w:rPr>
      </w:pPr>
      <w:r>
        <w:rPr>
          <w:rFonts w:ascii="Arial" w:cs="Arial" w:eastAsia="Arial" w:hAnsi="Arial"/>
          <w:sz w:val="18"/>
          <w:szCs w:val="18"/>
          <w:color w:val="auto"/>
        </w:rPr>
        <w:t>By:</w:t>
        <w:tab/>
        <w:t>/s/Bernard J. Duroc-Danner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2033905</wp:posOffset>
            </wp:positionH>
            <wp:positionV relativeFrom="paragraph">
              <wp:posOffset>-10160</wp:posOffset>
            </wp:positionV>
            <wp:extent cx="13804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Bernard J. Duroc-Danner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President, Chief Executive Officer, Chairman of the Board</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and Director (Principal Executive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KNOW ALL PERSONS BY THESE PRESENTS, that each person whose signature appears below hereby constitutes and appoints Bernard J. Duroc-Danner and Christina M. Ibrahim, and each of them (with full power to act alone), as his true and lawful attorneys-in-fact and agents, with full power of substitution and re-substitution, for him in his name, place and stead, in any and all capacity, in connection with this registration statement, including to sign and file in the name and on behalf of the undersigned as director or officer of the Registrant any and all amendments or supplements (including any and all stickers and post-effective amendments) to this registration statement, with all exhibits thereto, and other documents in connection therewith with the Securities and Exchange Commission and any applicable securities exchange, securities self-regulatory body or other regulatory authority, granting unto said attorneys-in-fact and agents, and each of them (with full power to act alone), full power and authority to do and perform each and every act and things requisite or necessary to be done in and about the premises, as fully to all intents and purposes as he might or could do in person, hereby ratifying and confirming all that said attorneys-in-fact and agents or any of them, or their substitutes, may lawfully do or cause to be done by virtue hereof.</w:t>
      </w:r>
    </w:p>
    <w:p>
      <w:pPr>
        <w:sectPr>
          <w:pgSz w:w="11900" w:h="16838" w:orient="portrait"/>
          <w:cols w:equalWidth="0" w:num="1">
            <w:col w:w="11420"/>
          </w:cols>
          <w:pgMar w:left="240" w:top="584" w:right="239" w:bottom="1440" w:gutter="0" w:footer="0" w:header="0"/>
        </w:sectPr>
      </w:pPr>
    </w:p>
    <w:bookmarkStart w:id="5" w:name="page6"/>
    <w:bookmarkEnd w:id="5"/>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below by the following persons in the capacities indicated on June 17, 2016:</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jc w:val="center"/>
              <w:spacing w:after="0"/>
              <w:rPr>
                <w:sz w:val="20"/>
                <w:szCs w:val="20"/>
                <w:color w:val="auto"/>
              </w:rPr>
            </w:pPr>
            <w:r>
              <w:rPr>
                <w:rFonts w:ascii="Arial" w:cs="Arial" w:eastAsia="Arial" w:hAnsi="Arial"/>
                <w:sz w:val="18"/>
                <w:szCs w:val="18"/>
                <w:b w:val="1"/>
                <w:bCs w:val="1"/>
                <w:color w:val="auto"/>
                <w:w w:val="91"/>
              </w:rPr>
              <w:t>Signature</w:t>
            </w:r>
          </w:p>
        </w:tc>
        <w:tc>
          <w:tcPr>
            <w:tcW w:w="4260" w:type="dxa"/>
            <w:vAlign w:val="bottom"/>
          </w:tcPr>
          <w:p>
            <w:pPr>
              <w:ind w:left="20"/>
              <w:spacing w:after="0"/>
              <w:rPr>
                <w:sz w:val="20"/>
                <w:szCs w:val="20"/>
                <w:color w:val="auto"/>
              </w:rPr>
            </w:pPr>
            <w:r>
              <w:rPr>
                <w:rFonts w:ascii="Arial" w:cs="Arial" w:eastAsia="Arial" w:hAnsi="Arial"/>
                <w:sz w:val="18"/>
                <w:szCs w:val="18"/>
                <w:b w:val="1"/>
                <w:bCs w:val="1"/>
                <w:color w:val="auto"/>
              </w:rPr>
              <w:t>Title</w:t>
            </w:r>
          </w:p>
        </w:tc>
      </w:tr>
      <w:tr>
        <w:trPr>
          <w:trHeight w:val="594"/>
        </w:trPr>
        <w:tc>
          <w:tcPr>
            <w:tcW w:w="3440" w:type="dxa"/>
            <w:vAlign w:val="bottom"/>
          </w:tcPr>
          <w:p>
            <w:pPr>
              <w:jc w:val="center"/>
              <w:spacing w:after="0"/>
              <w:rPr>
                <w:sz w:val="20"/>
                <w:szCs w:val="20"/>
                <w:color w:val="auto"/>
              </w:rPr>
            </w:pPr>
            <w:r>
              <w:rPr>
                <w:rFonts w:ascii="Arial" w:cs="Arial" w:eastAsia="Arial" w:hAnsi="Arial"/>
                <w:sz w:val="18"/>
                <w:szCs w:val="18"/>
                <w:color w:val="auto"/>
                <w:w w:val="90"/>
              </w:rPr>
              <w:t>/s/ Bernard J. Duroc-Danner</w:t>
            </w:r>
          </w:p>
        </w:tc>
        <w:tc>
          <w:tcPr>
            <w:tcW w:w="4260" w:type="dxa"/>
            <w:vAlign w:val="bottom"/>
          </w:tcPr>
          <w:p>
            <w:pPr>
              <w:ind w:left="20"/>
              <w:spacing w:after="0"/>
              <w:rPr>
                <w:sz w:val="20"/>
                <w:szCs w:val="20"/>
                <w:color w:val="auto"/>
              </w:rPr>
            </w:pPr>
            <w:r>
              <w:rPr>
                <w:rFonts w:ascii="Arial" w:cs="Arial" w:eastAsia="Arial" w:hAnsi="Arial"/>
                <w:sz w:val="18"/>
                <w:szCs w:val="18"/>
                <w:color w:val="auto"/>
                <w:w w:val="91"/>
              </w:rPr>
              <w:t>Director, Chairman, President and Chief Executive Officer</w:t>
            </w:r>
          </w:p>
        </w:tc>
      </w:tr>
      <w:tr>
        <w:trPr>
          <w:trHeight w:val="27"/>
        </w:trPr>
        <w:tc>
          <w:tcPr>
            <w:tcW w:w="3440" w:type="dxa"/>
            <w:vAlign w:val="bottom"/>
            <w:tcBorders>
              <w:bottom w:val="single" w:sz="8" w:color="auto"/>
            </w:tcBorders>
          </w:tcPr>
          <w:p>
            <w:pPr>
              <w:spacing w:after="0"/>
              <w:rPr>
                <w:sz w:val="2"/>
                <w:szCs w:val="2"/>
                <w:color w:val="auto"/>
              </w:rPr>
            </w:pPr>
          </w:p>
        </w:tc>
        <w:tc>
          <w:tcPr>
            <w:tcW w:w="4260" w:type="dxa"/>
            <w:vAlign w:val="bottom"/>
          </w:tcPr>
          <w:p>
            <w:pPr>
              <w:spacing w:after="0"/>
              <w:rPr>
                <w:sz w:val="2"/>
                <w:szCs w:val="2"/>
                <w:color w:val="auto"/>
              </w:rPr>
            </w:pPr>
          </w:p>
        </w:tc>
      </w:tr>
      <w:tr>
        <w:trPr>
          <w:trHeight w:val="237"/>
        </w:trPr>
        <w:tc>
          <w:tcPr>
            <w:tcW w:w="3440" w:type="dxa"/>
            <w:vAlign w:val="bottom"/>
          </w:tcPr>
          <w:p>
            <w:pPr>
              <w:ind w:left="900"/>
              <w:spacing w:after="0"/>
              <w:rPr>
                <w:sz w:val="20"/>
                <w:szCs w:val="20"/>
                <w:color w:val="auto"/>
              </w:rPr>
            </w:pPr>
            <w:r>
              <w:rPr>
                <w:rFonts w:ascii="Arial" w:cs="Arial" w:eastAsia="Arial" w:hAnsi="Arial"/>
                <w:sz w:val="18"/>
                <w:szCs w:val="18"/>
                <w:color w:val="auto"/>
              </w:rPr>
              <w:t>Bernard J. Duroc-Danner</w:t>
            </w:r>
          </w:p>
        </w:tc>
        <w:tc>
          <w:tcPr>
            <w:tcW w:w="4260" w:type="dxa"/>
            <w:vAlign w:val="bottom"/>
          </w:tcPr>
          <w:p>
            <w:pPr>
              <w:spacing w:after="0"/>
              <w:rPr>
                <w:sz w:val="20"/>
                <w:szCs w:val="20"/>
                <w:color w:val="auto"/>
              </w:rPr>
            </w:pPr>
          </w:p>
        </w:tc>
      </w:tr>
      <w:tr>
        <w:trPr>
          <w:trHeight w:val="431"/>
        </w:trPr>
        <w:tc>
          <w:tcPr>
            <w:tcW w:w="3440" w:type="dxa"/>
            <w:vAlign w:val="bottom"/>
          </w:tcPr>
          <w:p>
            <w:pPr>
              <w:spacing w:after="0"/>
              <w:rPr>
                <w:sz w:val="24"/>
                <w:szCs w:val="24"/>
                <w:color w:val="auto"/>
              </w:rPr>
            </w:pPr>
          </w:p>
        </w:tc>
        <w:tc>
          <w:tcPr>
            <w:tcW w:w="426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3440" w:type="dxa"/>
            <w:vAlign w:val="bottom"/>
          </w:tcPr>
          <w:p>
            <w:pPr>
              <w:jc w:val="center"/>
              <w:spacing w:after="0"/>
              <w:rPr>
                <w:sz w:val="20"/>
                <w:szCs w:val="20"/>
                <w:color w:val="auto"/>
              </w:rPr>
            </w:pPr>
            <w:r>
              <w:rPr>
                <w:rFonts w:ascii="Arial" w:cs="Arial" w:eastAsia="Arial" w:hAnsi="Arial"/>
                <w:sz w:val="18"/>
                <w:szCs w:val="18"/>
                <w:color w:val="auto"/>
                <w:w w:val="92"/>
              </w:rPr>
              <w:t>/s/ Krishna Shivram</w:t>
            </w:r>
          </w:p>
        </w:tc>
        <w:tc>
          <w:tcPr>
            <w:tcW w:w="426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r>
        <w:trPr>
          <w:trHeight w:val="27"/>
        </w:trPr>
        <w:tc>
          <w:tcPr>
            <w:tcW w:w="3440" w:type="dxa"/>
            <w:vAlign w:val="bottom"/>
            <w:tcBorders>
              <w:bottom w:val="single" w:sz="8" w:color="auto"/>
            </w:tcBorders>
          </w:tcPr>
          <w:p>
            <w:pPr>
              <w:spacing w:after="0"/>
              <w:rPr>
                <w:sz w:val="2"/>
                <w:szCs w:val="2"/>
                <w:color w:val="auto"/>
              </w:rPr>
            </w:pPr>
          </w:p>
        </w:tc>
        <w:tc>
          <w:tcPr>
            <w:tcW w:w="4260" w:type="dxa"/>
            <w:vAlign w:val="bottom"/>
          </w:tcPr>
          <w:p>
            <w:pPr>
              <w:spacing w:after="0"/>
              <w:rPr>
                <w:sz w:val="2"/>
                <w:szCs w:val="2"/>
                <w:color w:val="auto"/>
              </w:rPr>
            </w:pPr>
          </w:p>
        </w:tc>
      </w:tr>
      <w:tr>
        <w:trPr>
          <w:trHeight w:val="237"/>
        </w:trPr>
        <w:tc>
          <w:tcPr>
            <w:tcW w:w="3440" w:type="dxa"/>
            <w:vAlign w:val="bottom"/>
          </w:tcPr>
          <w:p>
            <w:pPr>
              <w:jc w:val="center"/>
              <w:spacing w:after="0"/>
              <w:rPr>
                <w:sz w:val="20"/>
                <w:szCs w:val="20"/>
                <w:color w:val="auto"/>
              </w:rPr>
            </w:pPr>
            <w:r>
              <w:rPr>
                <w:rFonts w:ascii="Arial" w:cs="Arial" w:eastAsia="Arial" w:hAnsi="Arial"/>
                <w:sz w:val="18"/>
                <w:szCs w:val="18"/>
                <w:color w:val="auto"/>
                <w:w w:val="92"/>
              </w:rPr>
              <w:t>Krishna Shivram</w:t>
            </w:r>
          </w:p>
        </w:tc>
        <w:tc>
          <w:tcPr>
            <w:tcW w:w="4260" w:type="dxa"/>
            <w:vAlign w:val="bottom"/>
          </w:tcPr>
          <w:p>
            <w:pPr>
              <w:spacing w:after="0"/>
              <w:rPr>
                <w:sz w:val="20"/>
                <w:szCs w:val="20"/>
                <w:color w:val="auto"/>
              </w:rPr>
            </w:pPr>
          </w:p>
        </w:tc>
      </w:tr>
      <w:tr>
        <w:trPr>
          <w:trHeight w:val="431"/>
        </w:trPr>
        <w:tc>
          <w:tcPr>
            <w:tcW w:w="3440" w:type="dxa"/>
            <w:vAlign w:val="bottom"/>
          </w:tcPr>
          <w:p>
            <w:pPr>
              <w:spacing w:after="0"/>
              <w:rPr>
                <w:sz w:val="24"/>
                <w:szCs w:val="24"/>
                <w:color w:val="auto"/>
              </w:rPr>
            </w:pPr>
          </w:p>
        </w:tc>
        <w:tc>
          <w:tcPr>
            <w:tcW w:w="4260" w:type="dxa"/>
            <w:vAlign w:val="bottom"/>
          </w:tcPr>
          <w:p>
            <w:pPr>
              <w:ind w:left="20"/>
              <w:spacing w:after="0"/>
              <w:rPr>
                <w:sz w:val="20"/>
                <w:szCs w:val="20"/>
                <w:color w:val="auto"/>
              </w:rPr>
            </w:pPr>
            <w:r>
              <w:rPr>
                <w:rFonts w:ascii="Arial" w:cs="Arial" w:eastAsia="Arial" w:hAnsi="Arial"/>
                <w:sz w:val="18"/>
                <w:szCs w:val="18"/>
                <w:color w:val="auto"/>
              </w:rPr>
              <w:t>Vice President and Chief Accounting Officer</w:t>
            </w:r>
          </w:p>
        </w:tc>
      </w:tr>
      <w:tr>
        <w:trPr>
          <w:trHeight w:val="230"/>
        </w:trPr>
        <w:tc>
          <w:tcPr>
            <w:tcW w:w="3440" w:type="dxa"/>
            <w:vAlign w:val="bottom"/>
          </w:tcPr>
          <w:p>
            <w:pPr>
              <w:jc w:val="center"/>
              <w:spacing w:after="0"/>
              <w:rPr>
                <w:sz w:val="20"/>
                <w:szCs w:val="20"/>
                <w:color w:val="auto"/>
              </w:rPr>
            </w:pPr>
            <w:r>
              <w:rPr>
                <w:rFonts w:ascii="Arial" w:cs="Arial" w:eastAsia="Arial" w:hAnsi="Arial"/>
                <w:sz w:val="18"/>
                <w:szCs w:val="18"/>
                <w:color w:val="auto"/>
                <w:w w:val="94"/>
              </w:rPr>
              <w:t>/s/ Douglas M. Mills</w:t>
            </w:r>
          </w:p>
        </w:tc>
        <w:tc>
          <w:tcPr>
            <w:tcW w:w="426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r>
      <w:tr>
        <w:trPr>
          <w:trHeight w:val="27"/>
        </w:trPr>
        <w:tc>
          <w:tcPr>
            <w:tcW w:w="3440" w:type="dxa"/>
            <w:vAlign w:val="bottom"/>
            <w:tcBorders>
              <w:bottom w:val="single" w:sz="8" w:color="auto"/>
            </w:tcBorders>
          </w:tcPr>
          <w:p>
            <w:pPr>
              <w:spacing w:after="0"/>
              <w:rPr>
                <w:sz w:val="2"/>
                <w:szCs w:val="2"/>
                <w:color w:val="auto"/>
              </w:rPr>
            </w:pPr>
          </w:p>
        </w:tc>
        <w:tc>
          <w:tcPr>
            <w:tcW w:w="4260" w:type="dxa"/>
            <w:vAlign w:val="bottom"/>
          </w:tcPr>
          <w:p>
            <w:pPr>
              <w:spacing w:after="0"/>
              <w:rPr>
                <w:sz w:val="2"/>
                <w:szCs w:val="2"/>
                <w:color w:val="auto"/>
              </w:rPr>
            </w:pPr>
          </w:p>
        </w:tc>
      </w:tr>
      <w:tr>
        <w:trPr>
          <w:trHeight w:val="237"/>
        </w:trPr>
        <w:tc>
          <w:tcPr>
            <w:tcW w:w="3440" w:type="dxa"/>
            <w:vAlign w:val="bottom"/>
          </w:tcPr>
          <w:p>
            <w:pPr>
              <w:jc w:val="center"/>
              <w:spacing w:after="0"/>
              <w:rPr>
                <w:sz w:val="20"/>
                <w:szCs w:val="20"/>
                <w:color w:val="auto"/>
              </w:rPr>
            </w:pPr>
            <w:r>
              <w:rPr>
                <w:rFonts w:ascii="Arial" w:cs="Arial" w:eastAsia="Arial" w:hAnsi="Arial"/>
                <w:sz w:val="18"/>
                <w:szCs w:val="18"/>
                <w:color w:val="auto"/>
                <w:w w:val="96"/>
              </w:rPr>
              <w:t>Douglas M. Mills</w:t>
            </w:r>
          </w:p>
        </w:tc>
        <w:tc>
          <w:tcPr>
            <w:tcW w:w="4260" w:type="dxa"/>
            <w:vAlign w:val="bottom"/>
          </w:tcPr>
          <w:p>
            <w:pPr>
              <w:spacing w:after="0"/>
              <w:rPr>
                <w:sz w:val="20"/>
                <w:szCs w:val="20"/>
                <w:color w:val="auto"/>
              </w:rPr>
            </w:pPr>
          </w:p>
        </w:tc>
      </w:tr>
      <w:tr>
        <w:trPr>
          <w:trHeight w:val="446"/>
        </w:trPr>
        <w:tc>
          <w:tcPr>
            <w:tcW w:w="3440" w:type="dxa"/>
            <w:vAlign w:val="bottom"/>
          </w:tcPr>
          <w:p>
            <w:pPr>
              <w:jc w:val="center"/>
              <w:spacing w:after="0"/>
              <w:rPr>
                <w:sz w:val="20"/>
                <w:szCs w:val="20"/>
                <w:color w:val="auto"/>
              </w:rPr>
            </w:pPr>
            <w:r>
              <w:rPr>
                <w:rFonts w:ascii="Arial" w:cs="Arial" w:eastAsia="Arial" w:hAnsi="Arial"/>
                <w:sz w:val="18"/>
                <w:szCs w:val="18"/>
                <w:color w:val="auto"/>
                <w:w w:val="91"/>
              </w:rPr>
              <w:t>/s/ Mohamed A. Awad</w:t>
            </w:r>
          </w:p>
        </w:tc>
        <w:tc>
          <w:tcPr>
            <w:tcW w:w="426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3440" w:type="dxa"/>
            <w:vAlign w:val="bottom"/>
            <w:tcBorders>
              <w:bottom w:val="single" w:sz="8" w:color="auto"/>
            </w:tcBorders>
          </w:tcPr>
          <w:p>
            <w:pPr>
              <w:spacing w:after="0"/>
              <w:rPr>
                <w:sz w:val="2"/>
                <w:szCs w:val="2"/>
                <w:color w:val="auto"/>
              </w:rPr>
            </w:pPr>
          </w:p>
        </w:tc>
        <w:tc>
          <w:tcPr>
            <w:tcW w:w="4260" w:type="dxa"/>
            <w:vAlign w:val="bottom"/>
          </w:tcPr>
          <w:p>
            <w:pPr>
              <w:spacing w:after="0"/>
              <w:rPr>
                <w:sz w:val="2"/>
                <w:szCs w:val="2"/>
                <w:color w:val="auto"/>
              </w:rPr>
            </w:pPr>
          </w:p>
        </w:tc>
      </w:tr>
      <w:tr>
        <w:trPr>
          <w:trHeight w:val="237"/>
        </w:trPr>
        <w:tc>
          <w:tcPr>
            <w:tcW w:w="3440" w:type="dxa"/>
            <w:vAlign w:val="bottom"/>
          </w:tcPr>
          <w:p>
            <w:pPr>
              <w:jc w:val="center"/>
              <w:spacing w:after="0"/>
              <w:rPr>
                <w:sz w:val="20"/>
                <w:szCs w:val="20"/>
                <w:color w:val="auto"/>
              </w:rPr>
            </w:pPr>
            <w:r>
              <w:rPr>
                <w:rFonts w:ascii="Arial" w:cs="Arial" w:eastAsia="Arial" w:hAnsi="Arial"/>
                <w:sz w:val="18"/>
                <w:szCs w:val="18"/>
                <w:color w:val="auto"/>
                <w:w w:val="92"/>
              </w:rPr>
              <w:t>Mohamed A. Awad</w:t>
            </w:r>
          </w:p>
        </w:tc>
        <w:tc>
          <w:tcPr>
            <w:tcW w:w="4260" w:type="dxa"/>
            <w:vAlign w:val="bottom"/>
          </w:tcPr>
          <w:p>
            <w:pPr>
              <w:spacing w:after="0"/>
              <w:rPr>
                <w:sz w:val="20"/>
                <w:szCs w:val="20"/>
                <w:color w:val="auto"/>
              </w:rPr>
            </w:pPr>
          </w:p>
        </w:tc>
      </w:tr>
      <w:tr>
        <w:trPr>
          <w:trHeight w:val="446"/>
        </w:trPr>
        <w:tc>
          <w:tcPr>
            <w:tcW w:w="3440" w:type="dxa"/>
            <w:vAlign w:val="bottom"/>
          </w:tcPr>
          <w:p>
            <w:pPr>
              <w:jc w:val="center"/>
              <w:spacing w:after="0"/>
              <w:rPr>
                <w:sz w:val="20"/>
                <w:szCs w:val="20"/>
                <w:color w:val="auto"/>
              </w:rPr>
            </w:pPr>
            <w:r>
              <w:rPr>
                <w:rFonts w:ascii="Arial" w:cs="Arial" w:eastAsia="Arial" w:hAnsi="Arial"/>
                <w:sz w:val="18"/>
                <w:szCs w:val="18"/>
                <w:color w:val="auto"/>
                <w:w w:val="91"/>
              </w:rPr>
              <w:t>/s/ David J. Butters</w:t>
            </w:r>
          </w:p>
        </w:tc>
        <w:tc>
          <w:tcPr>
            <w:tcW w:w="426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3440" w:type="dxa"/>
            <w:vAlign w:val="bottom"/>
            <w:tcBorders>
              <w:bottom w:val="single" w:sz="8" w:color="auto"/>
            </w:tcBorders>
          </w:tcPr>
          <w:p>
            <w:pPr>
              <w:spacing w:after="0"/>
              <w:rPr>
                <w:sz w:val="2"/>
                <w:szCs w:val="2"/>
                <w:color w:val="auto"/>
              </w:rPr>
            </w:pPr>
          </w:p>
        </w:tc>
        <w:tc>
          <w:tcPr>
            <w:tcW w:w="4260" w:type="dxa"/>
            <w:vAlign w:val="bottom"/>
          </w:tcPr>
          <w:p>
            <w:pPr>
              <w:spacing w:after="0"/>
              <w:rPr>
                <w:sz w:val="2"/>
                <w:szCs w:val="2"/>
                <w:color w:val="auto"/>
              </w:rPr>
            </w:pPr>
          </w:p>
        </w:tc>
      </w:tr>
      <w:tr>
        <w:trPr>
          <w:trHeight w:val="237"/>
        </w:trPr>
        <w:tc>
          <w:tcPr>
            <w:tcW w:w="3440" w:type="dxa"/>
            <w:vAlign w:val="bottom"/>
          </w:tcPr>
          <w:p>
            <w:pPr>
              <w:jc w:val="center"/>
              <w:spacing w:after="0"/>
              <w:rPr>
                <w:sz w:val="20"/>
                <w:szCs w:val="20"/>
                <w:color w:val="auto"/>
              </w:rPr>
            </w:pPr>
            <w:r>
              <w:rPr>
                <w:rFonts w:ascii="Arial" w:cs="Arial" w:eastAsia="Arial" w:hAnsi="Arial"/>
                <w:sz w:val="18"/>
                <w:szCs w:val="18"/>
                <w:color w:val="auto"/>
                <w:w w:val="91"/>
              </w:rPr>
              <w:t>David J. Butters</w:t>
            </w:r>
          </w:p>
        </w:tc>
        <w:tc>
          <w:tcPr>
            <w:tcW w:w="4260" w:type="dxa"/>
            <w:vAlign w:val="bottom"/>
          </w:tcPr>
          <w:p>
            <w:pPr>
              <w:spacing w:after="0"/>
              <w:rPr>
                <w:sz w:val="20"/>
                <w:szCs w:val="20"/>
                <w:color w:val="auto"/>
              </w:rPr>
            </w:pPr>
          </w:p>
        </w:tc>
      </w:tr>
      <w:tr>
        <w:trPr>
          <w:trHeight w:val="446"/>
        </w:trPr>
        <w:tc>
          <w:tcPr>
            <w:tcW w:w="3440" w:type="dxa"/>
            <w:vAlign w:val="bottom"/>
          </w:tcPr>
          <w:p>
            <w:pPr>
              <w:jc w:val="center"/>
              <w:spacing w:after="0"/>
              <w:rPr>
                <w:sz w:val="20"/>
                <w:szCs w:val="20"/>
                <w:color w:val="auto"/>
              </w:rPr>
            </w:pPr>
            <w:r>
              <w:rPr>
                <w:rFonts w:ascii="Arial" w:cs="Arial" w:eastAsia="Arial" w:hAnsi="Arial"/>
                <w:sz w:val="18"/>
                <w:szCs w:val="18"/>
                <w:color w:val="auto"/>
                <w:w w:val="87"/>
              </w:rPr>
              <w:t>/s/ John D. Gass</w:t>
            </w:r>
          </w:p>
        </w:tc>
        <w:tc>
          <w:tcPr>
            <w:tcW w:w="426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3440" w:type="dxa"/>
            <w:vAlign w:val="bottom"/>
            <w:tcBorders>
              <w:bottom w:val="single" w:sz="8" w:color="auto"/>
            </w:tcBorders>
          </w:tcPr>
          <w:p>
            <w:pPr>
              <w:spacing w:after="0"/>
              <w:rPr>
                <w:sz w:val="2"/>
                <w:szCs w:val="2"/>
                <w:color w:val="auto"/>
              </w:rPr>
            </w:pPr>
          </w:p>
        </w:tc>
        <w:tc>
          <w:tcPr>
            <w:tcW w:w="4260" w:type="dxa"/>
            <w:vAlign w:val="bottom"/>
          </w:tcPr>
          <w:p>
            <w:pPr>
              <w:spacing w:after="0"/>
              <w:rPr>
                <w:sz w:val="2"/>
                <w:szCs w:val="2"/>
                <w:color w:val="auto"/>
              </w:rPr>
            </w:pPr>
          </w:p>
        </w:tc>
      </w:tr>
      <w:tr>
        <w:trPr>
          <w:trHeight w:val="237"/>
        </w:trPr>
        <w:tc>
          <w:tcPr>
            <w:tcW w:w="3440" w:type="dxa"/>
            <w:vAlign w:val="bottom"/>
          </w:tcPr>
          <w:p>
            <w:pPr>
              <w:jc w:val="center"/>
              <w:spacing w:after="0"/>
              <w:rPr>
                <w:sz w:val="20"/>
                <w:szCs w:val="20"/>
                <w:color w:val="auto"/>
              </w:rPr>
            </w:pPr>
            <w:r>
              <w:rPr>
                <w:rFonts w:ascii="Arial" w:cs="Arial" w:eastAsia="Arial" w:hAnsi="Arial"/>
                <w:sz w:val="18"/>
                <w:szCs w:val="18"/>
                <w:color w:val="auto"/>
                <w:w w:val="87"/>
              </w:rPr>
              <w:t>John D. Gass</w:t>
            </w:r>
          </w:p>
        </w:tc>
        <w:tc>
          <w:tcPr>
            <w:tcW w:w="4260" w:type="dxa"/>
            <w:vAlign w:val="bottom"/>
          </w:tcPr>
          <w:p>
            <w:pPr>
              <w:spacing w:after="0"/>
              <w:rPr>
                <w:sz w:val="20"/>
                <w:szCs w:val="20"/>
                <w:color w:val="auto"/>
              </w:rPr>
            </w:pPr>
          </w:p>
        </w:tc>
      </w:tr>
      <w:tr>
        <w:trPr>
          <w:trHeight w:val="446"/>
        </w:trPr>
        <w:tc>
          <w:tcPr>
            <w:tcW w:w="3440" w:type="dxa"/>
            <w:vAlign w:val="bottom"/>
          </w:tcPr>
          <w:p>
            <w:pPr>
              <w:jc w:val="center"/>
              <w:spacing w:after="0"/>
              <w:rPr>
                <w:sz w:val="20"/>
                <w:szCs w:val="20"/>
                <w:color w:val="auto"/>
              </w:rPr>
            </w:pPr>
            <w:r>
              <w:rPr>
                <w:rFonts w:ascii="Arial" w:cs="Arial" w:eastAsia="Arial" w:hAnsi="Arial"/>
                <w:sz w:val="18"/>
                <w:szCs w:val="18"/>
                <w:color w:val="auto"/>
                <w:w w:val="91"/>
              </w:rPr>
              <w:t>/s/ Francis S. Kalman</w:t>
            </w:r>
          </w:p>
        </w:tc>
        <w:tc>
          <w:tcPr>
            <w:tcW w:w="426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3440" w:type="dxa"/>
            <w:vAlign w:val="bottom"/>
            <w:tcBorders>
              <w:bottom w:val="single" w:sz="8" w:color="auto"/>
            </w:tcBorders>
          </w:tcPr>
          <w:p>
            <w:pPr>
              <w:spacing w:after="0"/>
              <w:rPr>
                <w:sz w:val="2"/>
                <w:szCs w:val="2"/>
                <w:color w:val="auto"/>
              </w:rPr>
            </w:pPr>
          </w:p>
        </w:tc>
        <w:tc>
          <w:tcPr>
            <w:tcW w:w="4260" w:type="dxa"/>
            <w:vAlign w:val="bottom"/>
          </w:tcPr>
          <w:p>
            <w:pPr>
              <w:spacing w:after="0"/>
              <w:rPr>
                <w:sz w:val="2"/>
                <w:szCs w:val="2"/>
                <w:color w:val="auto"/>
              </w:rPr>
            </w:pPr>
          </w:p>
        </w:tc>
      </w:tr>
      <w:tr>
        <w:trPr>
          <w:trHeight w:val="237"/>
        </w:trPr>
        <w:tc>
          <w:tcPr>
            <w:tcW w:w="3440" w:type="dxa"/>
            <w:vAlign w:val="bottom"/>
          </w:tcPr>
          <w:p>
            <w:pPr>
              <w:jc w:val="center"/>
              <w:spacing w:after="0"/>
              <w:rPr>
                <w:sz w:val="20"/>
                <w:szCs w:val="20"/>
                <w:color w:val="auto"/>
              </w:rPr>
            </w:pPr>
            <w:r>
              <w:rPr>
                <w:rFonts w:ascii="Arial" w:cs="Arial" w:eastAsia="Arial" w:hAnsi="Arial"/>
                <w:sz w:val="18"/>
                <w:szCs w:val="18"/>
                <w:color w:val="auto"/>
                <w:w w:val="91"/>
              </w:rPr>
              <w:t>Francis S. Kalman</w:t>
            </w:r>
          </w:p>
        </w:tc>
        <w:tc>
          <w:tcPr>
            <w:tcW w:w="4260" w:type="dxa"/>
            <w:vAlign w:val="bottom"/>
          </w:tcPr>
          <w:p>
            <w:pPr>
              <w:spacing w:after="0"/>
              <w:rPr>
                <w:sz w:val="20"/>
                <w:szCs w:val="20"/>
                <w:color w:val="auto"/>
              </w:rPr>
            </w:pPr>
          </w:p>
        </w:tc>
      </w:tr>
      <w:tr>
        <w:trPr>
          <w:trHeight w:val="446"/>
        </w:trPr>
        <w:tc>
          <w:tcPr>
            <w:tcW w:w="3440" w:type="dxa"/>
            <w:vAlign w:val="bottom"/>
          </w:tcPr>
          <w:p>
            <w:pPr>
              <w:jc w:val="center"/>
              <w:spacing w:after="0"/>
              <w:rPr>
                <w:sz w:val="20"/>
                <w:szCs w:val="20"/>
                <w:color w:val="auto"/>
              </w:rPr>
            </w:pPr>
            <w:r>
              <w:rPr>
                <w:rFonts w:ascii="Arial" w:cs="Arial" w:eastAsia="Arial" w:hAnsi="Arial"/>
                <w:sz w:val="18"/>
                <w:szCs w:val="18"/>
                <w:color w:val="auto"/>
                <w:w w:val="94"/>
              </w:rPr>
              <w:t>/s/ William E. Macaulay</w:t>
            </w:r>
          </w:p>
        </w:tc>
        <w:tc>
          <w:tcPr>
            <w:tcW w:w="426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3440" w:type="dxa"/>
            <w:vAlign w:val="bottom"/>
            <w:tcBorders>
              <w:bottom w:val="single" w:sz="8" w:color="auto"/>
            </w:tcBorders>
          </w:tcPr>
          <w:p>
            <w:pPr>
              <w:spacing w:after="0"/>
              <w:rPr>
                <w:sz w:val="2"/>
                <w:szCs w:val="2"/>
                <w:color w:val="auto"/>
              </w:rPr>
            </w:pPr>
          </w:p>
        </w:tc>
        <w:tc>
          <w:tcPr>
            <w:tcW w:w="4260" w:type="dxa"/>
            <w:vAlign w:val="bottom"/>
          </w:tcPr>
          <w:p>
            <w:pPr>
              <w:spacing w:after="0"/>
              <w:rPr>
                <w:sz w:val="2"/>
                <w:szCs w:val="2"/>
                <w:color w:val="auto"/>
              </w:rPr>
            </w:pPr>
          </w:p>
        </w:tc>
      </w:tr>
      <w:tr>
        <w:trPr>
          <w:trHeight w:val="237"/>
        </w:trPr>
        <w:tc>
          <w:tcPr>
            <w:tcW w:w="3440" w:type="dxa"/>
            <w:vAlign w:val="bottom"/>
          </w:tcPr>
          <w:p>
            <w:pPr>
              <w:jc w:val="center"/>
              <w:spacing w:after="0"/>
              <w:rPr>
                <w:sz w:val="20"/>
                <w:szCs w:val="20"/>
                <w:color w:val="auto"/>
              </w:rPr>
            </w:pPr>
            <w:r>
              <w:rPr>
                <w:rFonts w:ascii="Arial" w:cs="Arial" w:eastAsia="Arial" w:hAnsi="Arial"/>
                <w:sz w:val="18"/>
                <w:szCs w:val="18"/>
                <w:color w:val="auto"/>
                <w:w w:val="95"/>
              </w:rPr>
              <w:t>William E. Macaulay</w:t>
            </w:r>
          </w:p>
        </w:tc>
        <w:tc>
          <w:tcPr>
            <w:tcW w:w="4260" w:type="dxa"/>
            <w:vAlign w:val="bottom"/>
          </w:tcPr>
          <w:p>
            <w:pPr>
              <w:spacing w:after="0"/>
              <w:rPr>
                <w:sz w:val="20"/>
                <w:szCs w:val="20"/>
                <w:color w:val="auto"/>
              </w:rPr>
            </w:pPr>
          </w:p>
        </w:tc>
      </w:tr>
      <w:tr>
        <w:trPr>
          <w:trHeight w:val="446"/>
        </w:trPr>
        <w:tc>
          <w:tcPr>
            <w:tcW w:w="3440" w:type="dxa"/>
            <w:vAlign w:val="bottom"/>
          </w:tcPr>
          <w:p>
            <w:pPr>
              <w:jc w:val="center"/>
              <w:spacing w:after="0"/>
              <w:rPr>
                <w:sz w:val="20"/>
                <w:szCs w:val="20"/>
                <w:color w:val="auto"/>
              </w:rPr>
            </w:pPr>
            <w:r>
              <w:rPr>
                <w:rFonts w:ascii="Arial" w:cs="Arial" w:eastAsia="Arial" w:hAnsi="Arial"/>
                <w:sz w:val="18"/>
                <w:szCs w:val="18"/>
                <w:color w:val="auto"/>
                <w:w w:val="90"/>
              </w:rPr>
              <w:t>/s/ Robert K. Moses, Jr.</w:t>
            </w:r>
          </w:p>
        </w:tc>
        <w:tc>
          <w:tcPr>
            <w:tcW w:w="426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3440" w:type="dxa"/>
            <w:vAlign w:val="bottom"/>
            <w:tcBorders>
              <w:bottom w:val="single" w:sz="8" w:color="auto"/>
            </w:tcBorders>
          </w:tcPr>
          <w:p>
            <w:pPr>
              <w:spacing w:after="0"/>
              <w:rPr>
                <w:sz w:val="2"/>
                <w:szCs w:val="2"/>
                <w:color w:val="auto"/>
              </w:rPr>
            </w:pPr>
          </w:p>
        </w:tc>
        <w:tc>
          <w:tcPr>
            <w:tcW w:w="4260" w:type="dxa"/>
            <w:vAlign w:val="bottom"/>
          </w:tcPr>
          <w:p>
            <w:pPr>
              <w:spacing w:after="0"/>
              <w:rPr>
                <w:sz w:val="2"/>
                <w:szCs w:val="2"/>
                <w:color w:val="auto"/>
              </w:rPr>
            </w:pPr>
          </w:p>
        </w:tc>
      </w:tr>
      <w:tr>
        <w:trPr>
          <w:trHeight w:val="237"/>
        </w:trPr>
        <w:tc>
          <w:tcPr>
            <w:tcW w:w="3440" w:type="dxa"/>
            <w:vAlign w:val="bottom"/>
          </w:tcPr>
          <w:p>
            <w:pPr>
              <w:jc w:val="center"/>
              <w:spacing w:after="0"/>
              <w:rPr>
                <w:sz w:val="20"/>
                <w:szCs w:val="20"/>
                <w:color w:val="auto"/>
              </w:rPr>
            </w:pPr>
            <w:r>
              <w:rPr>
                <w:rFonts w:ascii="Arial" w:cs="Arial" w:eastAsia="Arial" w:hAnsi="Arial"/>
                <w:sz w:val="18"/>
                <w:szCs w:val="18"/>
                <w:color w:val="auto"/>
                <w:w w:val="90"/>
              </w:rPr>
              <w:t>Robert K. Moses, Jr.</w:t>
            </w:r>
          </w:p>
        </w:tc>
        <w:tc>
          <w:tcPr>
            <w:tcW w:w="4260" w:type="dxa"/>
            <w:vAlign w:val="bottom"/>
          </w:tcPr>
          <w:p>
            <w:pPr>
              <w:spacing w:after="0"/>
              <w:rPr>
                <w:sz w:val="20"/>
                <w:szCs w:val="20"/>
                <w:color w:val="auto"/>
              </w:rPr>
            </w:pPr>
          </w:p>
        </w:tc>
      </w:tr>
      <w:tr>
        <w:trPr>
          <w:trHeight w:val="446"/>
        </w:trPr>
        <w:tc>
          <w:tcPr>
            <w:tcW w:w="3440" w:type="dxa"/>
            <w:vAlign w:val="bottom"/>
          </w:tcPr>
          <w:p>
            <w:pPr>
              <w:jc w:val="center"/>
              <w:spacing w:after="0"/>
              <w:rPr>
                <w:sz w:val="20"/>
                <w:szCs w:val="20"/>
                <w:color w:val="auto"/>
              </w:rPr>
            </w:pPr>
            <w:r>
              <w:rPr>
                <w:rFonts w:ascii="Arial" w:cs="Arial" w:eastAsia="Arial" w:hAnsi="Arial"/>
                <w:sz w:val="18"/>
                <w:szCs w:val="18"/>
                <w:color w:val="auto"/>
                <w:w w:val="94"/>
              </w:rPr>
              <w:t>/s/ Dr. Guillermo Ortiz</w:t>
            </w:r>
          </w:p>
        </w:tc>
        <w:tc>
          <w:tcPr>
            <w:tcW w:w="426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3440" w:type="dxa"/>
            <w:vAlign w:val="bottom"/>
            <w:tcBorders>
              <w:bottom w:val="single" w:sz="8" w:color="auto"/>
            </w:tcBorders>
          </w:tcPr>
          <w:p>
            <w:pPr>
              <w:spacing w:after="0"/>
              <w:rPr>
                <w:sz w:val="2"/>
                <w:szCs w:val="2"/>
                <w:color w:val="auto"/>
              </w:rPr>
            </w:pPr>
          </w:p>
        </w:tc>
        <w:tc>
          <w:tcPr>
            <w:tcW w:w="4260" w:type="dxa"/>
            <w:vAlign w:val="bottom"/>
          </w:tcPr>
          <w:p>
            <w:pPr>
              <w:spacing w:after="0"/>
              <w:rPr>
                <w:sz w:val="2"/>
                <w:szCs w:val="2"/>
                <w:color w:val="auto"/>
              </w:rPr>
            </w:pPr>
          </w:p>
        </w:tc>
      </w:tr>
      <w:tr>
        <w:trPr>
          <w:trHeight w:val="237"/>
        </w:trPr>
        <w:tc>
          <w:tcPr>
            <w:tcW w:w="3440" w:type="dxa"/>
            <w:vAlign w:val="bottom"/>
          </w:tcPr>
          <w:p>
            <w:pPr>
              <w:jc w:val="center"/>
              <w:spacing w:after="0"/>
              <w:rPr>
                <w:sz w:val="20"/>
                <w:szCs w:val="20"/>
                <w:color w:val="auto"/>
              </w:rPr>
            </w:pPr>
            <w:r>
              <w:rPr>
                <w:rFonts w:ascii="Arial" w:cs="Arial" w:eastAsia="Arial" w:hAnsi="Arial"/>
                <w:sz w:val="18"/>
                <w:szCs w:val="18"/>
                <w:color w:val="auto"/>
                <w:w w:val="95"/>
              </w:rPr>
              <w:t>Dr. Guillermo Ortiz</w:t>
            </w:r>
          </w:p>
        </w:tc>
        <w:tc>
          <w:tcPr>
            <w:tcW w:w="4260" w:type="dxa"/>
            <w:vAlign w:val="bottom"/>
          </w:tcPr>
          <w:p>
            <w:pPr>
              <w:spacing w:after="0"/>
              <w:rPr>
                <w:sz w:val="20"/>
                <w:szCs w:val="20"/>
                <w:color w:val="auto"/>
              </w:rPr>
            </w:pPr>
          </w:p>
        </w:tc>
      </w:tr>
      <w:tr>
        <w:trPr>
          <w:trHeight w:val="446"/>
        </w:trPr>
        <w:tc>
          <w:tcPr>
            <w:tcW w:w="3440" w:type="dxa"/>
            <w:vAlign w:val="bottom"/>
          </w:tcPr>
          <w:p>
            <w:pPr>
              <w:jc w:val="center"/>
              <w:spacing w:after="0"/>
              <w:rPr>
                <w:sz w:val="20"/>
                <w:szCs w:val="20"/>
                <w:color w:val="auto"/>
              </w:rPr>
            </w:pPr>
            <w:r>
              <w:rPr>
                <w:rFonts w:ascii="Arial" w:cs="Arial" w:eastAsia="Arial" w:hAnsi="Arial"/>
                <w:sz w:val="18"/>
                <w:szCs w:val="18"/>
                <w:color w:val="auto"/>
                <w:w w:val="90"/>
              </w:rPr>
              <w:t>/s/ Sir Emyr Jones Parry</w:t>
            </w:r>
          </w:p>
        </w:tc>
        <w:tc>
          <w:tcPr>
            <w:tcW w:w="426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3440" w:type="dxa"/>
            <w:vAlign w:val="bottom"/>
            <w:tcBorders>
              <w:bottom w:val="single" w:sz="8" w:color="auto"/>
            </w:tcBorders>
          </w:tcPr>
          <w:p>
            <w:pPr>
              <w:spacing w:after="0"/>
              <w:rPr>
                <w:sz w:val="2"/>
                <w:szCs w:val="2"/>
                <w:color w:val="auto"/>
              </w:rPr>
            </w:pPr>
          </w:p>
        </w:tc>
        <w:tc>
          <w:tcPr>
            <w:tcW w:w="4260" w:type="dxa"/>
            <w:vAlign w:val="bottom"/>
          </w:tcPr>
          <w:p>
            <w:pPr>
              <w:spacing w:after="0"/>
              <w:rPr>
                <w:sz w:val="2"/>
                <w:szCs w:val="2"/>
                <w:color w:val="auto"/>
              </w:rPr>
            </w:pPr>
          </w:p>
        </w:tc>
      </w:tr>
      <w:tr>
        <w:trPr>
          <w:trHeight w:val="237"/>
        </w:trPr>
        <w:tc>
          <w:tcPr>
            <w:tcW w:w="3440" w:type="dxa"/>
            <w:vAlign w:val="bottom"/>
          </w:tcPr>
          <w:p>
            <w:pPr>
              <w:jc w:val="center"/>
              <w:spacing w:after="0"/>
              <w:rPr>
                <w:sz w:val="20"/>
                <w:szCs w:val="20"/>
                <w:color w:val="auto"/>
              </w:rPr>
            </w:pPr>
            <w:r>
              <w:rPr>
                <w:rFonts w:ascii="Arial" w:cs="Arial" w:eastAsia="Arial" w:hAnsi="Arial"/>
                <w:sz w:val="18"/>
                <w:szCs w:val="18"/>
                <w:color w:val="auto"/>
                <w:w w:val="90"/>
              </w:rPr>
              <w:t>Sir Emyr Jones Parry</w:t>
            </w:r>
          </w:p>
        </w:tc>
        <w:tc>
          <w:tcPr>
            <w:tcW w:w="4260" w:type="dxa"/>
            <w:vAlign w:val="bottom"/>
          </w:tcPr>
          <w:p>
            <w:pPr>
              <w:spacing w:after="0"/>
              <w:rPr>
                <w:sz w:val="20"/>
                <w:szCs w:val="20"/>
                <w:color w:val="auto"/>
              </w:rPr>
            </w:pPr>
          </w:p>
        </w:tc>
      </w:tr>
      <w:tr>
        <w:trPr>
          <w:trHeight w:val="446"/>
        </w:trPr>
        <w:tc>
          <w:tcPr>
            <w:tcW w:w="3440" w:type="dxa"/>
            <w:vAlign w:val="bottom"/>
          </w:tcPr>
          <w:p>
            <w:pPr>
              <w:jc w:val="center"/>
              <w:spacing w:after="0"/>
              <w:rPr>
                <w:sz w:val="20"/>
                <w:szCs w:val="20"/>
                <w:color w:val="auto"/>
              </w:rPr>
            </w:pPr>
            <w:r>
              <w:rPr>
                <w:rFonts w:ascii="Arial" w:cs="Arial" w:eastAsia="Arial" w:hAnsi="Arial"/>
                <w:sz w:val="18"/>
                <w:szCs w:val="18"/>
                <w:color w:val="auto"/>
                <w:w w:val="91"/>
              </w:rPr>
              <w:t>/s/ Robert A. Rayne</w:t>
            </w:r>
          </w:p>
        </w:tc>
        <w:tc>
          <w:tcPr>
            <w:tcW w:w="426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3440" w:type="dxa"/>
            <w:vAlign w:val="bottom"/>
            <w:tcBorders>
              <w:bottom w:val="single" w:sz="8" w:color="auto"/>
            </w:tcBorders>
          </w:tcPr>
          <w:p>
            <w:pPr>
              <w:spacing w:after="0"/>
              <w:rPr>
                <w:sz w:val="2"/>
                <w:szCs w:val="2"/>
                <w:color w:val="auto"/>
              </w:rPr>
            </w:pPr>
          </w:p>
        </w:tc>
        <w:tc>
          <w:tcPr>
            <w:tcW w:w="4260" w:type="dxa"/>
            <w:vAlign w:val="bottom"/>
          </w:tcPr>
          <w:p>
            <w:pPr>
              <w:spacing w:after="0"/>
              <w:rPr>
                <w:sz w:val="2"/>
                <w:szCs w:val="2"/>
                <w:color w:val="auto"/>
              </w:rPr>
            </w:pPr>
          </w:p>
        </w:tc>
      </w:tr>
      <w:tr>
        <w:trPr>
          <w:trHeight w:val="237"/>
        </w:trPr>
        <w:tc>
          <w:tcPr>
            <w:tcW w:w="3440" w:type="dxa"/>
            <w:vAlign w:val="bottom"/>
          </w:tcPr>
          <w:p>
            <w:pPr>
              <w:jc w:val="center"/>
              <w:spacing w:after="0"/>
              <w:rPr>
                <w:sz w:val="20"/>
                <w:szCs w:val="20"/>
                <w:color w:val="auto"/>
              </w:rPr>
            </w:pPr>
            <w:r>
              <w:rPr>
                <w:rFonts w:ascii="Arial" w:cs="Arial" w:eastAsia="Arial" w:hAnsi="Arial"/>
                <w:sz w:val="18"/>
                <w:szCs w:val="18"/>
                <w:color w:val="auto"/>
                <w:w w:val="91"/>
              </w:rPr>
              <w:t>Robert A. Rayne</w:t>
            </w:r>
          </w:p>
        </w:tc>
        <w:tc>
          <w:tcPr>
            <w:tcW w:w="4260" w:type="dxa"/>
            <w:vAlign w:val="bottom"/>
          </w:tcPr>
          <w:p>
            <w:pPr>
              <w:spacing w:after="0"/>
              <w:rPr>
                <w:sz w:val="20"/>
                <w:szCs w:val="20"/>
                <w:color w:val="auto"/>
              </w:rPr>
            </w:pPr>
          </w:p>
        </w:tc>
      </w:tr>
      <w:tr>
        <w:trPr>
          <w:trHeight w:val="446"/>
        </w:trPr>
        <w:tc>
          <w:tcPr>
            <w:tcW w:w="3440" w:type="dxa"/>
            <w:vAlign w:val="bottom"/>
          </w:tcPr>
          <w:p>
            <w:pPr>
              <w:jc w:val="center"/>
              <w:spacing w:after="0"/>
              <w:rPr>
                <w:sz w:val="20"/>
                <w:szCs w:val="20"/>
                <w:color w:val="auto"/>
              </w:rPr>
            </w:pPr>
            <w:r>
              <w:rPr>
                <w:rFonts w:ascii="Arial" w:cs="Arial" w:eastAsia="Arial" w:hAnsi="Arial"/>
                <w:sz w:val="18"/>
                <w:szCs w:val="18"/>
                <w:color w:val="auto"/>
                <w:w w:val="94"/>
              </w:rPr>
              <w:t>/s/ Christina M. Ibrahim</w:t>
            </w:r>
          </w:p>
        </w:tc>
        <w:tc>
          <w:tcPr>
            <w:tcW w:w="4260" w:type="dxa"/>
            <w:vAlign w:val="bottom"/>
          </w:tcPr>
          <w:p>
            <w:pPr>
              <w:ind w:left="20"/>
              <w:spacing w:after="0"/>
              <w:rPr>
                <w:sz w:val="20"/>
                <w:szCs w:val="20"/>
                <w:color w:val="auto"/>
              </w:rPr>
            </w:pPr>
            <w:r>
              <w:rPr>
                <w:rFonts w:ascii="Arial" w:cs="Arial" w:eastAsia="Arial" w:hAnsi="Arial"/>
                <w:sz w:val="18"/>
                <w:szCs w:val="18"/>
                <w:color w:val="auto"/>
              </w:rPr>
              <w:t>Authorized U.S. Representative</w:t>
            </w:r>
          </w:p>
        </w:tc>
      </w:tr>
      <w:tr>
        <w:trPr>
          <w:trHeight w:val="27"/>
        </w:trPr>
        <w:tc>
          <w:tcPr>
            <w:tcW w:w="3440" w:type="dxa"/>
            <w:vAlign w:val="bottom"/>
            <w:tcBorders>
              <w:bottom w:val="single" w:sz="8" w:color="auto"/>
            </w:tcBorders>
          </w:tcPr>
          <w:p>
            <w:pPr>
              <w:spacing w:after="0"/>
              <w:rPr>
                <w:sz w:val="2"/>
                <w:szCs w:val="2"/>
                <w:color w:val="auto"/>
              </w:rPr>
            </w:pPr>
          </w:p>
        </w:tc>
        <w:tc>
          <w:tcPr>
            <w:tcW w:w="4260" w:type="dxa"/>
            <w:vAlign w:val="bottom"/>
          </w:tcPr>
          <w:p>
            <w:pPr>
              <w:spacing w:after="0"/>
              <w:rPr>
                <w:sz w:val="2"/>
                <w:szCs w:val="2"/>
                <w:color w:val="auto"/>
              </w:rPr>
            </w:pPr>
          </w:p>
        </w:tc>
      </w:tr>
      <w:tr>
        <w:trPr>
          <w:trHeight w:val="237"/>
        </w:trPr>
        <w:tc>
          <w:tcPr>
            <w:tcW w:w="3440" w:type="dxa"/>
            <w:vAlign w:val="bottom"/>
          </w:tcPr>
          <w:p>
            <w:pPr>
              <w:jc w:val="center"/>
              <w:spacing w:after="0"/>
              <w:rPr>
                <w:sz w:val="20"/>
                <w:szCs w:val="20"/>
                <w:color w:val="auto"/>
              </w:rPr>
            </w:pPr>
            <w:r>
              <w:rPr>
                <w:rFonts w:ascii="Arial" w:cs="Arial" w:eastAsia="Arial" w:hAnsi="Arial"/>
                <w:sz w:val="18"/>
                <w:szCs w:val="18"/>
                <w:color w:val="auto"/>
                <w:w w:val="94"/>
              </w:rPr>
              <w:t>Christina M. Ibrahim</w:t>
            </w:r>
          </w:p>
        </w:tc>
        <w:tc>
          <w:tcPr>
            <w:tcW w:w="4260" w:type="dxa"/>
            <w:vAlign w:val="bottom"/>
          </w:tcPr>
          <w:p>
            <w:pPr>
              <w:spacing w:after="0"/>
              <w:rPr>
                <w:sz w:val="20"/>
                <w:szCs w:val="20"/>
                <w:color w:val="auto"/>
              </w:rPr>
            </w:pPr>
          </w:p>
        </w:tc>
      </w:tr>
    </w:tbl>
    <w:p>
      <w:pPr>
        <w:sectPr>
          <w:pgSz w:w="11900" w:h="16838" w:orient="portrait"/>
          <w:cols w:equalWidth="0" w:num="1">
            <w:col w:w="11420"/>
          </w:cols>
          <w:pgMar w:left="240" w:top="584" w:right="2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9300" w:type="dxa"/>
            <w:vAlign w:val="bottom"/>
          </w:tcPr>
          <w:p>
            <w:pPr>
              <w:ind w:left="33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580"/>
        </w:trPr>
        <w:tc>
          <w:tcPr>
            <w:tcW w:w="1300" w:type="dxa"/>
            <w:vAlign w:val="bottom"/>
          </w:tcPr>
          <w:p>
            <w:pPr>
              <w:ind w:left="20"/>
              <w:spacing w:after="0"/>
              <w:rPr>
                <w:sz w:val="20"/>
                <w:szCs w:val="20"/>
                <w:color w:val="auto"/>
              </w:rPr>
            </w:pPr>
            <w:r>
              <w:rPr>
                <w:rFonts w:ascii="Arial" w:cs="Arial" w:eastAsia="Arial" w:hAnsi="Arial"/>
                <w:sz w:val="18"/>
                <w:szCs w:val="18"/>
                <w:color w:val="auto"/>
              </w:rPr>
              <w:t>Exhibit</w:t>
            </w:r>
          </w:p>
        </w:tc>
        <w:tc>
          <w:tcPr>
            <w:tcW w:w="9300" w:type="dxa"/>
            <w:vAlign w:val="bottom"/>
          </w:tcPr>
          <w:p>
            <w:pPr>
              <w:ind w:left="4260"/>
              <w:spacing w:after="0"/>
              <w:rPr>
                <w:sz w:val="20"/>
                <w:szCs w:val="20"/>
                <w:color w:val="auto"/>
              </w:rPr>
            </w:pPr>
            <w:r>
              <w:rPr>
                <w:rFonts w:ascii="Arial" w:cs="Arial" w:eastAsia="Arial" w:hAnsi="Arial"/>
                <w:sz w:val="18"/>
                <w:szCs w:val="18"/>
                <w:color w:val="auto"/>
              </w:rPr>
              <w:t>Description</w:t>
            </w:r>
          </w:p>
        </w:tc>
        <w:tc>
          <w:tcPr>
            <w:tcW w:w="0" w:type="dxa"/>
            <w:vAlign w:val="bottom"/>
          </w:tcPr>
          <w:p>
            <w:pPr>
              <w:spacing w:after="0"/>
              <w:rPr>
                <w:sz w:val="1"/>
                <w:szCs w:val="1"/>
                <w:color w:val="auto"/>
              </w:rPr>
            </w:pPr>
          </w:p>
        </w:tc>
      </w:tr>
      <w:tr>
        <w:trPr>
          <w:trHeight w:val="230"/>
        </w:trPr>
        <w:tc>
          <w:tcPr>
            <w:tcW w:w="1300" w:type="dxa"/>
            <w:vAlign w:val="bottom"/>
          </w:tcPr>
          <w:p>
            <w:pPr>
              <w:ind w:left="20"/>
              <w:spacing w:after="0"/>
              <w:rPr>
                <w:sz w:val="20"/>
                <w:szCs w:val="20"/>
                <w:color w:val="auto"/>
              </w:rPr>
            </w:pPr>
            <w:r>
              <w:rPr>
                <w:rFonts w:ascii="Arial" w:cs="Arial" w:eastAsia="Arial" w:hAnsi="Arial"/>
                <w:sz w:val="18"/>
                <w:szCs w:val="18"/>
                <w:color w:val="auto"/>
              </w:rPr>
              <w:t>No.</w:t>
            </w:r>
          </w:p>
        </w:tc>
        <w:tc>
          <w:tcPr>
            <w:tcW w:w="9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300" w:type="dxa"/>
            <w:vAlign w:val="bottom"/>
            <w:tcBorders>
              <w:bottom w:val="single" w:sz="8" w:color="auto"/>
            </w:tcBorders>
          </w:tcPr>
          <w:p>
            <w:pPr>
              <w:spacing w:after="0"/>
              <w:rPr>
                <w:sz w:val="2"/>
                <w:szCs w:val="2"/>
                <w:color w:val="auto"/>
              </w:rPr>
            </w:pPr>
          </w:p>
        </w:tc>
        <w:tc>
          <w:tcPr>
            <w:tcW w:w="9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4"/>
        </w:trPr>
        <w:tc>
          <w:tcPr>
            <w:tcW w:w="1300" w:type="dxa"/>
            <w:vAlign w:val="bottom"/>
            <w:vMerge w:val="restart"/>
          </w:tcPr>
          <w:p>
            <w:pPr>
              <w:ind w:left="20"/>
              <w:spacing w:after="0"/>
              <w:rPr>
                <w:sz w:val="20"/>
                <w:szCs w:val="20"/>
                <w:color w:val="auto"/>
              </w:rPr>
            </w:pPr>
            <w:r>
              <w:rPr>
                <w:rFonts w:ascii="Arial" w:cs="Arial" w:eastAsia="Arial" w:hAnsi="Arial"/>
                <w:sz w:val="18"/>
                <w:szCs w:val="18"/>
                <w:color w:val="auto"/>
              </w:rPr>
              <w:t>4.1</w:t>
            </w:r>
          </w:p>
        </w:tc>
        <w:tc>
          <w:tcPr>
            <w:tcW w:w="9300" w:type="dxa"/>
            <w:vAlign w:val="bottom"/>
          </w:tcPr>
          <w:p>
            <w:pPr>
              <w:ind w:left="120"/>
              <w:spacing w:after="0"/>
              <w:rPr>
                <w:sz w:val="20"/>
                <w:szCs w:val="20"/>
                <w:color w:val="auto"/>
              </w:rPr>
            </w:pPr>
            <w:r>
              <w:rPr>
                <w:rFonts w:ascii="Arial" w:cs="Arial" w:eastAsia="Arial" w:hAnsi="Arial"/>
                <w:sz w:val="18"/>
                <w:szCs w:val="18"/>
                <w:color w:val="auto"/>
                <w:w w:val="94"/>
              </w:rPr>
              <w:t>Memorandum and Articles of Weatherford International public limited company (incorporated by reference to Exhibit 3.1 to</w:t>
            </w:r>
          </w:p>
        </w:tc>
        <w:tc>
          <w:tcPr>
            <w:tcW w:w="0" w:type="dxa"/>
            <w:vAlign w:val="bottom"/>
          </w:tcPr>
          <w:p>
            <w:pPr>
              <w:spacing w:after="0"/>
              <w:rPr>
                <w:sz w:val="1"/>
                <w:szCs w:val="1"/>
                <w:color w:val="auto"/>
              </w:rPr>
            </w:pPr>
          </w:p>
        </w:tc>
      </w:tr>
      <w:tr>
        <w:trPr>
          <w:trHeight w:val="122"/>
        </w:trPr>
        <w:tc>
          <w:tcPr>
            <w:tcW w:w="1300" w:type="dxa"/>
            <w:vAlign w:val="bottom"/>
            <w:vMerge w:val="continue"/>
          </w:tcPr>
          <w:p>
            <w:pPr>
              <w:spacing w:after="0"/>
              <w:rPr>
                <w:sz w:val="10"/>
                <w:szCs w:val="10"/>
                <w:color w:val="auto"/>
              </w:rPr>
            </w:pPr>
          </w:p>
        </w:tc>
        <w:tc>
          <w:tcPr>
            <w:tcW w:w="9300" w:type="dxa"/>
            <w:vAlign w:val="bottom"/>
            <w:vMerge w:val="restart"/>
          </w:tcPr>
          <w:p>
            <w:pPr>
              <w:ind w:left="120"/>
              <w:spacing w:after="0"/>
              <w:rPr>
                <w:sz w:val="20"/>
                <w:szCs w:val="20"/>
                <w:color w:val="auto"/>
              </w:rPr>
            </w:pPr>
            <w:r>
              <w:rPr>
                <w:rFonts w:ascii="Arial" w:cs="Arial" w:eastAsia="Arial" w:hAnsi="Arial"/>
                <w:sz w:val="18"/>
                <w:szCs w:val="18"/>
                <w:color w:val="auto"/>
              </w:rPr>
              <w:t>Form 8-K, filed on June 17, 2014).</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9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77"/>
        </w:trPr>
        <w:tc>
          <w:tcPr>
            <w:tcW w:w="1300" w:type="dxa"/>
            <w:vAlign w:val="bottom"/>
          </w:tcPr>
          <w:p>
            <w:pPr>
              <w:spacing w:after="0"/>
              <w:rPr>
                <w:sz w:val="24"/>
                <w:szCs w:val="24"/>
                <w:color w:val="auto"/>
              </w:rPr>
            </w:pPr>
          </w:p>
        </w:tc>
        <w:tc>
          <w:tcPr>
            <w:tcW w:w="9300" w:type="dxa"/>
            <w:vAlign w:val="bottom"/>
          </w:tcPr>
          <w:p>
            <w:pPr>
              <w:ind w:left="120"/>
              <w:spacing w:after="0"/>
              <w:rPr>
                <w:sz w:val="20"/>
                <w:szCs w:val="20"/>
                <w:color w:val="auto"/>
              </w:rPr>
            </w:pPr>
            <w:r>
              <w:rPr>
                <w:rFonts w:ascii="Arial" w:cs="Arial" w:eastAsia="Arial" w:hAnsi="Arial"/>
                <w:sz w:val="18"/>
                <w:szCs w:val="18"/>
                <w:color w:val="auto"/>
                <w:w w:val="99"/>
              </w:rPr>
              <w:t>Weatherford International plc Employee Stock Purchase Plan (incorporated by reference to Annex A of Weatherford</w:t>
            </w:r>
          </w:p>
        </w:tc>
        <w:tc>
          <w:tcPr>
            <w:tcW w:w="0" w:type="dxa"/>
            <w:vAlign w:val="bottom"/>
          </w:tcPr>
          <w:p>
            <w:pPr>
              <w:spacing w:after="0"/>
              <w:rPr>
                <w:sz w:val="1"/>
                <w:szCs w:val="1"/>
                <w:color w:val="auto"/>
              </w:rPr>
            </w:pPr>
          </w:p>
        </w:tc>
      </w:tr>
      <w:tr>
        <w:trPr>
          <w:trHeight w:val="230"/>
        </w:trPr>
        <w:tc>
          <w:tcPr>
            <w:tcW w:w="1300" w:type="dxa"/>
            <w:vAlign w:val="bottom"/>
          </w:tcPr>
          <w:p>
            <w:pPr>
              <w:ind w:left="20"/>
              <w:spacing w:after="0"/>
              <w:rPr>
                <w:sz w:val="20"/>
                <w:szCs w:val="20"/>
                <w:color w:val="auto"/>
              </w:rPr>
            </w:pPr>
            <w:r>
              <w:rPr>
                <w:rFonts w:ascii="Arial" w:cs="Arial" w:eastAsia="Arial" w:hAnsi="Arial"/>
                <w:sz w:val="18"/>
                <w:szCs w:val="18"/>
                <w:color w:val="auto"/>
              </w:rPr>
              <w:t>4.2</w:t>
            </w:r>
          </w:p>
        </w:tc>
        <w:tc>
          <w:tcPr>
            <w:tcW w:w="9300" w:type="dxa"/>
            <w:vAlign w:val="bottom"/>
          </w:tcPr>
          <w:p>
            <w:pPr>
              <w:ind w:left="120"/>
              <w:spacing w:after="0"/>
              <w:rPr>
                <w:sz w:val="20"/>
                <w:szCs w:val="20"/>
                <w:color w:val="auto"/>
              </w:rPr>
            </w:pPr>
            <w:r>
              <w:rPr>
                <w:rFonts w:ascii="Arial" w:cs="Arial" w:eastAsia="Arial" w:hAnsi="Arial"/>
                <w:sz w:val="18"/>
                <w:szCs w:val="18"/>
                <w:color w:val="auto"/>
              </w:rPr>
              <w:t>International plc’s Definitive Proxy Statement on Schedule 14A, filed on April 26, 2016).</w:t>
            </w:r>
          </w:p>
        </w:tc>
        <w:tc>
          <w:tcPr>
            <w:tcW w:w="0" w:type="dxa"/>
            <w:vAlign w:val="bottom"/>
          </w:tcPr>
          <w:p>
            <w:pPr>
              <w:spacing w:after="0"/>
              <w:rPr>
                <w:sz w:val="1"/>
                <w:szCs w:val="1"/>
                <w:color w:val="auto"/>
              </w:rPr>
            </w:pPr>
          </w:p>
        </w:tc>
      </w:tr>
      <w:tr>
        <w:trPr>
          <w:trHeight w:val="392"/>
        </w:trPr>
        <w:tc>
          <w:tcPr>
            <w:tcW w:w="1300" w:type="dxa"/>
            <w:vAlign w:val="bottom"/>
            <w:vMerge w:val="restart"/>
          </w:tcPr>
          <w:p>
            <w:pPr>
              <w:ind w:left="20"/>
              <w:spacing w:after="0"/>
              <w:rPr>
                <w:sz w:val="20"/>
                <w:szCs w:val="20"/>
                <w:color w:val="auto"/>
              </w:rPr>
            </w:pPr>
            <w:r>
              <w:rPr>
                <w:rFonts w:ascii="Arial" w:cs="Arial" w:eastAsia="Arial" w:hAnsi="Arial"/>
                <w:sz w:val="18"/>
                <w:szCs w:val="18"/>
                <w:color w:val="auto"/>
              </w:rPr>
              <w:t>5.1*</w:t>
            </w:r>
          </w:p>
        </w:tc>
        <w:tc>
          <w:tcPr>
            <w:tcW w:w="9300" w:type="dxa"/>
            <w:vAlign w:val="bottom"/>
          </w:tcPr>
          <w:p>
            <w:pPr>
              <w:ind w:left="120"/>
              <w:spacing w:after="0"/>
              <w:rPr>
                <w:sz w:val="20"/>
                <w:szCs w:val="20"/>
                <w:color w:val="auto"/>
              </w:rPr>
            </w:pPr>
            <w:r>
              <w:rPr>
                <w:rFonts w:ascii="Arial" w:cs="Arial" w:eastAsia="Arial" w:hAnsi="Arial"/>
                <w:sz w:val="18"/>
                <w:szCs w:val="18"/>
                <w:color w:val="auto"/>
              </w:rPr>
              <w:t>Opinion of Matheson regarding the legality of securities being registered.</w:t>
            </w:r>
          </w:p>
        </w:tc>
        <w:tc>
          <w:tcPr>
            <w:tcW w:w="0" w:type="dxa"/>
            <w:vAlign w:val="bottom"/>
          </w:tcPr>
          <w:p>
            <w:pPr>
              <w:spacing w:after="0"/>
              <w:rPr>
                <w:sz w:val="1"/>
                <w:szCs w:val="1"/>
                <w:color w:val="auto"/>
              </w:rPr>
            </w:pPr>
          </w:p>
        </w:tc>
      </w:tr>
      <w:tr>
        <w:trPr>
          <w:trHeight w:val="108"/>
        </w:trPr>
        <w:tc>
          <w:tcPr>
            <w:tcW w:w="1300" w:type="dxa"/>
            <w:vAlign w:val="bottom"/>
            <w:vMerge w:val="continue"/>
          </w:tcPr>
          <w:p>
            <w:pPr>
              <w:spacing w:after="0"/>
              <w:rPr>
                <w:sz w:val="9"/>
                <w:szCs w:val="9"/>
                <w:color w:val="auto"/>
              </w:rPr>
            </w:pPr>
          </w:p>
        </w:tc>
        <w:tc>
          <w:tcPr>
            <w:tcW w:w="9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2"/>
        </w:trPr>
        <w:tc>
          <w:tcPr>
            <w:tcW w:w="1300" w:type="dxa"/>
            <w:vAlign w:val="bottom"/>
            <w:vMerge w:val="restart"/>
          </w:tcPr>
          <w:p>
            <w:pPr>
              <w:ind w:left="20"/>
              <w:spacing w:after="0"/>
              <w:rPr>
                <w:sz w:val="20"/>
                <w:szCs w:val="20"/>
                <w:color w:val="auto"/>
              </w:rPr>
            </w:pPr>
            <w:r>
              <w:rPr>
                <w:rFonts w:ascii="Arial" w:cs="Arial" w:eastAsia="Arial" w:hAnsi="Arial"/>
                <w:sz w:val="18"/>
                <w:szCs w:val="18"/>
                <w:color w:val="auto"/>
              </w:rPr>
              <w:t>23.1*</w:t>
            </w:r>
          </w:p>
        </w:tc>
        <w:tc>
          <w:tcPr>
            <w:tcW w:w="9300" w:type="dxa"/>
            <w:vAlign w:val="bottom"/>
          </w:tcPr>
          <w:p>
            <w:pPr>
              <w:ind w:left="120"/>
              <w:spacing w:after="0"/>
              <w:rPr>
                <w:sz w:val="20"/>
                <w:szCs w:val="20"/>
                <w:color w:val="auto"/>
              </w:rPr>
            </w:pPr>
            <w:r>
              <w:rPr>
                <w:rFonts w:ascii="Arial" w:cs="Arial" w:eastAsia="Arial" w:hAnsi="Arial"/>
                <w:sz w:val="18"/>
                <w:szCs w:val="18"/>
                <w:color w:val="auto"/>
              </w:rPr>
              <w:t>Consent of KPMG LLP.</w:t>
            </w:r>
          </w:p>
        </w:tc>
        <w:tc>
          <w:tcPr>
            <w:tcW w:w="0" w:type="dxa"/>
            <w:vAlign w:val="bottom"/>
          </w:tcPr>
          <w:p>
            <w:pPr>
              <w:spacing w:after="0"/>
              <w:rPr>
                <w:sz w:val="1"/>
                <w:szCs w:val="1"/>
                <w:color w:val="auto"/>
              </w:rPr>
            </w:pPr>
          </w:p>
        </w:tc>
      </w:tr>
      <w:tr>
        <w:trPr>
          <w:trHeight w:val="108"/>
        </w:trPr>
        <w:tc>
          <w:tcPr>
            <w:tcW w:w="1300" w:type="dxa"/>
            <w:vAlign w:val="bottom"/>
            <w:vMerge w:val="continue"/>
          </w:tcPr>
          <w:p>
            <w:pPr>
              <w:spacing w:after="0"/>
              <w:rPr>
                <w:sz w:val="9"/>
                <w:szCs w:val="9"/>
                <w:color w:val="auto"/>
              </w:rPr>
            </w:pPr>
          </w:p>
        </w:tc>
        <w:tc>
          <w:tcPr>
            <w:tcW w:w="9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2"/>
        </w:trPr>
        <w:tc>
          <w:tcPr>
            <w:tcW w:w="1300" w:type="dxa"/>
            <w:vAlign w:val="bottom"/>
          </w:tcPr>
          <w:p>
            <w:pPr>
              <w:ind w:left="20"/>
              <w:spacing w:after="0"/>
              <w:rPr>
                <w:sz w:val="20"/>
                <w:szCs w:val="20"/>
                <w:color w:val="auto"/>
              </w:rPr>
            </w:pPr>
            <w:r>
              <w:rPr>
                <w:rFonts w:ascii="Arial" w:cs="Arial" w:eastAsia="Arial" w:hAnsi="Arial"/>
                <w:sz w:val="18"/>
                <w:szCs w:val="18"/>
                <w:color w:val="auto"/>
              </w:rPr>
              <w:t>23.2*</w:t>
            </w:r>
          </w:p>
        </w:tc>
        <w:tc>
          <w:tcPr>
            <w:tcW w:w="9300" w:type="dxa"/>
            <w:vAlign w:val="bottom"/>
          </w:tcPr>
          <w:p>
            <w:pPr>
              <w:ind w:left="120"/>
              <w:spacing w:after="0"/>
              <w:rPr>
                <w:sz w:val="20"/>
                <w:szCs w:val="20"/>
                <w:color w:val="auto"/>
              </w:rPr>
            </w:pPr>
            <w:r>
              <w:rPr>
                <w:rFonts w:ascii="Arial" w:cs="Arial" w:eastAsia="Arial" w:hAnsi="Arial"/>
                <w:sz w:val="18"/>
                <w:szCs w:val="18"/>
                <w:color w:val="auto"/>
              </w:rPr>
              <w:t>Consent of Matheson (included in Exhibit 5.1).</w:t>
            </w:r>
          </w:p>
        </w:tc>
        <w:tc>
          <w:tcPr>
            <w:tcW w:w="0" w:type="dxa"/>
            <w:vAlign w:val="bottom"/>
          </w:tcPr>
          <w:p>
            <w:pPr>
              <w:spacing w:after="0"/>
              <w:rPr>
                <w:sz w:val="1"/>
                <w:szCs w:val="1"/>
                <w:color w:val="auto"/>
              </w:rPr>
            </w:pPr>
          </w:p>
        </w:tc>
      </w:tr>
      <w:tr>
        <w:trPr>
          <w:trHeight w:val="500"/>
        </w:trPr>
        <w:tc>
          <w:tcPr>
            <w:tcW w:w="1300" w:type="dxa"/>
            <w:vAlign w:val="bottom"/>
          </w:tcPr>
          <w:p>
            <w:pPr>
              <w:ind w:left="20"/>
              <w:spacing w:after="0"/>
              <w:rPr>
                <w:sz w:val="20"/>
                <w:szCs w:val="20"/>
                <w:color w:val="auto"/>
              </w:rPr>
            </w:pPr>
            <w:r>
              <w:rPr>
                <w:rFonts w:ascii="Arial" w:cs="Arial" w:eastAsia="Arial" w:hAnsi="Arial"/>
                <w:sz w:val="18"/>
                <w:szCs w:val="18"/>
                <w:color w:val="auto"/>
              </w:rPr>
              <w:t>24.1*</w:t>
            </w:r>
          </w:p>
        </w:tc>
        <w:tc>
          <w:tcPr>
            <w:tcW w:w="9300" w:type="dxa"/>
            <w:vAlign w:val="bottom"/>
          </w:tcPr>
          <w:p>
            <w:pPr>
              <w:ind w:left="120"/>
              <w:spacing w:after="0"/>
              <w:rPr>
                <w:sz w:val="20"/>
                <w:szCs w:val="20"/>
                <w:color w:val="auto"/>
              </w:rPr>
            </w:pPr>
            <w:r>
              <w:rPr>
                <w:rFonts w:ascii="Arial" w:cs="Arial" w:eastAsia="Arial" w:hAnsi="Arial"/>
                <w:sz w:val="18"/>
                <w:szCs w:val="18"/>
                <w:color w:val="auto"/>
              </w:rPr>
              <w:t>Power of Attorney (included on the signature page to this Registration Statement).</w:t>
            </w:r>
          </w:p>
        </w:tc>
        <w:tc>
          <w:tcPr>
            <w:tcW w:w="0" w:type="dxa"/>
            <w:vAlign w:val="bottom"/>
          </w:tcPr>
          <w:p>
            <w:pPr>
              <w:spacing w:after="0"/>
              <w:rPr>
                <w:sz w:val="1"/>
                <w:szCs w:val="1"/>
                <w:color w:val="auto"/>
              </w:rPr>
            </w:pPr>
          </w:p>
        </w:tc>
      </w:tr>
      <w:tr>
        <w:trPr>
          <w:trHeight w:val="257"/>
        </w:trPr>
        <w:tc>
          <w:tcPr>
            <w:tcW w:w="1300" w:type="dxa"/>
            <w:vAlign w:val="bottom"/>
            <w:tcBorders>
              <w:bottom w:val="single" w:sz="8" w:color="auto"/>
            </w:tcBorders>
          </w:tcPr>
          <w:p>
            <w:pPr>
              <w:spacing w:after="0"/>
              <w:rPr>
                <w:sz w:val="22"/>
                <w:szCs w:val="22"/>
                <w:color w:val="auto"/>
              </w:rPr>
            </w:pPr>
          </w:p>
        </w:tc>
        <w:tc>
          <w:tcPr>
            <w:tcW w:w="93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00" w:type="dxa"/>
            <w:vAlign w:val="bottom"/>
          </w:tcPr>
          <w:p>
            <w:pPr>
              <w:ind w:left="20"/>
              <w:spacing w:after="0"/>
              <w:rPr>
                <w:sz w:val="20"/>
                <w:szCs w:val="20"/>
                <w:color w:val="auto"/>
              </w:rPr>
            </w:pPr>
            <w:r>
              <w:rPr>
                <w:rFonts w:ascii="Arial" w:cs="Arial" w:eastAsia="Arial" w:hAnsi="Arial"/>
                <w:sz w:val="18"/>
                <w:szCs w:val="18"/>
                <w:color w:val="auto"/>
              </w:rPr>
              <w:t>*Filed herewith.</w:t>
            </w:r>
          </w:p>
        </w:tc>
        <w:tc>
          <w:tcPr>
            <w:tcW w:w="9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0600"/>
          </w:cols>
          <w:pgMar w:left="660" w:top="580" w:right="6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309245</wp:posOffset>
            </wp:positionV>
            <wp:extent cx="2967355" cy="10464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67355" cy="1046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Weatherford International plc</w:t>
      </w:r>
    </w:p>
    <w:p>
      <w:pPr>
        <w:ind w:left="40"/>
        <w:spacing w:after="0" w:line="234" w:lineRule="auto"/>
        <w:rPr>
          <w:sz w:val="20"/>
          <w:szCs w:val="20"/>
          <w:color w:val="auto"/>
        </w:rPr>
      </w:pPr>
      <w:r>
        <w:rPr>
          <w:rFonts w:ascii="Arial" w:cs="Arial" w:eastAsia="Arial" w:hAnsi="Arial"/>
          <w:sz w:val="18"/>
          <w:szCs w:val="18"/>
          <w:color w:val="auto"/>
        </w:rPr>
        <w:t>Banhofstrasse 1</w:t>
      </w:r>
    </w:p>
    <w:p>
      <w:pPr>
        <w:ind w:left="40"/>
        <w:spacing w:after="0" w:line="235" w:lineRule="auto"/>
        <w:rPr>
          <w:sz w:val="20"/>
          <w:szCs w:val="20"/>
          <w:color w:val="auto"/>
        </w:rPr>
      </w:pPr>
      <w:r>
        <w:rPr>
          <w:rFonts w:ascii="Arial" w:cs="Arial" w:eastAsia="Arial" w:hAnsi="Arial"/>
          <w:sz w:val="18"/>
          <w:szCs w:val="18"/>
          <w:color w:val="auto"/>
        </w:rPr>
        <w:t>6340 Baar</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Switzerland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tabs>
          <w:tab w:leader="none" w:pos="3900" w:val="left"/>
          <w:tab w:leader="none" w:pos="10280" w:val="left"/>
        </w:tabs>
        <w:rPr>
          <w:sz w:val="20"/>
          <w:szCs w:val="20"/>
          <w:color w:val="auto"/>
        </w:rPr>
      </w:pPr>
      <w:r>
        <w:rPr>
          <w:rFonts w:ascii="Arial" w:cs="Arial" w:eastAsia="Arial" w:hAnsi="Arial"/>
          <w:sz w:val="14"/>
          <w:szCs w:val="14"/>
          <w:color w:val="auto"/>
        </w:rPr>
        <w:t>Our Ref</w:t>
      </w:r>
      <w:r>
        <w:rPr>
          <w:sz w:val="20"/>
          <w:szCs w:val="20"/>
          <w:color w:val="auto"/>
        </w:rPr>
        <w:tab/>
      </w:r>
      <w:r>
        <w:rPr>
          <w:rFonts w:ascii="Arial" w:cs="Arial" w:eastAsia="Arial" w:hAnsi="Arial"/>
          <w:sz w:val="14"/>
          <w:szCs w:val="14"/>
          <w:color w:val="auto"/>
        </w:rPr>
        <w:t>Your Ref</w:t>
      </w:r>
      <w:r>
        <w:rPr>
          <w:sz w:val="20"/>
          <w:szCs w:val="20"/>
          <w:color w:val="auto"/>
        </w:rPr>
        <w:tab/>
      </w:r>
      <w:r>
        <w:rPr>
          <w:rFonts w:ascii="Arial" w:cs="Arial" w:eastAsia="Arial" w:hAnsi="Arial"/>
          <w:sz w:val="18"/>
          <w:szCs w:val="18"/>
          <w:color w:val="auto"/>
        </w:rPr>
        <w:t>17 June 2016</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FBO 661725.13</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Weatherford International public limited company</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Registration Statement on Form S-8</w:t>
      </w:r>
    </w:p>
    <w:p>
      <w:pPr>
        <w:spacing w:after="0" w:line="259" w:lineRule="exact"/>
        <w:rPr>
          <w:sz w:val="20"/>
          <w:szCs w:val="20"/>
          <w:color w:val="auto"/>
        </w:rPr>
      </w:pPr>
    </w:p>
    <w:p>
      <w:pPr>
        <w:jc w:val="both"/>
        <w:spacing w:after="0" w:line="299" w:lineRule="auto"/>
        <w:rPr>
          <w:sz w:val="20"/>
          <w:szCs w:val="20"/>
          <w:color w:val="auto"/>
        </w:rPr>
      </w:pPr>
      <w:r>
        <w:rPr>
          <w:rFonts w:ascii="Arial" w:cs="Arial" w:eastAsia="Arial" w:hAnsi="Arial"/>
          <w:sz w:val="18"/>
          <w:szCs w:val="18"/>
          <w:color w:val="auto"/>
        </w:rPr>
        <w:t>We have acted on behalf of Weatherford International public limited company, a public limited company incorporated under the laws of Ireland with company number 540406 (the “</w:t>
      </w:r>
      <w:r>
        <w:rPr>
          <w:rFonts w:ascii="Arial" w:cs="Arial" w:eastAsia="Arial" w:hAnsi="Arial"/>
          <w:sz w:val="18"/>
          <w:szCs w:val="18"/>
          <w:b w:val="1"/>
          <w:bCs w:val="1"/>
          <w:color w:val="auto"/>
        </w:rPr>
        <w:t>Company</w:t>
      </w:r>
      <w:r>
        <w:rPr>
          <w:rFonts w:ascii="Arial" w:cs="Arial" w:eastAsia="Arial" w:hAnsi="Arial"/>
          <w:sz w:val="18"/>
          <w:szCs w:val="18"/>
          <w:color w:val="auto"/>
        </w:rPr>
        <w:t>”) in connection with the registration statement on Form S-8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to be filed by the Company, pursuant to the Securities Act of 1933 of the United States of America,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with the Securities and Exchange Commission of the United States of America (the “</w:t>
      </w:r>
      <w:r>
        <w:rPr>
          <w:rFonts w:ascii="Arial" w:cs="Arial" w:eastAsia="Arial" w:hAnsi="Arial"/>
          <w:sz w:val="18"/>
          <w:szCs w:val="18"/>
          <w:b w:val="1"/>
          <w:bCs w:val="1"/>
          <w:color w:val="auto"/>
        </w:rPr>
        <w:t>SEC</w:t>
      </w:r>
      <w:r>
        <w:rPr>
          <w:rFonts w:ascii="Arial" w:cs="Arial" w:eastAsia="Arial" w:hAnsi="Arial"/>
          <w:sz w:val="18"/>
          <w:szCs w:val="18"/>
          <w:color w:val="auto"/>
        </w:rPr>
        <w:t>”) with respect to the registration by the Company of 12,000,000 ordinary shares (nominal value of US$0.001 per share) (the “</w:t>
      </w:r>
      <w:r>
        <w:rPr>
          <w:rFonts w:ascii="Arial" w:cs="Arial" w:eastAsia="Arial" w:hAnsi="Arial"/>
          <w:sz w:val="18"/>
          <w:szCs w:val="18"/>
          <w:b w:val="1"/>
          <w:bCs w:val="1"/>
          <w:color w:val="auto"/>
        </w:rPr>
        <w:t>Shares</w:t>
      </w:r>
      <w:r>
        <w:rPr>
          <w:rFonts w:ascii="Arial" w:cs="Arial" w:eastAsia="Arial" w:hAnsi="Arial"/>
          <w:sz w:val="18"/>
          <w:szCs w:val="18"/>
          <w:color w:val="auto"/>
        </w:rPr>
        <w:t>”) which may be issued and delivered under the Weatherford International plc Employee Stock Purchase Plan (the “</w:t>
      </w:r>
      <w:r>
        <w:rPr>
          <w:rFonts w:ascii="Arial" w:cs="Arial" w:eastAsia="Arial" w:hAnsi="Arial"/>
          <w:sz w:val="18"/>
          <w:szCs w:val="18"/>
          <w:b w:val="1"/>
          <w:bCs w:val="1"/>
          <w:color w:val="auto"/>
        </w:rPr>
        <w:t>Plan</w:t>
      </w:r>
      <w:r>
        <w:rPr>
          <w:rFonts w:ascii="Arial" w:cs="Arial" w:eastAsia="Arial" w:hAnsi="Arial"/>
          <w:sz w:val="18"/>
          <w:szCs w:val="18"/>
          <w:color w:val="auto"/>
        </w:rPr>
        <w:t>”) which was approved by the board of directors of the Company on 18 March 2016 and by the Company’s shareholders on 15 June 2016.</w:t>
      </w:r>
    </w:p>
    <w:p>
      <w:pPr>
        <w:spacing w:after="0" w:line="180" w:lineRule="exact"/>
        <w:rPr>
          <w:sz w:val="20"/>
          <w:szCs w:val="20"/>
          <w:color w:val="auto"/>
        </w:rPr>
      </w:pPr>
    </w:p>
    <w:p>
      <w:pPr>
        <w:ind w:left="620" w:hanging="612"/>
        <w:spacing w:after="0"/>
        <w:tabs>
          <w:tab w:leader="none" w:pos="620" w:val="left"/>
        </w:tabs>
        <w:numPr>
          <w:ilvl w:val="0"/>
          <w:numId w:val="7"/>
        </w:numPr>
        <w:rPr>
          <w:rFonts w:ascii="Arial" w:cs="Arial" w:eastAsia="Arial" w:hAnsi="Arial"/>
          <w:sz w:val="20"/>
          <w:szCs w:val="20"/>
          <w:color w:val="auto"/>
        </w:rPr>
      </w:pPr>
      <w:r>
        <w:rPr>
          <w:rFonts w:ascii="Arial" w:cs="Arial" w:eastAsia="Arial" w:hAnsi="Arial"/>
          <w:sz w:val="20"/>
          <w:szCs w:val="20"/>
          <w:b w:val="1"/>
          <w:bCs w:val="1"/>
          <w:color w:val="auto"/>
        </w:rPr>
        <w:t>Scope of appointment and basis of opinion</w:t>
      </w:r>
    </w:p>
    <w:p>
      <w:pPr>
        <w:spacing w:after="0" w:line="29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We have been requested by the Company to provide this opinion.</w:t>
      </w:r>
    </w:p>
    <w:p>
      <w:pPr>
        <w:spacing w:after="0" w:line="26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For the purpose of giving this opinion, we have examined:</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(a)the final form of the Registration Statement to be filed by the Company with the SEC;</w:t>
      </w:r>
    </w:p>
    <w:p>
      <w:pPr>
        <w:spacing w:after="0" w:line="266" w:lineRule="exact"/>
        <w:rPr>
          <w:sz w:val="20"/>
          <w:szCs w:val="20"/>
          <w:color w:val="auto"/>
        </w:rPr>
      </w:pPr>
    </w:p>
    <w:p>
      <w:pPr>
        <w:ind w:left="1400" w:right="20" w:hanging="751"/>
        <w:spacing w:after="0" w:line="309" w:lineRule="auto"/>
        <w:rPr>
          <w:sz w:val="20"/>
          <w:szCs w:val="20"/>
          <w:color w:val="auto"/>
        </w:rPr>
      </w:pPr>
      <w:r>
        <w:rPr>
          <w:rFonts w:ascii="Arial" w:cs="Arial" w:eastAsia="Arial" w:hAnsi="Arial"/>
          <w:sz w:val="18"/>
          <w:szCs w:val="18"/>
          <w:color w:val="auto"/>
        </w:rPr>
        <w:t>(b)a copy of the Memorandum and Articles of Association of the Company (as set out in Exhibit 3.1 to the Company’s Current Report on Form 8-K filed with the SEC on 17 June 2014);</w:t>
      </w:r>
    </w:p>
    <w:p>
      <w:pPr>
        <w:spacing w:after="0" w:line="196" w:lineRule="exact"/>
        <w:rPr>
          <w:sz w:val="20"/>
          <w:szCs w:val="20"/>
          <w:color w:val="auto"/>
        </w:rPr>
      </w:pPr>
    </w:p>
    <w:p>
      <w:pPr>
        <w:ind w:left="1400" w:hanging="737"/>
        <w:spacing w:after="0" w:line="309" w:lineRule="auto"/>
        <w:rPr>
          <w:sz w:val="20"/>
          <w:szCs w:val="20"/>
          <w:color w:val="auto"/>
        </w:rPr>
      </w:pPr>
      <w:r>
        <w:rPr>
          <w:rFonts w:ascii="Arial" w:cs="Arial" w:eastAsia="Arial" w:hAnsi="Arial"/>
          <w:sz w:val="18"/>
          <w:szCs w:val="18"/>
          <w:color w:val="auto"/>
        </w:rPr>
        <w:t>(c)a copy of the Plan (as set out in Annex A of the Company’s Definitive Proxy Statement on Schedule 14A filed with the SEC on 26 April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5659755" cy="5314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9755" cy="531495"/>
                    </a:xfrm>
                    <a:prstGeom prst="rect">
                      <a:avLst/>
                    </a:prstGeom>
                    <a:noFill/>
                  </pic:spPr>
                </pic:pic>
              </a:graphicData>
            </a:graphic>
          </wp:anchor>
        </w:drawing>
      </w:r>
    </w:p>
    <w:p>
      <w:pPr>
        <w:sectPr>
          <w:pgSz w:w="11900" w:h="16838" w:orient="portrait"/>
          <w:cols w:equalWidth="0" w:num="1">
            <w:col w:w="11420"/>
          </w:cols>
          <w:pgMar w:left="240" w:top="985" w:right="239" w:bottom="1440" w:gutter="0" w:footer="0" w:header="0"/>
        </w:sectPr>
      </w:pPr>
    </w:p>
    <w:bookmarkStart w:id="8" w:name="page9"/>
    <w:bookmarkEnd w:id="8"/>
    <w:p>
      <w:pPr>
        <w:jc w:val="both"/>
        <w:ind w:left="1400" w:hanging="751"/>
        <w:spacing w:after="0" w:line="30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6117590</wp:posOffset>
            </wp:positionH>
            <wp:positionV relativeFrom="page">
              <wp:posOffset>88900</wp:posOffset>
            </wp:positionV>
            <wp:extent cx="1286510" cy="1885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286510" cy="188595"/>
                    </a:xfrm>
                    <a:prstGeom prst="rect">
                      <a:avLst/>
                    </a:prstGeom>
                    <a:noFill/>
                  </pic:spPr>
                </pic:pic>
              </a:graphicData>
            </a:graphic>
          </wp:anchor>
        </w:drawing>
        <w:t>(d)copy extract of resolutions of the board of directors’ of the Company passed on 18 March 2016, certified by the secretary to be a true and complete copy of same;</w:t>
      </w:r>
    </w:p>
    <w:p>
      <w:pPr>
        <w:spacing w:after="0" w:line="196" w:lineRule="exact"/>
        <w:rPr>
          <w:sz w:val="20"/>
          <w:szCs w:val="20"/>
          <w:color w:val="auto"/>
        </w:rPr>
      </w:pPr>
    </w:p>
    <w:p>
      <w:pPr>
        <w:jc w:val="both"/>
        <w:ind w:left="1400" w:hanging="751"/>
        <w:spacing w:after="0" w:line="309" w:lineRule="auto"/>
        <w:rPr>
          <w:sz w:val="20"/>
          <w:szCs w:val="20"/>
          <w:color w:val="auto"/>
        </w:rPr>
      </w:pPr>
      <w:r>
        <w:rPr>
          <w:rFonts w:ascii="Arial" w:cs="Arial" w:eastAsia="Arial" w:hAnsi="Arial"/>
          <w:sz w:val="18"/>
          <w:szCs w:val="18"/>
          <w:color w:val="auto"/>
        </w:rPr>
        <w:t>(e)copy extract of a resolution of the shareholders of Company passed at the annual general meeting of the Company held on 15 June 2016 (the “</w:t>
      </w:r>
      <w:r>
        <w:rPr>
          <w:rFonts w:ascii="Arial" w:cs="Arial" w:eastAsia="Arial" w:hAnsi="Arial"/>
          <w:sz w:val="18"/>
          <w:szCs w:val="18"/>
          <w:b w:val="1"/>
          <w:bCs w:val="1"/>
          <w:color w:val="auto"/>
        </w:rPr>
        <w:t>AGM</w:t>
      </w:r>
      <w:r>
        <w:rPr>
          <w:rFonts w:ascii="Arial" w:cs="Arial" w:eastAsia="Arial" w:hAnsi="Arial"/>
          <w:sz w:val="18"/>
          <w:szCs w:val="18"/>
          <w:color w:val="auto"/>
        </w:rPr>
        <w:t>”), certified by the secretary to be a true and complete copy of same;</w:t>
      </w:r>
    </w:p>
    <w:p>
      <w:pPr>
        <w:spacing w:after="0" w:line="174" w:lineRule="exact"/>
        <w:rPr>
          <w:sz w:val="20"/>
          <w:szCs w:val="20"/>
          <w:color w:val="auto"/>
        </w:rPr>
      </w:pPr>
    </w:p>
    <w:p>
      <w:pPr>
        <w:jc w:val="both"/>
        <w:ind w:left="1360" w:right="20" w:hanging="697"/>
        <w:spacing w:after="0" w:line="334" w:lineRule="auto"/>
        <w:rPr>
          <w:sz w:val="20"/>
          <w:szCs w:val="20"/>
          <w:color w:val="auto"/>
        </w:rPr>
      </w:pPr>
      <w:r>
        <w:rPr>
          <w:rFonts w:ascii="Arial" w:cs="Arial" w:eastAsia="Arial" w:hAnsi="Arial"/>
          <w:sz w:val="18"/>
          <w:szCs w:val="18"/>
          <w:color w:val="auto"/>
        </w:rPr>
        <w:t>(f)a certificate of the assistant secretary of the Company (the “</w:t>
      </w:r>
      <w:r>
        <w:rPr>
          <w:rFonts w:ascii="Arial" w:cs="Arial" w:eastAsia="Arial" w:hAnsi="Arial"/>
          <w:sz w:val="18"/>
          <w:szCs w:val="18"/>
          <w:b w:val="1"/>
          <w:bCs w:val="1"/>
          <w:color w:val="auto"/>
        </w:rPr>
        <w:t>Certificate</w:t>
      </w:r>
      <w:r>
        <w:rPr>
          <w:rFonts w:ascii="Arial" w:cs="Arial" w:eastAsia="Arial" w:hAnsi="Arial"/>
          <w:sz w:val="18"/>
          <w:szCs w:val="18"/>
          <w:color w:val="auto"/>
        </w:rPr>
        <w:t>”), certifying the matters referred to in the preceding sub-paragraphs (d) and (e); and</w:t>
      </w:r>
    </w:p>
    <w:p>
      <w:pPr>
        <w:spacing w:after="0" w:line="175" w:lineRule="exact"/>
        <w:rPr>
          <w:sz w:val="20"/>
          <w:szCs w:val="20"/>
          <w:color w:val="auto"/>
        </w:rPr>
      </w:pPr>
    </w:p>
    <w:p>
      <w:pPr>
        <w:jc w:val="both"/>
        <w:ind w:left="1400" w:hanging="751"/>
        <w:spacing w:after="0" w:line="303" w:lineRule="auto"/>
        <w:rPr>
          <w:sz w:val="20"/>
          <w:szCs w:val="20"/>
          <w:color w:val="auto"/>
        </w:rPr>
      </w:pPr>
      <w:r>
        <w:rPr>
          <w:rFonts w:ascii="Arial" w:cs="Arial" w:eastAsia="Arial" w:hAnsi="Arial"/>
          <w:sz w:val="18"/>
          <w:szCs w:val="18"/>
          <w:color w:val="auto"/>
        </w:rPr>
        <w:t>(g)a facsimile copy of the results of searches made on 17 June 2016 at the Irish Companies Registration Office, in the Register of Winding Up Petitions at the Central Office of the High Court of Ireland and at the Judgments’ Office in the Central Office of the High Court of Ireland against the Company (together the “</w:t>
      </w:r>
      <w:r>
        <w:rPr>
          <w:rFonts w:ascii="Arial" w:cs="Arial" w:eastAsia="Arial" w:hAnsi="Arial"/>
          <w:sz w:val="18"/>
          <w:szCs w:val="18"/>
          <w:b w:val="1"/>
          <w:bCs w:val="1"/>
          <w:color w:val="auto"/>
        </w:rPr>
        <w:t>Searches</w:t>
      </w:r>
      <w:r>
        <w:rPr>
          <w:rFonts w:ascii="Arial" w:cs="Arial" w:eastAsia="Arial" w:hAnsi="Arial"/>
          <w:sz w:val="18"/>
          <w:szCs w:val="18"/>
          <w:color w:val="auto"/>
        </w:rPr>
        <w:t>”).</w:t>
      </w:r>
    </w:p>
    <w:p>
      <w:pPr>
        <w:spacing w:after="0" w:line="202" w:lineRule="exact"/>
        <w:rPr>
          <w:sz w:val="20"/>
          <w:szCs w:val="20"/>
          <w:color w:val="auto"/>
        </w:rPr>
      </w:pPr>
    </w:p>
    <w:p>
      <w:pPr>
        <w:jc w:val="both"/>
        <w:ind w:left="620" w:hanging="620"/>
        <w:spacing w:after="0" w:line="303" w:lineRule="auto"/>
        <w:tabs>
          <w:tab w:leader="none" w:pos="60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We have made no searches or enquiries concerning, and we have not examined any contracts, instruments or documents entered into by or affecting the Company or any other person, or any corporate records of the aforesaid, save for those searches, enquiries, contracts, instruments, documents or corporate records specified as being made or examined in this opinion.</w:t>
      </w:r>
    </w:p>
    <w:p>
      <w:pPr>
        <w:spacing w:after="0" w:line="202" w:lineRule="exact"/>
        <w:rPr>
          <w:sz w:val="20"/>
          <w:szCs w:val="20"/>
          <w:color w:val="auto"/>
        </w:rPr>
      </w:pPr>
    </w:p>
    <w:p>
      <w:pPr>
        <w:jc w:val="both"/>
        <w:ind w:left="620" w:hanging="620"/>
        <w:spacing w:after="0" w:line="301" w:lineRule="auto"/>
        <w:tabs>
          <w:tab w:leader="none" w:pos="60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We express no opinion and make no representation or warranty as to any matter of fact. Furthermore, we have not been responsible for the investigation or verification of the facts or the reasonableness of any assumption or statements of opinion contained or represented by the Company in the Registration Statement or the Plan nor have we attempted to determine whether any material facts have been omitted therefrom.</w:t>
      </w:r>
    </w:p>
    <w:p>
      <w:pPr>
        <w:spacing w:after="0" w:line="204" w:lineRule="exact"/>
        <w:rPr>
          <w:sz w:val="20"/>
          <w:szCs w:val="20"/>
          <w:color w:val="auto"/>
        </w:rPr>
      </w:pPr>
    </w:p>
    <w:p>
      <w:pPr>
        <w:jc w:val="both"/>
        <w:ind w:left="620" w:hanging="620"/>
        <w:spacing w:after="0" w:line="303" w:lineRule="auto"/>
        <w:tabs>
          <w:tab w:leader="none" w:pos="60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color w:val="auto"/>
        </w:rPr>
        <w:t>We have not investigated the laws of any country other than Ireland and this opinion is given only with respect to the laws of Ireland in effect at the date of this opinion. We have assumed, without enquiry, that there is nothing in the laws of any other jurisdiction which would or might affect the opinions as stated herein.</w:t>
      </w:r>
    </w:p>
    <w:p>
      <w:pPr>
        <w:spacing w:after="0" w:line="188" w:lineRule="exact"/>
        <w:rPr>
          <w:sz w:val="20"/>
          <w:szCs w:val="20"/>
          <w:color w:val="auto"/>
        </w:rPr>
      </w:pPr>
    </w:p>
    <w:p>
      <w:pPr>
        <w:jc w:val="both"/>
        <w:ind w:left="620" w:hanging="620"/>
        <w:spacing w:after="0" w:line="311" w:lineRule="auto"/>
        <w:tabs>
          <w:tab w:leader="none" w:pos="60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color w:val="auto"/>
        </w:rPr>
        <w:t>This opinion is to be construed in accordance with, and governed by, the laws of Ireland, and is given solely on the basis that any issues of interpretation or liability arising hereunder may only be brought before the Irish courts, which will have exclusive jurisdiction in respect of such matters.</w:t>
      </w:r>
    </w:p>
    <w:p>
      <w:pPr>
        <w:spacing w:after="0" w:line="195" w:lineRule="exact"/>
        <w:rPr>
          <w:sz w:val="20"/>
          <w:szCs w:val="20"/>
          <w:color w:val="auto"/>
        </w:rPr>
      </w:pPr>
    </w:p>
    <w:p>
      <w:pPr>
        <w:jc w:val="both"/>
        <w:ind w:left="620" w:hanging="620"/>
        <w:spacing w:after="0" w:line="299" w:lineRule="auto"/>
        <w:tabs>
          <w:tab w:leader="none" w:pos="60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8"/>
          <w:szCs w:val="18"/>
          <w:color w:val="auto"/>
        </w:rPr>
        <w:t>This opinion is delivered in connection with the filing of the Registration Statement with the SEC and is strictly limited to the matters stated herein and does not extend to, and is not to be read as extending by implication to, any other matter. We hereby consent to the filing of this opinion as an exhibit to the Registration Statement and to the use of our name therein. In giving this consent, we do not hereby admit that we come within the category of persons whose consent is required under section 7 of the Securities Act or the rules and regulations of the SEC promulgated thereunder. This opinion is furnished to you and the persons entitled to rely upon it pursuant to the applicable provisions of the Securities Act for use in connection with the filing of the Registration Statement and is not to be use, circulated, quoted or otherwise referred to for any other purpose without our express written consent.</w:t>
      </w:r>
    </w:p>
    <w:p>
      <w:pPr>
        <w:spacing w:after="0" w:line="207"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7"/>
          <w:szCs w:val="17"/>
          <w:color w:val="auto"/>
        </w:rPr>
        <w:t>We assume no obligation to update the opinions set forth in this letter.</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38083284.2</w:t>
      </w:r>
    </w:p>
    <w:p>
      <w:pPr>
        <w:sectPr>
          <w:pgSz w:w="11900" w:h="16838" w:orient="portrait"/>
          <w:cols w:equalWidth="0" w:num="1">
            <w:col w:w="11420"/>
          </w:cols>
          <w:pgMar w:left="240" w:top="706" w:right="239" w:bottom="1440" w:gutter="0" w:footer="0" w:header="0"/>
        </w:sectPr>
      </w:pPr>
    </w:p>
    <w:bookmarkStart w:id="9" w:name="page10"/>
    <w:bookmarkEnd w:id="9"/>
    <w:p>
      <w:pPr>
        <w:ind w:left="620" w:hanging="612"/>
        <w:spacing w:after="0"/>
        <w:tabs>
          <w:tab w:leader="none" w:pos="620" w:val="left"/>
        </w:tabs>
        <w:numPr>
          <w:ilvl w:val="0"/>
          <w:numId w:val="8"/>
        </w:numPr>
        <w:rPr>
          <w:rFonts w:ascii="Arial" w:cs="Arial" w:eastAsia="Arial" w:hAnsi="Arial"/>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6117590</wp:posOffset>
            </wp:positionH>
            <wp:positionV relativeFrom="page">
              <wp:posOffset>88900</wp:posOffset>
            </wp:positionV>
            <wp:extent cx="1286510" cy="188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286510" cy="188595"/>
                    </a:xfrm>
                    <a:prstGeom prst="rect">
                      <a:avLst/>
                    </a:prstGeom>
                    <a:noFill/>
                  </pic:spPr>
                </pic:pic>
              </a:graphicData>
            </a:graphic>
          </wp:anchor>
        </w:drawing>
        <w:t>Assumptions</w:t>
      </w:r>
    </w:p>
    <w:p>
      <w:pPr>
        <w:spacing w:after="0" w:line="296" w:lineRule="exact"/>
        <w:rPr>
          <w:rFonts w:ascii="Arial" w:cs="Arial" w:eastAsia="Arial" w:hAnsi="Arial"/>
          <w:sz w:val="20"/>
          <w:szCs w:val="20"/>
          <w:color w:val="auto"/>
        </w:rPr>
      </w:pPr>
    </w:p>
    <w:p>
      <w:pPr>
        <w:ind w:left="620"/>
        <w:spacing w:after="0"/>
        <w:rPr>
          <w:rFonts w:ascii="Arial" w:cs="Arial" w:eastAsia="Arial" w:hAnsi="Arial"/>
          <w:sz w:val="20"/>
          <w:szCs w:val="20"/>
          <w:color w:val="auto"/>
        </w:rPr>
      </w:pPr>
      <w:r>
        <w:rPr>
          <w:rFonts w:ascii="Arial" w:cs="Arial" w:eastAsia="Arial" w:hAnsi="Arial"/>
          <w:sz w:val="18"/>
          <w:szCs w:val="18"/>
          <w:color w:val="auto"/>
        </w:rPr>
        <w:t>For the purpose of giving this opinion we have assumed:</w:t>
      </w:r>
    </w:p>
    <w:p>
      <w:pPr>
        <w:spacing w:after="0" w:line="265" w:lineRule="exact"/>
        <w:rPr>
          <w:rFonts w:ascii="Arial" w:cs="Arial" w:eastAsia="Arial" w:hAnsi="Arial"/>
          <w:sz w:val="20"/>
          <w:szCs w:val="20"/>
          <w:color w:val="auto"/>
        </w:rPr>
      </w:pPr>
    </w:p>
    <w:p>
      <w:pPr>
        <w:ind w:left="1260" w:hanging="604"/>
        <w:spacing w:after="0"/>
        <w:tabs>
          <w:tab w:leader="none" w:pos="126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authenticity and completeness of all documents submitted to us as originals;</w:t>
      </w:r>
    </w:p>
    <w:p>
      <w:pPr>
        <w:spacing w:after="0" w:line="265" w:lineRule="exact"/>
        <w:rPr>
          <w:rFonts w:ascii="Arial" w:cs="Arial" w:eastAsia="Arial" w:hAnsi="Arial"/>
          <w:sz w:val="18"/>
          <w:szCs w:val="18"/>
          <w:color w:val="auto"/>
        </w:rPr>
      </w:pPr>
    </w:p>
    <w:p>
      <w:pPr>
        <w:ind w:left="1280" w:hanging="624"/>
        <w:spacing w:after="0" w:line="309" w:lineRule="auto"/>
        <w:tabs>
          <w:tab w:leader="none" w:pos="1262"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completeness and conformity to originals of all documents supplied to us as certified, conformed or photostatic copies or received by us by facsimile or email transmission and the authenticity and completeness of the originals of such documents;</w:t>
      </w:r>
    </w:p>
    <w:p>
      <w:pPr>
        <w:spacing w:after="0" w:line="196" w:lineRule="exact"/>
        <w:rPr>
          <w:rFonts w:ascii="Arial" w:cs="Arial" w:eastAsia="Arial" w:hAnsi="Arial"/>
          <w:sz w:val="18"/>
          <w:szCs w:val="18"/>
          <w:color w:val="auto"/>
        </w:rPr>
      </w:pPr>
    </w:p>
    <w:p>
      <w:pPr>
        <w:ind w:left="1260" w:hanging="604"/>
        <w:spacing w:after="0"/>
        <w:tabs>
          <w:tab w:leader="none" w:pos="126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genuineness of the signatures and seals on all original and copy documents which we have examined;</w:t>
      </w:r>
    </w:p>
    <w:p>
      <w:pPr>
        <w:spacing w:after="0" w:line="265" w:lineRule="exact"/>
        <w:rPr>
          <w:rFonts w:ascii="Arial" w:cs="Arial" w:eastAsia="Arial" w:hAnsi="Arial"/>
          <w:sz w:val="18"/>
          <w:szCs w:val="18"/>
          <w:color w:val="auto"/>
        </w:rPr>
      </w:pPr>
    </w:p>
    <w:p>
      <w:pPr>
        <w:jc w:val="both"/>
        <w:ind w:left="1280" w:right="20" w:hanging="624"/>
        <w:spacing w:after="0" w:line="303" w:lineRule="auto"/>
        <w:tabs>
          <w:tab w:leader="none" w:pos="1262" w:val="left"/>
        </w:tabs>
        <w:numPr>
          <w:ilvl w:val="1"/>
          <w:numId w:val="8"/>
        </w:numPr>
        <w:rPr>
          <w:rFonts w:ascii="Arial" w:cs="Arial" w:eastAsia="Arial" w:hAnsi="Arial"/>
          <w:sz w:val="18"/>
          <w:szCs w:val="18"/>
          <w:color w:val="auto"/>
        </w:rPr>
      </w:pPr>
      <w:r>
        <w:rPr>
          <w:rFonts w:ascii="Arial" w:cs="Arial" w:eastAsia="Arial" w:hAnsi="Arial"/>
          <w:sz w:val="18"/>
          <w:szCs w:val="18"/>
          <w:color w:val="auto"/>
        </w:rPr>
        <w:t>that the resolutions passed by the board of directors of the Company described in the extracts referred to above, and examined for the purposes of this opinion, were passed at meetings of the said board of directors, those meetings were properly convened, constituted and held and that the said resolutions have not since been amended or rescinded;</w:t>
      </w:r>
    </w:p>
    <w:p>
      <w:pPr>
        <w:spacing w:after="0" w:line="201" w:lineRule="exact"/>
        <w:rPr>
          <w:rFonts w:ascii="Arial" w:cs="Arial" w:eastAsia="Arial" w:hAnsi="Arial"/>
          <w:sz w:val="18"/>
          <w:szCs w:val="18"/>
          <w:color w:val="auto"/>
        </w:rPr>
      </w:pPr>
    </w:p>
    <w:p>
      <w:pPr>
        <w:jc w:val="both"/>
        <w:ind w:left="1280" w:hanging="624"/>
        <w:spacing w:after="0" w:line="303" w:lineRule="auto"/>
        <w:tabs>
          <w:tab w:leader="none" w:pos="1262" w:val="left"/>
        </w:tabs>
        <w:numPr>
          <w:ilvl w:val="1"/>
          <w:numId w:val="8"/>
        </w:numPr>
        <w:rPr>
          <w:rFonts w:ascii="Arial" w:cs="Arial" w:eastAsia="Arial" w:hAnsi="Arial"/>
          <w:sz w:val="18"/>
          <w:szCs w:val="18"/>
          <w:color w:val="auto"/>
        </w:rPr>
      </w:pPr>
      <w:r>
        <w:rPr>
          <w:rFonts w:ascii="Arial" w:cs="Arial" w:eastAsia="Arial" w:hAnsi="Arial"/>
          <w:sz w:val="18"/>
          <w:szCs w:val="18"/>
          <w:color w:val="auto"/>
        </w:rPr>
        <w:t>that the resolution passed by the shareholders of the Company described in the extract referred to above, and examined for the purposes of this opinion, was passed at the AGM, that the AGM was properly convened, constituted and held and that the said resolution has not since been amended or rescinded;</w:t>
      </w:r>
    </w:p>
    <w:p>
      <w:pPr>
        <w:spacing w:after="0" w:line="201" w:lineRule="exact"/>
        <w:rPr>
          <w:rFonts w:ascii="Arial" w:cs="Arial" w:eastAsia="Arial" w:hAnsi="Arial"/>
          <w:sz w:val="18"/>
          <w:szCs w:val="18"/>
          <w:color w:val="auto"/>
        </w:rPr>
      </w:pPr>
    </w:p>
    <w:p>
      <w:pPr>
        <w:ind w:left="1260" w:hanging="604"/>
        <w:spacing w:after="0"/>
        <w:tabs>
          <w:tab w:leader="none" w:pos="126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that, at the time of the allotment of any Shares: (i) the Company will have a sufficient number of authorised but unissued Shares</w:t>
      </w:r>
    </w:p>
    <w:p>
      <w:pPr>
        <w:spacing w:after="0" w:line="49" w:lineRule="exact"/>
        <w:rPr>
          <w:rFonts w:ascii="Arial" w:cs="Arial" w:eastAsia="Arial" w:hAnsi="Arial"/>
          <w:sz w:val="18"/>
          <w:szCs w:val="18"/>
          <w:color w:val="auto"/>
        </w:rPr>
      </w:pPr>
    </w:p>
    <w:p>
      <w:pPr>
        <w:jc w:val="both"/>
        <w:ind w:left="1280"/>
        <w:spacing w:after="0" w:line="299" w:lineRule="auto"/>
        <w:rPr>
          <w:rFonts w:ascii="Arial" w:cs="Arial" w:eastAsia="Arial" w:hAnsi="Arial"/>
          <w:sz w:val="18"/>
          <w:szCs w:val="18"/>
          <w:color w:val="auto"/>
        </w:rPr>
      </w:pPr>
      <w:r>
        <w:rPr>
          <w:rFonts w:ascii="Arial" w:cs="Arial" w:eastAsia="Arial" w:hAnsi="Arial"/>
          <w:sz w:val="18"/>
          <w:szCs w:val="18"/>
          <w:color w:val="auto"/>
        </w:rPr>
        <w:t>in its capital (at least equal to the number of Shares to be allotted and issued); (ii) the directors of the Company will have been generally and unconditionally authorised, as required by clause 1021(1) of the Companies Act 2014 (the “</w:t>
      </w:r>
      <w:r>
        <w:rPr>
          <w:rFonts w:ascii="Arial" w:cs="Arial" w:eastAsia="Arial" w:hAnsi="Arial"/>
          <w:sz w:val="18"/>
          <w:szCs w:val="18"/>
          <w:b w:val="1"/>
          <w:bCs w:val="1"/>
          <w:color w:val="auto"/>
        </w:rPr>
        <w:t>2014 Act</w:t>
      </w:r>
      <w:r>
        <w:rPr>
          <w:rFonts w:ascii="Arial" w:cs="Arial" w:eastAsia="Arial" w:hAnsi="Arial"/>
          <w:sz w:val="18"/>
          <w:szCs w:val="18"/>
          <w:color w:val="auto"/>
        </w:rPr>
        <w:t>”), by the Company’s articles of association or by ordinary resolution of the Company’s shareholders to allot a sufficient number of Shares (at least equal to the number of Shares to be allotted and issued); and (iii) if issued for cash consideration, such Shares will be allotted and issued in accordance with section 1022(1) of the 2014 Act or the directors will have been empowered, by the Company’s articles of association or by a special resolution of the Company’s shareholders, passed in accordance with section 1023(3) of the 2014 Act (or as appropriate under the provisions of any former enactment relating to companies), to allot and issue such Shares as of the said section 1022(1) did not apply to such allotment and issue;</w:t>
      </w:r>
    </w:p>
    <w:p>
      <w:pPr>
        <w:spacing w:after="0" w:line="192" w:lineRule="exact"/>
        <w:rPr>
          <w:rFonts w:ascii="Arial" w:cs="Arial" w:eastAsia="Arial" w:hAnsi="Arial"/>
          <w:sz w:val="18"/>
          <w:szCs w:val="18"/>
          <w:color w:val="auto"/>
        </w:rPr>
      </w:pPr>
    </w:p>
    <w:p>
      <w:pPr>
        <w:ind w:left="1260" w:hanging="604"/>
        <w:spacing w:after="0"/>
        <w:tabs>
          <w:tab w:leader="none" w:pos="126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that, at the time of the allotment of any Shares, the Registration Statement will be effective and continue to be effective;</w:t>
      </w:r>
    </w:p>
    <w:p>
      <w:pPr>
        <w:spacing w:after="0" w:line="279" w:lineRule="exact"/>
        <w:rPr>
          <w:rFonts w:ascii="Arial" w:cs="Arial" w:eastAsia="Arial" w:hAnsi="Arial"/>
          <w:sz w:val="18"/>
          <w:szCs w:val="18"/>
          <w:color w:val="auto"/>
        </w:rPr>
      </w:pPr>
    </w:p>
    <w:p>
      <w:pPr>
        <w:jc w:val="both"/>
        <w:ind w:left="1280" w:hanging="624"/>
        <w:spacing w:after="0" w:line="300" w:lineRule="auto"/>
        <w:tabs>
          <w:tab w:leader="none" w:pos="1262" w:val="left"/>
        </w:tabs>
        <w:numPr>
          <w:ilvl w:val="1"/>
          <w:numId w:val="8"/>
        </w:numPr>
        <w:rPr>
          <w:rFonts w:ascii="Arial" w:cs="Arial" w:eastAsia="Arial" w:hAnsi="Arial"/>
          <w:sz w:val="18"/>
          <w:szCs w:val="18"/>
          <w:color w:val="auto"/>
        </w:rPr>
      </w:pPr>
      <w:r>
        <w:rPr>
          <w:rFonts w:ascii="Arial" w:cs="Arial" w:eastAsia="Arial" w:hAnsi="Arial"/>
          <w:sz w:val="18"/>
          <w:szCs w:val="18"/>
          <w:color w:val="auto"/>
        </w:rPr>
        <w:t>that any Shares allotted and issued in accordance with the Registration Statement will be paid-up in consideration of the receipt by the Company from the party to whom the Shares are to be issued, prior to, or simultaneously with the issue of such Shares, of cash and other consideration at least equal to the nominal value of such Shares and, to the extent that any of the consideration for such Shares is payable otherwise than in cash, that the provisions of sections 1028 to 1035 of the 2014 Act have been complied with;</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38083284.2</w:t>
      </w:r>
    </w:p>
    <w:p>
      <w:pPr>
        <w:sectPr>
          <w:pgSz w:w="11900" w:h="16838" w:orient="portrait"/>
          <w:cols w:equalWidth="0" w:num="1">
            <w:col w:w="11420"/>
          </w:cols>
          <w:pgMar w:left="240" w:top="679" w:right="239" w:bottom="1440" w:gutter="0" w:footer="0" w:header="0"/>
        </w:sectPr>
      </w:pPr>
    </w:p>
    <w:bookmarkStart w:id="10" w:name="page11"/>
    <w:bookmarkEnd w:id="10"/>
    <w:p>
      <w:pPr>
        <w:jc w:val="both"/>
        <w:ind w:left="1280" w:hanging="624"/>
        <w:spacing w:after="0" w:line="301" w:lineRule="auto"/>
        <w:tabs>
          <w:tab w:leader="none" w:pos="1262"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6117590</wp:posOffset>
            </wp:positionH>
            <wp:positionV relativeFrom="page">
              <wp:posOffset>88900</wp:posOffset>
            </wp:positionV>
            <wp:extent cx="1286510" cy="1885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286510" cy="188595"/>
                    </a:xfrm>
                    <a:prstGeom prst="rect">
                      <a:avLst/>
                    </a:prstGeom>
                    <a:noFill/>
                  </pic:spPr>
                </pic:pic>
              </a:graphicData>
            </a:graphic>
          </wp:anchor>
        </w:drawing>
        <w:t>that no Shares will be allotted and issued: (i) for consideration of an undertaking from an person that he or another will do work or perform services for the Company or for any other person; (ii) for consideration otherwise than in cash that includes an undertaking which is to be or may be performed more than five years after the date of allotment; or (iii) for other consideration which, from time to time, is not considered good or adequate consideration;</w:t>
      </w:r>
    </w:p>
    <w:p>
      <w:pPr>
        <w:spacing w:after="0" w:line="204" w:lineRule="exact"/>
        <w:rPr>
          <w:rFonts w:ascii="Arial" w:cs="Arial" w:eastAsia="Arial" w:hAnsi="Arial"/>
          <w:sz w:val="18"/>
          <w:szCs w:val="18"/>
          <w:color w:val="auto"/>
        </w:rPr>
      </w:pPr>
    </w:p>
    <w:p>
      <w:pPr>
        <w:jc w:val="both"/>
        <w:ind w:left="1280" w:hanging="624"/>
        <w:spacing w:after="0" w:line="303" w:lineRule="auto"/>
        <w:tabs>
          <w:tab w:leader="none" w:pos="1262" w:val="left"/>
        </w:tabs>
        <w:numPr>
          <w:ilvl w:val="0"/>
          <w:numId w:val="9"/>
        </w:numPr>
        <w:rPr>
          <w:rFonts w:ascii="Arial" w:cs="Arial" w:eastAsia="Arial" w:hAnsi="Arial"/>
          <w:sz w:val="18"/>
          <w:szCs w:val="18"/>
          <w:color w:val="auto"/>
        </w:rPr>
      </w:pPr>
      <w:r>
        <w:rPr>
          <w:rFonts w:ascii="Arial" w:cs="Arial" w:eastAsia="Arial" w:hAnsi="Arial"/>
          <w:sz w:val="18"/>
          <w:szCs w:val="18"/>
          <w:color w:val="auto"/>
        </w:rPr>
        <w:t>that no Shares will be allotted and issued other than pursuant to a resolution of the board of directors of the Company (or duly authorised committee thereof) that has been validly and sufficiently proposed and passed in accordance with the articles of association of the Company;</w:t>
      </w:r>
    </w:p>
    <w:p>
      <w:pPr>
        <w:spacing w:after="0" w:line="201" w:lineRule="exact"/>
        <w:rPr>
          <w:rFonts w:ascii="Arial" w:cs="Arial" w:eastAsia="Arial" w:hAnsi="Arial"/>
          <w:sz w:val="18"/>
          <w:szCs w:val="18"/>
          <w:color w:val="auto"/>
        </w:rPr>
      </w:pPr>
    </w:p>
    <w:p>
      <w:pPr>
        <w:jc w:val="both"/>
        <w:ind w:left="1280" w:hanging="624"/>
        <w:spacing w:after="0" w:line="299" w:lineRule="auto"/>
        <w:tabs>
          <w:tab w:leader="none" w:pos="1262" w:val="left"/>
        </w:tabs>
        <w:numPr>
          <w:ilvl w:val="0"/>
          <w:numId w:val="9"/>
        </w:numPr>
        <w:rPr>
          <w:rFonts w:ascii="Arial" w:cs="Arial" w:eastAsia="Arial" w:hAnsi="Arial"/>
          <w:sz w:val="18"/>
          <w:szCs w:val="18"/>
          <w:color w:val="auto"/>
        </w:rPr>
      </w:pPr>
      <w:r>
        <w:rPr>
          <w:rFonts w:ascii="Arial" w:cs="Arial" w:eastAsia="Arial" w:hAnsi="Arial"/>
          <w:sz w:val="18"/>
          <w:szCs w:val="18"/>
          <w:color w:val="auto"/>
        </w:rPr>
        <w:t>that the offering or sale (including the marketing) of any Shares will be made, effected and conducted in accordance with and will not violate: (i) the memorandum or articles of association, from time to time, of the Company; (ii) any applicable laws and regulations (including, without limitation, (A) the securities laws and regulations of any jurisdiction (including Ireland) or supra-national authority which impose any restrictions, or mandatory requirements, in relation to the offering or sale of any shares to the public in any jurisdiction (including Ireland) and any prospectus (or analogous disclosure document) prepared in connection therewith; and (B) the competition, anti-trust or merger control laws and regulations of any jurisdiction (including Ireland) or supra-national authority); and (iii) any requirement or restriction imposed by any court, governmental body or supra-national authority having jurisdiction over the Company or the members of its group;</w:t>
      </w:r>
    </w:p>
    <w:p>
      <w:pPr>
        <w:spacing w:after="0" w:line="205" w:lineRule="exact"/>
        <w:rPr>
          <w:rFonts w:ascii="Arial" w:cs="Arial" w:eastAsia="Arial" w:hAnsi="Arial"/>
          <w:sz w:val="18"/>
          <w:szCs w:val="18"/>
          <w:color w:val="auto"/>
        </w:rPr>
      </w:pPr>
    </w:p>
    <w:p>
      <w:pPr>
        <w:jc w:val="both"/>
        <w:ind w:left="1280" w:hanging="624"/>
        <w:spacing w:after="0" w:line="301" w:lineRule="auto"/>
        <w:tabs>
          <w:tab w:leader="none" w:pos="1262" w:val="left"/>
        </w:tabs>
        <w:numPr>
          <w:ilvl w:val="0"/>
          <w:numId w:val="9"/>
        </w:numPr>
        <w:rPr>
          <w:rFonts w:ascii="Arial" w:cs="Arial" w:eastAsia="Arial" w:hAnsi="Arial"/>
          <w:sz w:val="18"/>
          <w:szCs w:val="18"/>
          <w:color w:val="auto"/>
        </w:rPr>
      </w:pPr>
      <w:r>
        <w:rPr>
          <w:rFonts w:ascii="Arial" w:cs="Arial" w:eastAsia="Arial" w:hAnsi="Arial"/>
          <w:sz w:val="18"/>
          <w:szCs w:val="18"/>
          <w:color w:val="auto"/>
        </w:rPr>
        <w:t>that the Company has not given, nor shall it give, directly or indirectly, and whether by means of a loan, guarantee, the provision of security or otherwise, any financial assistance, as contemplated by section 82 of the 2014 Act, for the purpose of, or in connection with, the purchase or subscription by any person of or for any Shares save as permitted by, or pursuant to an exemption to, the said section 82;</w:t>
      </w:r>
    </w:p>
    <w:p>
      <w:pPr>
        <w:spacing w:after="0" w:line="204" w:lineRule="exact"/>
        <w:rPr>
          <w:rFonts w:ascii="Arial" w:cs="Arial" w:eastAsia="Arial" w:hAnsi="Arial"/>
          <w:sz w:val="18"/>
          <w:szCs w:val="18"/>
          <w:color w:val="auto"/>
        </w:rPr>
      </w:pPr>
    </w:p>
    <w:p>
      <w:pPr>
        <w:ind w:left="1280" w:hanging="624"/>
        <w:spacing w:after="0" w:line="309" w:lineRule="auto"/>
        <w:tabs>
          <w:tab w:leader="none" w:pos="1262"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accuracy and completeness as to factual matters of the representations and warranties of the Company contained in the Registration Statement and the accuracy of the Certificate;</w:t>
      </w:r>
    </w:p>
    <w:p>
      <w:pPr>
        <w:spacing w:after="0" w:line="196" w:lineRule="exact"/>
        <w:rPr>
          <w:rFonts w:ascii="Arial" w:cs="Arial" w:eastAsia="Arial" w:hAnsi="Arial"/>
          <w:sz w:val="18"/>
          <w:szCs w:val="18"/>
          <w:color w:val="auto"/>
        </w:rPr>
      </w:pPr>
    </w:p>
    <w:p>
      <w:pPr>
        <w:ind w:left="1280" w:right="20" w:hanging="624"/>
        <w:spacing w:after="0" w:line="309" w:lineRule="auto"/>
        <w:tabs>
          <w:tab w:leader="none" w:pos="1262" w:val="left"/>
        </w:tabs>
        <w:numPr>
          <w:ilvl w:val="0"/>
          <w:numId w:val="9"/>
        </w:numPr>
        <w:rPr>
          <w:rFonts w:ascii="Arial" w:cs="Arial" w:eastAsia="Arial" w:hAnsi="Arial"/>
          <w:sz w:val="18"/>
          <w:szCs w:val="18"/>
          <w:color w:val="auto"/>
        </w:rPr>
      </w:pPr>
      <w:r>
        <w:rPr>
          <w:rFonts w:ascii="Arial" w:cs="Arial" w:eastAsia="Arial" w:hAnsi="Arial"/>
          <w:sz w:val="18"/>
          <w:szCs w:val="18"/>
          <w:color w:val="auto"/>
        </w:rPr>
        <w:t>that there are no agreements or arrangements in existence which in any way amend or vary or are inconsistent with the terms of the Registration Statement or the Plan or in any way bear upon, or are inconsistent with, the contents of this opinion;</w:t>
      </w:r>
    </w:p>
    <w:p>
      <w:pPr>
        <w:spacing w:after="0" w:line="196" w:lineRule="exact"/>
        <w:rPr>
          <w:rFonts w:ascii="Arial" w:cs="Arial" w:eastAsia="Arial" w:hAnsi="Arial"/>
          <w:sz w:val="18"/>
          <w:szCs w:val="18"/>
          <w:color w:val="auto"/>
        </w:rPr>
      </w:pPr>
    </w:p>
    <w:p>
      <w:pPr>
        <w:jc w:val="both"/>
        <w:ind w:left="1280" w:hanging="624"/>
        <w:spacing w:after="0" w:line="303" w:lineRule="auto"/>
        <w:tabs>
          <w:tab w:leader="none" w:pos="1262" w:val="left"/>
        </w:tabs>
        <w:numPr>
          <w:ilvl w:val="0"/>
          <w:numId w:val="9"/>
        </w:numPr>
        <w:rPr>
          <w:rFonts w:ascii="Arial" w:cs="Arial" w:eastAsia="Arial" w:hAnsi="Arial"/>
          <w:sz w:val="18"/>
          <w:szCs w:val="18"/>
          <w:color w:val="auto"/>
        </w:rPr>
      </w:pPr>
      <w:r>
        <w:rPr>
          <w:rFonts w:ascii="Arial" w:cs="Arial" w:eastAsia="Arial" w:hAnsi="Arial"/>
          <w:sz w:val="18"/>
          <w:szCs w:val="18"/>
          <w:color w:val="auto"/>
        </w:rPr>
        <w:t>that, in approving the filing by the Company of the Registration Statement, the directors of the Company have acted in a manner they consider, in good faith, to be in the best interests of the Company for its legitimate business purposes and would be most likely to promote the success of the Company for the benefit of its members as a whole;</w:t>
      </w:r>
    </w:p>
    <w:p>
      <w:pPr>
        <w:spacing w:after="0" w:line="201" w:lineRule="exact"/>
        <w:rPr>
          <w:rFonts w:ascii="Arial" w:cs="Arial" w:eastAsia="Arial" w:hAnsi="Arial"/>
          <w:sz w:val="18"/>
          <w:szCs w:val="18"/>
          <w:color w:val="auto"/>
        </w:rPr>
      </w:pPr>
    </w:p>
    <w:p>
      <w:pPr>
        <w:jc w:val="both"/>
        <w:ind w:left="1280" w:hanging="624"/>
        <w:spacing w:after="0" w:line="303" w:lineRule="auto"/>
        <w:tabs>
          <w:tab w:leader="none" w:pos="1262" w:val="left"/>
        </w:tabs>
        <w:numPr>
          <w:ilvl w:val="0"/>
          <w:numId w:val="9"/>
        </w:numPr>
        <w:rPr>
          <w:rFonts w:ascii="Arial" w:cs="Arial" w:eastAsia="Arial" w:hAnsi="Arial"/>
          <w:sz w:val="18"/>
          <w:szCs w:val="18"/>
          <w:color w:val="auto"/>
        </w:rPr>
      </w:pPr>
      <w:r>
        <w:rPr>
          <w:rFonts w:ascii="Arial" w:cs="Arial" w:eastAsia="Arial" w:hAnsi="Arial"/>
          <w:sz w:val="18"/>
          <w:szCs w:val="18"/>
          <w:color w:val="auto"/>
        </w:rPr>
        <w:t>that the information disclosed by the Searches was accurate at the date the Searches were made and has not been altered and that the Searches did not fail to disclose any information which had been delivered for registration but did not appear from the information available at the time the Searches were made or which ought to have been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38083284.2</w:t>
      </w:r>
    </w:p>
    <w:p>
      <w:pPr>
        <w:sectPr>
          <w:pgSz w:w="11900" w:h="16838" w:orient="portrait"/>
          <w:cols w:equalWidth="0" w:num="1">
            <w:col w:w="11420"/>
          </w:cols>
          <w:pgMar w:left="240" w:top="706" w:right="239" w:bottom="1440" w:gutter="0" w:footer="0" w:header="0"/>
        </w:sectPr>
      </w:pPr>
    </w:p>
    <w:bookmarkStart w:id="11" w:name="page12"/>
    <w:bookmarkEnd w:id="11"/>
    <w:p>
      <w:pPr>
        <w:ind w:left="1280"/>
        <w:spacing w:after="0" w:line="3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6117590</wp:posOffset>
            </wp:positionH>
            <wp:positionV relativeFrom="page">
              <wp:posOffset>88900</wp:posOffset>
            </wp:positionV>
            <wp:extent cx="1286510" cy="188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286510" cy="188595"/>
                    </a:xfrm>
                    <a:prstGeom prst="rect">
                      <a:avLst/>
                    </a:prstGeom>
                    <a:noFill/>
                  </pic:spPr>
                </pic:pic>
              </a:graphicData>
            </a:graphic>
          </wp:anchor>
        </w:drawing>
        <w:t>delivered for registration at that time but had not been so delivered and that no additional matters would have been disclosed by searches carried out since that time;</w:t>
      </w:r>
    </w:p>
    <w:p>
      <w:pPr>
        <w:spacing w:after="0" w:line="170" w:lineRule="exact"/>
        <w:rPr>
          <w:sz w:val="20"/>
          <w:szCs w:val="20"/>
          <w:color w:val="auto"/>
        </w:rPr>
      </w:pPr>
    </w:p>
    <w:p>
      <w:pPr>
        <w:jc w:val="both"/>
        <w:ind w:left="1280" w:hanging="624"/>
        <w:spacing w:after="0" w:line="299" w:lineRule="auto"/>
        <w:tabs>
          <w:tab w:leader="none" w:pos="126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that: (i) the Company was, or will be, fully solvent (A) at the time of, and immediately after, the filing of the Registration Statement and (B) at the date hereof; (ii) the Company would not, as a consequence of doing any act or thing which the Registration Statement contemplates, permits or requires the Company to do, be insolvent; and (iii) no steps have been taken or, to the best of the knowledge, information and belief of the directors of the Company, are being taken to appoint a receiver, liquidator or an examiner over the Company or any part of its undertaking or assets, or to strike the Company off the Register of Companies or to otherwise dissolve or wind up the Company; and</w:t>
      </w:r>
    </w:p>
    <w:p>
      <w:pPr>
        <w:spacing w:after="0" w:line="208" w:lineRule="exact"/>
        <w:rPr>
          <w:rFonts w:ascii="Arial" w:cs="Arial" w:eastAsia="Arial" w:hAnsi="Arial"/>
          <w:sz w:val="18"/>
          <w:szCs w:val="18"/>
          <w:color w:val="auto"/>
        </w:rPr>
      </w:pPr>
    </w:p>
    <w:p>
      <w:pPr>
        <w:ind w:left="1280" w:hanging="624"/>
        <w:spacing w:after="0" w:line="309" w:lineRule="auto"/>
        <w:tabs>
          <w:tab w:leader="none" w:pos="126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truth of all representations and information given to us in reply to any queries we have made which we have considered necessary for the purposes of giving this opinion.</w:t>
      </w:r>
    </w:p>
    <w:p>
      <w:pPr>
        <w:spacing w:after="0" w:line="170" w:lineRule="exact"/>
        <w:rPr>
          <w:sz w:val="20"/>
          <w:szCs w:val="20"/>
          <w:color w:val="auto"/>
        </w:rPr>
      </w:pPr>
    </w:p>
    <w:p>
      <w:pPr>
        <w:ind w:left="620" w:hanging="612"/>
        <w:spacing w:after="0"/>
        <w:tabs>
          <w:tab w:leader="none" w:pos="620" w:val="left"/>
        </w:tabs>
        <w:numPr>
          <w:ilvl w:val="0"/>
          <w:numId w:val="11"/>
        </w:numPr>
        <w:rPr>
          <w:rFonts w:ascii="Arial" w:cs="Arial" w:eastAsia="Arial" w:hAnsi="Arial"/>
          <w:sz w:val="20"/>
          <w:szCs w:val="20"/>
          <w:color w:val="auto"/>
        </w:rPr>
      </w:pPr>
      <w:r>
        <w:rPr>
          <w:rFonts w:ascii="Arial" w:cs="Arial" w:eastAsia="Arial" w:hAnsi="Arial"/>
          <w:sz w:val="20"/>
          <w:szCs w:val="20"/>
          <w:b w:val="1"/>
          <w:bCs w:val="1"/>
          <w:color w:val="auto"/>
        </w:rPr>
        <w:t>Opinion</w:t>
      </w:r>
    </w:p>
    <w:p>
      <w:pPr>
        <w:spacing w:after="0" w:line="309" w:lineRule="exact"/>
        <w:rPr>
          <w:rFonts w:ascii="Arial" w:cs="Arial" w:eastAsia="Arial" w:hAnsi="Arial"/>
          <w:sz w:val="20"/>
          <w:szCs w:val="20"/>
          <w:color w:val="auto"/>
        </w:rPr>
      </w:pPr>
    </w:p>
    <w:p>
      <w:pPr>
        <w:jc w:val="both"/>
        <w:ind w:left="620"/>
        <w:spacing w:after="0" w:line="365" w:lineRule="auto"/>
        <w:rPr>
          <w:rFonts w:ascii="Arial" w:cs="Arial" w:eastAsia="Arial" w:hAnsi="Arial"/>
          <w:sz w:val="20"/>
          <w:szCs w:val="20"/>
          <w:color w:val="auto"/>
        </w:rPr>
      </w:pPr>
      <w:r>
        <w:rPr>
          <w:rFonts w:ascii="Arial" w:cs="Arial" w:eastAsia="Arial" w:hAnsi="Arial"/>
          <w:sz w:val="18"/>
          <w:szCs w:val="18"/>
          <w:color w:val="auto"/>
        </w:rPr>
        <w:t>Based upon, and subject to, the foregoing and subject to the qualifications set out in this letter and any matter not disclosed to us, we are of the opinion that, so far as the laws of Ireland are concerned, upon the issuance of Shares in accordance with, and subject to any conditions contained in, the terms of the Plan (including any applicable duly authorised award agreement or other document accompanying the award, issuance or sale of any Shares), subject to receipt by the Company of the full consideration payable in respect thereof, such Shares will be legally issued, fully-paid and non-assessable (which term means that no shareholder shall be obliged to pay or contribute further amounts to the capital of the Company in connection with the issue of such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38083284.2</w:t>
      </w:r>
    </w:p>
    <w:p>
      <w:pPr>
        <w:sectPr>
          <w:pgSz w:w="11900" w:h="16838" w:orient="portrait"/>
          <w:cols w:equalWidth="0" w:num="1">
            <w:col w:w="11420"/>
          </w:cols>
          <w:pgMar w:left="240" w:top="733" w:right="239" w:bottom="1440" w:gutter="0" w:footer="0" w:header="0"/>
        </w:sectPr>
      </w:pPr>
    </w:p>
    <w:bookmarkStart w:id="12" w:name="page13"/>
    <w:bookmarkEnd w:id="12"/>
    <w:p>
      <w:pPr>
        <w:ind w:left="620" w:hanging="612"/>
        <w:spacing w:after="0"/>
        <w:tabs>
          <w:tab w:leader="none" w:pos="620" w:val="left"/>
        </w:tabs>
        <w:numPr>
          <w:ilvl w:val="0"/>
          <w:numId w:val="12"/>
        </w:numPr>
        <w:rPr>
          <w:rFonts w:ascii="Arial" w:cs="Arial" w:eastAsia="Arial" w:hAnsi="Arial"/>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6117590</wp:posOffset>
            </wp:positionH>
            <wp:positionV relativeFrom="page">
              <wp:posOffset>88900</wp:posOffset>
            </wp:positionV>
            <wp:extent cx="1286510" cy="1885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286510" cy="188595"/>
                    </a:xfrm>
                    <a:prstGeom prst="rect">
                      <a:avLst/>
                    </a:prstGeom>
                    <a:noFill/>
                  </pic:spPr>
                </pic:pic>
              </a:graphicData>
            </a:graphic>
          </wp:anchor>
        </w:drawing>
        <w:t>Qualifications</w:t>
      </w:r>
    </w:p>
    <w:p>
      <w:pPr>
        <w:spacing w:after="0" w:line="323" w:lineRule="exact"/>
        <w:rPr>
          <w:rFonts w:ascii="Arial" w:cs="Arial" w:eastAsia="Arial" w:hAnsi="Arial"/>
          <w:sz w:val="20"/>
          <w:szCs w:val="20"/>
          <w:color w:val="auto"/>
        </w:rPr>
      </w:pPr>
    </w:p>
    <w:p>
      <w:pPr>
        <w:ind w:left="620"/>
        <w:spacing w:after="0"/>
        <w:rPr>
          <w:rFonts w:ascii="Arial" w:cs="Arial" w:eastAsia="Arial" w:hAnsi="Arial"/>
          <w:sz w:val="20"/>
          <w:szCs w:val="20"/>
          <w:color w:val="auto"/>
        </w:rPr>
      </w:pPr>
      <w:r>
        <w:rPr>
          <w:rFonts w:ascii="Arial" w:cs="Arial" w:eastAsia="Arial" w:hAnsi="Arial"/>
          <w:sz w:val="18"/>
          <w:szCs w:val="18"/>
          <w:color w:val="auto"/>
        </w:rPr>
        <w:t>The opinions set forth in this opinion letter are given subject to the following qualifications:</w:t>
      </w:r>
    </w:p>
    <w:p>
      <w:pPr>
        <w:spacing w:after="0" w:line="292" w:lineRule="exact"/>
        <w:rPr>
          <w:rFonts w:ascii="Arial" w:cs="Arial" w:eastAsia="Arial" w:hAnsi="Arial"/>
          <w:sz w:val="20"/>
          <w:szCs w:val="20"/>
          <w:color w:val="auto"/>
        </w:rPr>
      </w:pPr>
    </w:p>
    <w:p>
      <w:pPr>
        <w:ind w:left="1540" w:hanging="911"/>
        <w:spacing w:after="0" w:line="309" w:lineRule="auto"/>
        <w:tabs>
          <w:tab w:leader="none" w:pos="15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 search at the Companies Registration Office is not capable of revealing whether or not a winding up petition or a petition for the appointment of an examiner has been presented; and</w:t>
      </w:r>
    </w:p>
    <w:p>
      <w:pPr>
        <w:spacing w:after="0" w:line="196" w:lineRule="exact"/>
        <w:rPr>
          <w:rFonts w:ascii="Arial" w:cs="Arial" w:eastAsia="Arial" w:hAnsi="Arial"/>
          <w:sz w:val="18"/>
          <w:szCs w:val="18"/>
          <w:color w:val="auto"/>
        </w:rPr>
      </w:pPr>
    </w:p>
    <w:p>
      <w:pPr>
        <w:ind w:left="1540" w:hanging="911"/>
        <w:spacing w:after="0" w:line="309" w:lineRule="auto"/>
        <w:tabs>
          <w:tab w:leader="none" w:pos="15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 search at the Registry of Winding up Petitions at the Central Office of the High Court is not capable of revealing whether or not a receiver has been appointed.</w:t>
      </w:r>
    </w:p>
    <w:p>
      <w:pPr>
        <w:spacing w:after="0" w:line="223" w:lineRule="exact"/>
        <w:rPr>
          <w:sz w:val="20"/>
          <w:szCs w:val="20"/>
          <w:color w:val="auto"/>
        </w:rPr>
      </w:pPr>
    </w:p>
    <w:p>
      <w:pPr>
        <w:jc w:val="both"/>
        <w:ind w:left="620"/>
        <w:spacing w:after="0" w:line="365" w:lineRule="auto"/>
        <w:rPr>
          <w:sz w:val="20"/>
          <w:szCs w:val="20"/>
          <w:color w:val="auto"/>
        </w:rPr>
      </w:pPr>
      <w:r>
        <w:rPr>
          <w:rFonts w:ascii="Arial" w:cs="Arial" w:eastAsia="Arial" w:hAnsi="Arial"/>
          <w:sz w:val="18"/>
          <w:szCs w:val="18"/>
          <w:color w:val="auto"/>
        </w:rPr>
        <w:t>Whilst each of the making of a winding up order, the making of an order for the appointment of an examiner and the appointment of a receiver may be revealed by a search at the Companies Registration Office it may not be filed at the Companies Registration Office immediately and, therefore, our searches at the Companies Registration Office may not have revealed such matters.</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 MATHESON</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38083284.2</w:t>
      </w:r>
    </w:p>
    <w:p>
      <w:pPr>
        <w:sectPr>
          <w:pgSz w:w="11900" w:h="16838" w:orient="portrait"/>
          <w:cols w:equalWidth="0" w:num="1">
            <w:col w:w="11420"/>
          </w:cols>
          <w:pgMar w:left="240" w:top="679" w:right="239" w:bottom="1440" w:gutter="0" w:footer="0" w:header="0"/>
        </w:sectPr>
      </w:pPr>
    </w:p>
    <w:bookmarkStart w:id="13" w:name="page14"/>
    <w:bookmarkEnd w:id="13"/>
    <w:p>
      <w:pPr>
        <w:jc w:val="right"/>
        <w:spacing w:after="0"/>
        <w:rPr>
          <w:sz w:val="20"/>
          <w:szCs w:val="20"/>
          <w:color w:val="auto"/>
        </w:rPr>
      </w:pPr>
      <w:r>
        <w:rPr>
          <w:rFonts w:ascii="Arial" w:cs="Arial" w:eastAsia="Arial" w:hAnsi="Arial"/>
          <w:sz w:val="20"/>
          <w:szCs w:val="20"/>
          <w:b w:val="1"/>
          <w:bCs w:val="1"/>
          <w:color w:val="auto"/>
        </w:rPr>
        <w:t>Exhibit 23.1</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The Board of Directors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Weatherford International plc:</w:t>
      </w:r>
    </w:p>
    <w:p>
      <w:pPr>
        <w:spacing w:after="0" w:line="308" w:lineRule="exact"/>
        <w:rPr>
          <w:sz w:val="20"/>
          <w:szCs w:val="20"/>
          <w:color w:val="auto"/>
        </w:rPr>
      </w:pPr>
    </w:p>
    <w:p>
      <w:pPr>
        <w:ind w:right="80"/>
        <w:spacing w:after="0" w:line="243" w:lineRule="auto"/>
        <w:rPr>
          <w:sz w:val="20"/>
          <w:szCs w:val="20"/>
          <w:color w:val="auto"/>
        </w:rPr>
      </w:pPr>
      <w:r>
        <w:rPr>
          <w:rFonts w:ascii="Arial" w:cs="Arial" w:eastAsia="Arial" w:hAnsi="Arial"/>
          <w:sz w:val="20"/>
          <w:szCs w:val="20"/>
          <w:color w:val="auto"/>
        </w:rPr>
        <w:t>We consent to the incorporation by reference in the registration statement on Form S-8 of Weatherford International plc, relating to the Weatherford International plc Employee Stock Purchase Plan, of our reports dated February 16, 2016, with respect to the consolidated balance sheets of Weatherford International plc as of December 31, 2015 and 2014, and the related consolidated statements of operations, comprehensive income (loss), shareholders' equity, and cash flows for each of the years in the three-year period ended December 31, 2015, and the related financial statement schedule for each of the years in the three-year period ended December 31, 2015, and the effectiveness of internal control over financial reporting as of December 31, 2015, which reports appear in the December 31, 2015 annual report on Form 10-K of Weatherford International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KPMG LLP</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20"/>
          <w:szCs w:val="20"/>
          <w:color w:val="auto"/>
        </w:rPr>
        <w:t>Houston, Texas</w:t>
      </w: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color w:val="auto"/>
        </w:rPr>
        <w:t>June 17, 2016</w:t>
      </w:r>
    </w:p>
    <w:sectPr>
      <w:pgSz w:w="11900" w:h="16838" w:orient="portrait"/>
      <w:cols w:equalWidth="0" w:num="1">
        <w:col w:w="11420"/>
      </w:cols>
      <w:pgMar w:left="240" w:top="54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decimal"/>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lvl w:ilvl="3">
      <w:lvlJc w:val="left"/>
      <w:lvlText w:val="(%4)"/>
      <w:numFmt w:val="lowerRoman"/>
      <w:start w:val="2"/>
    </w:lvl>
  </w:abstractNum>
  <w:abstractNum w:abstractNumId="3">
    <w:nsid w:val="7545E146"/>
    <w:multiLevelType w:val="hybridMultilevel"/>
    <w:lvl w:ilvl="0">
      <w:lvlJc w:val="left"/>
      <w:lvlText w:val="%1"/>
      <w:numFmt w:val="lowerLetter"/>
      <w:start w:val="1"/>
    </w:lvl>
    <w:lvl w:ilvl="1">
      <w:lvlJc w:val="left"/>
      <w:lvlText w:val="(%2)"/>
      <w:numFmt w:val="decimal"/>
      <w:start w:val="2"/>
    </w:lvl>
    <w:lvl w:ilvl="2">
      <w:lvlJc w:val="left"/>
      <w:lvlText w:val="(%3)"/>
      <w:numFmt w:val="decimal"/>
      <w:start w:val="3"/>
    </w:lvl>
  </w:abstractNum>
  <w:abstractNum w:abstractNumId="4">
    <w:nsid w:val="515F007C"/>
    <w:multiLevelType w:val="hybridMultilevel"/>
    <w:lvl w:ilvl="0">
      <w:lvlJc w:val="left"/>
      <w:lvlText w:val="(%1)"/>
      <w:numFmt w:val="lowerLetter"/>
      <w:start w:val="2"/>
    </w:lvl>
    <w:lvl w:ilvl="1">
      <w:lvlJc w:val="left"/>
      <w:lvlText w:val="%2"/>
      <w:numFmt w:val="decimal"/>
      <w:start w:val="1"/>
    </w:lvl>
    <w:lvl w:ilvl="2">
      <w:lvlJc w:val="left"/>
      <w:lvlText w:val="%3"/>
      <w:numFmt w:val="decimal"/>
      <w:start w:val="1"/>
    </w:lvl>
  </w:abstractNum>
  <w:abstractNum w:abstractNumId="5">
    <w:nsid w:val="5BD062C2"/>
    <w:multiLevelType w:val="hybridMultilevel"/>
    <w:lvl w:ilvl="0">
      <w:lvlJc w:val="left"/>
      <w:lvlText w:val="(%1)"/>
      <w:numFmt w:val="lowerLetter"/>
      <w:start w:val="3"/>
    </w:lvl>
  </w:abstractNum>
  <w:abstractNum w:abstractNumId="6">
    <w:nsid w:val="12200854"/>
    <w:multiLevelType w:val="hybridMultilevel"/>
    <w:lvl w:ilvl="0">
      <w:lvlJc w:val="left"/>
      <w:lvlText w:val="1"/>
      <w:numFmt w:val="bullet"/>
      <w:start w:val="1"/>
    </w:lvl>
  </w:abstractNum>
  <w:abstractNum w:abstractNumId="7">
    <w:nsid w:val="4DB127F8"/>
    <w:multiLevelType w:val="hybridMultilevel"/>
    <w:lvl w:ilvl="0">
      <w:lvlJc w:val="left"/>
      <w:lvlText w:val="2"/>
      <w:numFmt w:val="bullet"/>
      <w:start w:val="1"/>
    </w:lvl>
    <w:lvl w:ilvl="1">
      <w:lvlJc w:val="left"/>
      <w:lvlText w:val="(%2)"/>
      <w:numFmt w:val="lowerLetter"/>
      <w:start w:val="1"/>
    </w:lvl>
  </w:abstractNum>
  <w:abstractNum w:abstractNumId="8">
    <w:nsid w:val="216231B"/>
    <w:multiLevelType w:val="hybridMultilevel"/>
    <w:lvl w:ilvl="0">
      <w:lvlJc w:val="left"/>
      <w:lvlText w:val="(%1)"/>
      <w:numFmt w:val="lowerLetter"/>
      <w:start w:val="9"/>
    </w:lvl>
  </w:abstractNum>
  <w:abstractNum w:abstractNumId="9">
    <w:nsid w:val="1F16E9E8"/>
    <w:multiLevelType w:val="hybridMultilevel"/>
    <w:lvl w:ilvl="0">
      <w:lvlJc w:val="left"/>
      <w:lvlText w:val="(%1)"/>
      <w:numFmt w:val="lowerLetter"/>
      <w:start w:val="17"/>
    </w:lvl>
  </w:abstractNum>
  <w:abstractNum w:abstractNumId="10">
    <w:nsid w:val="1190CDE7"/>
    <w:multiLevelType w:val="hybridMultilevel"/>
    <w:lvl w:ilvl="0">
      <w:lvlJc w:val="left"/>
      <w:lvlText w:val="3"/>
      <w:numFmt w:val="bullet"/>
      <w:start w:val="1"/>
    </w:lvl>
  </w:abstractNum>
  <w:abstractNum w:abstractNumId="11">
    <w:nsid w:val="66EF438D"/>
    <w:multiLevelType w:val="hybridMultilevel"/>
    <w:lvl w:ilvl="0">
      <w:lvlJc w:val="left"/>
      <w:lvlText w:val="4"/>
      <w:numFmt w:val="bullet"/>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2019-12-08T23:56:56Z</dcterms:created>
  <dcterms:modified xsi:type="dcterms:W3CDTF">2019-12-08T23:56:56Z</dcterms:modified>
</cp:coreProperties>
</file>