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2016</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340" w:val="left"/>
          <w:tab w:leader="none" w:pos="59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April 22, 2016, there were 895,690,433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Three Months Ended March 31,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32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20" w:type="dxa"/>
            <w:vAlign w:val="bottom"/>
          </w:tcPr>
          <w:p>
            <w:pPr>
              <w:spacing w:after="0"/>
              <w:rPr>
                <w:sz w:val="19"/>
                <w:szCs w:val="19"/>
                <w:color w:val="auto"/>
              </w:rPr>
            </w:pPr>
          </w:p>
        </w:tc>
        <w:tc>
          <w:tcPr>
            <w:tcW w:w="2400" w:type="dxa"/>
            <w:vAlign w:val="bottom"/>
            <w:gridSpan w:val="5"/>
          </w:tcPr>
          <w:p>
            <w:pPr>
              <w:ind w:left="40"/>
              <w:spacing w:after="0"/>
              <w:rPr>
                <w:sz w:val="20"/>
                <w:szCs w:val="20"/>
                <w:color w:val="auto"/>
              </w:rPr>
            </w:pPr>
            <w:r>
              <w:rPr>
                <w:rFonts w:ascii="Arial" w:cs="Arial" w:eastAsia="Arial" w:hAnsi="Arial"/>
                <w:sz w:val="17"/>
                <w:szCs w:val="17"/>
                <w:b w:val="1"/>
                <w:bCs w:val="1"/>
                <w:color w:val="auto"/>
                <w:w w:val="93"/>
              </w:rPr>
              <w:t>Three Months Ended March 31,</w:t>
            </w:r>
          </w:p>
        </w:tc>
        <w:tc>
          <w:tcPr>
            <w:tcW w:w="0" w:type="dxa"/>
            <w:vAlign w:val="bottom"/>
          </w:tcPr>
          <w:p>
            <w:pPr>
              <w:spacing w:after="0"/>
              <w:rPr>
                <w:sz w:val="1"/>
                <w:szCs w:val="1"/>
                <w:color w:val="auto"/>
              </w:rPr>
            </w:pPr>
          </w:p>
        </w:tc>
      </w:tr>
      <w:tr>
        <w:trPr>
          <w:trHeight w:val="31"/>
        </w:trPr>
        <w:tc>
          <w:tcPr>
            <w:tcW w:w="90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Products</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1,754</w:t>
            </w:r>
          </w:p>
        </w:tc>
        <w:tc>
          <w:tcPr>
            <w:tcW w:w="0" w:type="dxa"/>
            <w:vAlign w:val="bottom"/>
          </w:tcPr>
          <w:p>
            <w:pPr>
              <w:spacing w:after="0"/>
              <w:rPr>
                <w:sz w:val="1"/>
                <w:szCs w:val="1"/>
                <w:color w:val="auto"/>
              </w:rPr>
            </w:pPr>
          </w:p>
        </w:tc>
      </w:tr>
      <w:tr>
        <w:trPr>
          <w:trHeight w:val="219"/>
        </w:trPr>
        <w:tc>
          <w:tcPr>
            <w:tcW w:w="902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1,585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2,794</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892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Asset Write-Downs and Other Related Charges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Litigation Charges, Net</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Loss on Sale of Businesses,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9020" w:type="dxa"/>
            <w:vAlign w:val="bottom"/>
          </w:tcPr>
          <w:p>
            <w:pPr>
              <w:ind w:left="4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2,032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2,744</w:t>
            </w:r>
          </w:p>
        </w:tc>
        <w:tc>
          <w:tcPr>
            <w:tcW w:w="0" w:type="dxa"/>
            <w:vAlign w:val="bottom"/>
          </w:tcPr>
          <w:p>
            <w:pPr>
              <w:spacing w:after="0"/>
              <w:rPr>
                <w:sz w:val="1"/>
                <w:szCs w:val="1"/>
                <w:color w:val="auto"/>
              </w:rPr>
            </w:pP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Operating Income (Loss)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18"/>
        </w:trPr>
        <w:tc>
          <w:tcPr>
            <w:tcW w:w="90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Provision for Income Taxes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Basic &amp; Diluted</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9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31"/>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7"/>
              </w:rPr>
              <w:t>Three Months Ended March</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7180" w:type="dxa"/>
            <w:vAlign w:val="bottom"/>
          </w:tcPr>
          <w:p>
            <w:pPr>
              <w:jc w:val="center"/>
              <w:ind w:left="161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18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 of Allowance for Uncollectible Accounts of $108 in 2016 and $113 in 2015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1,781</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5,564</w:t>
            </w:r>
          </w:p>
        </w:tc>
      </w:tr>
      <w:tr>
        <w:trPr>
          <w:trHeight w:val="324"/>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of Accumulated Depreciation of $7,437 in 2016 and $7,235 in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2,803</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$802 in 2016 and $783 in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97"/>
        </w:trPr>
        <w:tc>
          <w:tcPr>
            <w:tcW w:w="8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14,760</w:t>
            </w:r>
          </w:p>
        </w:tc>
      </w:tr>
      <w:tr>
        <w:trPr>
          <w:trHeight w:val="311"/>
        </w:trPr>
        <w:tc>
          <w:tcPr>
            <w:tcW w:w="128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4,031</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5,852</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10,395</w:t>
            </w: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Shares - Par Value $0.001; Authorized 1,356 shares, Issued and Outstanding 895 shares at March 31, 2016 and 779</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at December 31, 2015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5,502</w:t>
            </w:r>
          </w:p>
        </w:tc>
      </w:tr>
      <w:tr>
        <w:trPr>
          <w:trHeight w:val="27"/>
        </w:trPr>
        <w:tc>
          <w:tcPr>
            <w:tcW w:w="1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Retained (Deficit) Earnings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1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r>
      <w:tr>
        <w:trPr>
          <w:trHeight w:val="25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14,760</w:t>
            </w:r>
          </w:p>
        </w:tc>
      </w:tr>
      <w:tr>
        <w:trPr>
          <w:trHeight w:val="20"/>
        </w:trPr>
        <w:tc>
          <w:tcPr>
            <w:tcW w:w="12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7"/>
              </w:rPr>
              <w:t>Three Months Ended March</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020" w:type="dxa"/>
            <w:vAlign w:val="bottom"/>
          </w:tcPr>
          <w:p>
            <w:pPr>
              <w:ind w:left="40"/>
              <w:spacing w:after="0"/>
              <w:rPr>
                <w:sz w:val="20"/>
                <w:szCs w:val="20"/>
                <w:color w:val="auto"/>
              </w:rPr>
            </w:pPr>
            <w:r>
              <w:rPr>
                <w:rFonts w:ascii="Arial" w:cs="Arial" w:eastAsia="Arial" w:hAnsi="Arial"/>
                <w:sz w:val="17"/>
                <w:szCs w:val="17"/>
                <w:color w:val="auto"/>
              </w:rPr>
              <w:t>Asset Write-Downs and Other Related Charges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Intellectual Property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Proceeds Related to Rig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from Sale of Assets and Businesses, Net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91"/>
        </w:trPr>
        <w:tc>
          <w:tcPr>
            <w:tcW w:w="90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Repayments of Long-term Debt,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(Repayments) of Short-term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from Issuance of Ordinary Common Shares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Net of Refunds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9"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are prepared in accordance with generally accepted accounting principles in the United States of America (“U.S. GAAP”) and include all adjustments of a normal recurring nature which, in our opinion, are necessary to present fairly our Condensed Consolidated Balance Sheets at March 31, 2016 and December 31, 2015, and Condensed Consolidated Statements of Operations, Condensed Consolidated Statements of Comprehensive Income (Loss), and Condensed Consolidated Statements of Cash Flows for the first quarter of 2016 and 2015.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91"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2015 included in our Annual Report on Form 10-K. The results of operations for the first quarter of 2016 are not necessarily indicative of the results expected for the year ending December 31, 2016.</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Certain prior year amounts have been reclassified to conform to the current year presentation related to the adoption of new accounting standards. Net income and shareholders’ equity were not affected by these reclassifications. See “Note 15 – New Accounting Pronouncements” for additional details.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2016 and 2015, currency devaluation charges reflect the impact of the devaluation of the Angolan kwanza of $31 million and the Venezuelan bolivar of $26 million, respectively. The currency devaluation charges are included in current earnings in the line captioned “</w:t>
      </w:r>
      <w:r>
        <w:rPr>
          <w:rFonts w:ascii="Arial" w:cs="Arial" w:eastAsia="Arial" w:hAnsi="Arial"/>
          <w:sz w:val="17"/>
          <w:szCs w:val="17"/>
          <w:color w:val="auto"/>
        </w:rPr>
        <w:t>Currency Devaluation</w:t>
      </w:r>
      <w:r>
        <w:rPr>
          <w:rFonts w:ascii="Arial" w:cs="Arial" w:eastAsia="Arial" w:hAnsi="Arial"/>
          <w:sz w:val="18"/>
          <w:szCs w:val="18"/>
          <w:color w:val="auto"/>
        </w:rPr>
        <w:t xml:space="preserve"> </w:t>
      </w:r>
      <w:r>
        <w:rPr>
          <w:rFonts w:ascii="Arial" w:cs="Arial" w:eastAsia="Arial" w:hAnsi="Arial"/>
          <w:sz w:val="17"/>
          <w:szCs w:val="17"/>
          <w:color w:val="auto"/>
        </w:rPr>
        <w:t>Charges</w:t>
      </w:r>
      <w:r>
        <w:rPr>
          <w:rFonts w:ascii="Arial" w:cs="Arial" w:eastAsia="Arial" w:hAnsi="Arial"/>
          <w:sz w:val="18"/>
          <w:szCs w:val="18"/>
          <w:color w:val="auto"/>
        </w:rPr>
        <w:t>” on the accompanying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further decline in crude oil prices and our anticipation of a lower level of exploration and production spending in 2016, we initiated an additional plan to reduce our overall costs and workforce to better align with anticipated activity levels. This cost reduction plan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 Plan, we recognized restructuring charges of $77 million in the first quarter of 2016, which include termination (severance) benefits of $72 million and other restructuring charges of $5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2014, we announced a cost reduction plan (the “2015 Plan”), which included a worldwide workforce reduction and other cost reduction measures. In the first quarter of 2015, we recognized restructuring charges of $41 million for the 2015 Plan, which include termination (severance) benefits of $40 million and other restructuring charges of $1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the 2016 Plan and the 2015 Plan restructuring charges by segment for the first quarter of 2016 and 2015.</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8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2"/>
              </w:rPr>
              <w:t>Three Months Ended March 31, 2016</w:t>
            </w:r>
          </w:p>
        </w:tc>
      </w:tr>
      <w:tr>
        <w:trPr>
          <w:trHeight w:val="27"/>
        </w:trPr>
        <w:tc>
          <w:tcPr>
            <w:tcW w:w="5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36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5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2"/>
              </w:rPr>
              <w:t>Three Months Ended March 31, 2015</w:t>
            </w:r>
          </w:p>
        </w:tc>
      </w:tr>
      <w:tr>
        <w:trPr>
          <w:trHeight w:val="27"/>
        </w:trPr>
        <w:tc>
          <w:tcPr>
            <w:tcW w:w="5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6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the plans mentioned previously as well as our 2014 cost reduction plan (the “2014 Plan”) that will be paid pursuant to the respective arrangements and statutory requirements.</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At March 31, 2016</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2016 Plan</w:t>
            </w:r>
          </w:p>
        </w:tc>
        <w:tc>
          <w:tcPr>
            <w:tcW w:w="260" w:type="dxa"/>
            <w:vAlign w:val="bottom"/>
          </w:tcPr>
          <w:p>
            <w:pPr>
              <w:spacing w:after="0"/>
              <w:rPr>
                <w:sz w:val="20"/>
                <w:szCs w:val="20"/>
                <w:color w:val="auto"/>
              </w:rPr>
            </w:pPr>
          </w:p>
        </w:tc>
        <w:tc>
          <w:tcPr>
            <w:tcW w:w="22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2015 and 2014 Plans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Severance</w:t>
            </w:r>
          </w:p>
        </w:tc>
        <w:tc>
          <w:tcPr>
            <w:tcW w:w="24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Severance</w:t>
            </w:r>
          </w:p>
        </w:tc>
        <w:tc>
          <w:tcPr>
            <w:tcW w:w="240" w:type="dxa"/>
            <w:vAlign w:val="bottom"/>
          </w:tcPr>
          <w:p>
            <w:pPr>
              <w:spacing w:after="0"/>
              <w:rPr>
                <w:sz w:val="23"/>
                <w:szCs w:val="23"/>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and Other</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Liability</w:t>
            </w:r>
          </w:p>
        </w:tc>
        <w:tc>
          <w:tcPr>
            <w:tcW w:w="26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92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liability activity for the first quarter of 2016.</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 March 31, 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March 31, 2016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2015 and 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ind w:left="1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Percentage-of-Completion Contracts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first quarter of 2016, we recognized an estimated project loss of $52 million related to our Zubair long-term early production facility construction contract in Iraq accounted for under the percentage-of-completion method. Total estimated losses on these projects were $584 million at March 31, 2016.</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March 31, 2016, our percentage-of-completion project estimates include $116 million of claims revenue and $32 million of back charges. During the first quarter of 2016, no additional claims revenue were included in our project estimates. Our costs in excess of billings as of March 31, 2016 were $2 million and are shown in the “Other Current Assets” line on the Consolidated Balance Sheet. We also have a variety of unapproved contract change orders or claims that are not included in our revenues as of March 31, 2016. The amounts associated with these contract change orders or claims are included in revenue only when they can be estimated reliably and their realization is reasonably assured.</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2015, we recognized estimated project income of $42 million related to our long-term early production facility construction contracts in Iraq accounted for under the percentage-of-completion method. Total estimated losses on these projects were $337 million at March 31, 2015. As of March 31, 2015, our percentage-of-completion project estimates include $137 million of claims revenue. Claims revenue of $53 million was recognized during the first quarter of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4. Inventories, Net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24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r>
      <w:tr>
        <w:trPr>
          <w:trHeight w:val="237"/>
        </w:trPr>
        <w:tc>
          <w:tcPr>
            <w:tcW w:w="8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first quarter of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Latin</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Land Drilling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America</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Rigs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6. Short-term Borrowings and Current Portion of Long-term Debt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824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1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agreement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 short-term bank loans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March 31, 2016, we had a $2.0 billion unsecured revolving credit agreement (the “Credit Agreement”) that matures on July 13, 2017. The Credit Agreement can be used for a combination of borrowings, including support for our issuances of letters of credit.</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Credit Agreement was amended on February 1, 2016 to adjust its current amount to $2.0 billion from $2.25 billion as well as to adjust its requirement regarding our debt-to-capitalization ratio. The amended Credit Agreement requires that we maintain a debt-to-total capitalization ratio of less than 70% for the quarters ended March 31, 2016 and June 30, 2016 and less than 60% thereafter. We were in compliance with this covenant at March 31, 2016. At March 31, 2016, we had $949 million available under the Credit Agreement, and there were $16 million in outstanding letters of credit under the Credit Agreement. On May 4, 2016, we entered into an amended and restated credit agreement. See Note 17 – Subsequent Event for additional information.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March 31, 2016, we had $130 million in short-term borrowings under these arrangements, including overdraft facility borrowings and $30 million borrowed under a credit agreement that matures June 20, 2016. In the first quarter of 2016, we repaid $150 million borrowed under a credit agreement that matured on March 20, 2016. The borrowings under the credit agreement had a LIBOR-based weighted average interest rate of 2.22% as of March 31, 2016. In addition, we had $597 million of letters of credit under various uncommitted facilities and $151 million of surety bonds, primarily performance bonds, issued by financial sureties against an indemnification from us at March 31, 2016.</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2016, the current portion of long-term debt was primarily related to our capital leases. Our 5.5% senior note, with a principal balance of $350 million was repaid in February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 Assets and Equity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8 – Derivative Instruments,” we had no other material assets or liabilities measured and recognized at fair value on a recurring basis at March 31, 2016 and December 31,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8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5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6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5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6,126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2016, we had net unamortized premiums on fixed-rate debt of $21 million associated with fair value swap terminations. These premiums are being amortized over the remaining term of the originally hedged debt as a reduction in interest expense included in the line captioned “Interest Expense, Net” on the accompanying Condensed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March 31, 2016, we had net unamortized losses of $9 million associated with our cash flow hedge terminations.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2016 and December 31, 2015, we had outstanding foreign currency forward contracts with notional amounts aggregating to $1.5 billion and $1.7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2016, we had no cross-currency swaps as we settled our cross-currency swap arrangements in the first quarter of 2015.</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the line captioned “Other, Net” on the accompanying Condensed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fair values of our foreign currency forward contracts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2016</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2015</w:t>
            </w:r>
          </w:p>
        </w:tc>
        <w:tc>
          <w:tcPr>
            <w:tcW w:w="2400" w:type="dxa"/>
            <w:vAlign w:val="bottom"/>
          </w:tcPr>
          <w:p>
            <w:pPr>
              <w:ind w:left="6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Current Liabilities</w:t>
            </w: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Three Months Ended March</w:t>
            </w:r>
          </w:p>
        </w:tc>
        <w:tc>
          <w:tcPr>
            <w:tcW w:w="206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w w:val="95"/>
              </w:rPr>
              <w:t>31,</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7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60" w:type="dxa"/>
            <w:vAlign w:val="bottom"/>
          </w:tcPr>
          <w:p>
            <w:pPr>
              <w:ind w:left="5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1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3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702"/>
        </w:trPr>
        <w:tc>
          <w:tcPr>
            <w:tcW w:w="4160" w:type="dxa"/>
            <w:vAlign w:val="bottom"/>
          </w:tcPr>
          <w:p>
            <w:pPr>
              <w:spacing w:after="0"/>
              <w:rPr>
                <w:sz w:val="24"/>
                <w:szCs w:val="24"/>
                <w:color w:val="auto"/>
              </w:rPr>
            </w:pPr>
          </w:p>
        </w:tc>
        <w:tc>
          <w:tcPr>
            <w:tcW w:w="2580" w:type="dxa"/>
            <w:vAlign w:val="bottom"/>
          </w:tcPr>
          <w:p>
            <w:pPr>
              <w:jc w:val="right"/>
              <w:ind w:right="8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first quarter of 2016, we had a tax benefit of $101 million, on a loss before income taxes of $592 million. Our results for the first quarter of 2016 include charges with no significant tax benefit principally related to a $65 million litigation accrual, $52 million of Zubair project losses and $31 million of currency devaluation related to the Angolan kwanza.</w:t>
      </w:r>
    </w:p>
    <w:p>
      <w:pPr>
        <w:spacing w:after="0" w:line="15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$16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first quarter of 2015, we had no tax provision on a loss before income taxes of $107 million. Our results for the first quarter of 2015 were impacted by discrete loss before tax items, including approximately $41 million of restructuring charges and a $26 million devaluation of the Venezuelan bolivar, with no significant tax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first quarter of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Issued</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Earnings</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Dividends Paid to Noncontrolling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Awards Granted, Vested and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Issuance of Common Shares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Awards Granted, Vested and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71"/>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the changes in our accumulated other comprehensive income (loss) by component for the first quarter of 2016 and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other comprehensive income before reclassifications from the defined benefit pension component for the first quarter of 2015 relates to the conversion of one of our international pension plans from a defined benefit plan to a defined contribution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(loss) divided by the weighted average number of our shares outstanding during the period including participating securities. Diluted earnings per share is computed by dividing net income (loss)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discloses basic and diluted weighted average shares outstanding:</w:t>
      </w:r>
    </w:p>
    <w:p>
      <w:pPr>
        <w:spacing w:after="0" w:line="16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4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7"/>
        </w:trPr>
        <w:tc>
          <w:tcPr>
            <w:tcW w:w="58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58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first quarter of 2016 and 2015 exclude potential shares for stock options, restricted shares and performance units outstanding as we have net losses for those periods, and their inclusion would be anti-dilutive.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number of anti-dilutive shares excluded:</w:t>
      </w:r>
    </w:p>
    <w:p>
      <w:pPr>
        <w:spacing w:after="0" w:line="16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4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4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spacing w:after="0"/>
              <w:rPr>
                <w:sz w:val="15"/>
                <w:szCs w:val="15"/>
                <w:color w:val="auto"/>
              </w:rPr>
            </w:pPr>
          </w:p>
        </w:tc>
        <w:tc>
          <w:tcPr>
            <w:tcW w:w="43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860" w:type="dxa"/>
            <w:vAlign w:val="bottom"/>
          </w:tcPr>
          <w:p>
            <w:pPr>
              <w:spacing w:after="0"/>
              <w:rPr>
                <w:sz w:val="24"/>
                <w:szCs w:val="24"/>
                <w:color w:val="auto"/>
              </w:rPr>
            </w:pPr>
          </w:p>
        </w:tc>
        <w:tc>
          <w:tcPr>
            <w:tcW w:w="4360" w:type="dxa"/>
            <w:vAlign w:val="bottom"/>
          </w:tcPr>
          <w:p>
            <w:pPr>
              <w:jc w:val="right"/>
              <w:ind w:right="34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12. Share-Based Compensation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9020" w:type="dxa"/>
            <w:vAlign w:val="bottom"/>
            <w:gridSpan w:val="2"/>
          </w:tcPr>
          <w:p>
            <w:pPr>
              <w:ind w:left="340"/>
              <w:spacing w:after="0"/>
              <w:rPr>
                <w:sz w:val="20"/>
                <w:szCs w:val="20"/>
                <w:color w:val="auto"/>
              </w:rPr>
            </w:pPr>
            <w:r>
              <w:rPr>
                <w:rFonts w:ascii="Arial" w:cs="Arial" w:eastAsia="Arial" w:hAnsi="Arial"/>
                <w:sz w:val="18"/>
                <w:szCs w:val="18"/>
                <w:color w:val="auto"/>
                <w:w w:val="92"/>
              </w:rPr>
              <w:t>We recognized the following employee share-based compensation expense during the first quarter of 2016 and 2015:</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128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31,</w:t>
            </w:r>
          </w:p>
        </w:tc>
        <w:tc>
          <w:tcPr>
            <w:tcW w:w="8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auto"/>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2016, we granted approximately 2.1 million performance units to certain employees, which will vest with continued employment if the Company meets certain market-based performance goals. The performance units have a weighted average grant date fair value of $5.11 per share based on the Monte Carlo simulation method. The assumptions used in the Monte Carlo simulation included a risk-free rate of 0.80%, volatility of 68% and a zero dividend yield. As of March 31, 2016, there was $17 million of unrecognized compensation expense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2016, we also granted 2.4 million restricted shares at a weighted average grant date fair value of $6.19 per share. As of March 31, 2016, there was $113 million of unrecognized compensation expense related to our unvested restricted share grants. This cost is expected to be recognized over a weighted average period of 2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gridSpan w:val="6"/>
          </w:tcPr>
          <w:p>
            <w:pPr>
              <w:jc w:val="center"/>
              <w:ind w:left="1110"/>
              <w:spacing w:after="0"/>
              <w:rPr>
                <w:sz w:val="20"/>
                <w:szCs w:val="20"/>
                <w:color w:val="auto"/>
              </w:rPr>
            </w:pPr>
            <w:r>
              <w:rPr>
                <w:rFonts w:ascii="Arial" w:cs="Arial" w:eastAsia="Arial" w:hAnsi="Arial"/>
                <w:sz w:val="18"/>
                <w:szCs w:val="18"/>
                <w:b w:val="1"/>
                <w:bCs w:val="1"/>
                <w:color w:val="auto"/>
                <w:w w:val="92"/>
              </w:rPr>
              <w:t>Three Months Ended March 31, 2016</w:t>
            </w:r>
          </w:p>
        </w:tc>
        <w:tc>
          <w:tcPr>
            <w:tcW w:w="15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420" w:type="dxa"/>
            <w:vAlign w:val="bottom"/>
          </w:tcPr>
          <w:p>
            <w:pPr>
              <w:spacing w:after="0"/>
              <w:rPr>
                <w:sz w:val="20"/>
                <w:szCs w:val="20"/>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Write-Downs and Other Related Charges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on Sale of Businesses, Net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8890</wp:posOffset>
            </wp:positionV>
            <wp:extent cx="383349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26035"/>
                    </a:xfrm>
                    <a:prstGeom prst="rect">
                      <a:avLst/>
                    </a:prstGeom>
                    <a:noFill/>
                  </pic:spPr>
                </pic:pic>
              </a:graphicData>
            </a:graphic>
          </wp:anchor>
        </w:drawing>
      </w:r>
    </w:p>
    <w:p>
      <w:pPr>
        <w:spacing w:after="0" w:line="24" w:lineRule="exact"/>
        <w:rPr>
          <w:sz w:val="20"/>
          <w:szCs w:val="20"/>
          <w:color w:val="auto"/>
        </w:rPr>
      </w:pPr>
    </w:p>
    <w:p>
      <w:pPr>
        <w:ind w:left="500" w:hanging="330"/>
        <w:spacing w:after="0" w:line="25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pressure pumping business related charges of $20 million, supply agreement charges related to a non-core business divestiture of $15 million and $14 million primarily related to a rig casualty loss.</w:t>
      </w:r>
    </w:p>
    <w:p>
      <w:pPr>
        <w:spacing w:after="0" w:line="1"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restructuring charges of $77 million: $24 million in North America, $15 million in Europe/SSA/Russia, $15 million in Latin America, $10 million in Corporate and Research and Development, $9 million in MENA/Asia Pacific, and $4 million in Land Drilling Rigs.</w:t>
      </w:r>
    </w:p>
    <w:p>
      <w:pPr>
        <w:ind w:left="500" w:hanging="33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professional and other fees of $6 million and divestiture related charges of $2 million.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3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gridSpan w:val="6"/>
          </w:tcPr>
          <w:p>
            <w:pPr>
              <w:jc w:val="center"/>
              <w:ind w:left="1110"/>
              <w:spacing w:after="0"/>
              <w:rPr>
                <w:sz w:val="20"/>
                <w:szCs w:val="20"/>
                <w:color w:val="auto"/>
              </w:rPr>
            </w:pPr>
            <w:r>
              <w:rPr>
                <w:rFonts w:ascii="Arial" w:cs="Arial" w:eastAsia="Arial" w:hAnsi="Arial"/>
                <w:sz w:val="18"/>
                <w:szCs w:val="18"/>
                <w:b w:val="1"/>
                <w:bCs w:val="1"/>
                <w:color w:val="auto"/>
                <w:w w:val="92"/>
              </w:rPr>
              <w:t>Three Months Ended March 31, 2015</w:t>
            </w:r>
          </w:p>
        </w:tc>
        <w:tc>
          <w:tcPr>
            <w:tcW w:w="15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420" w:type="dxa"/>
            <w:vAlign w:val="bottom"/>
          </w:tcPr>
          <w:p>
            <w:pPr>
              <w:spacing w:after="0"/>
              <w:rPr>
                <w:sz w:val="18"/>
                <w:szCs w:val="18"/>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420" w:type="dxa"/>
            <w:vAlign w:val="bottom"/>
          </w:tcPr>
          <w:p>
            <w:pPr>
              <w:spacing w:after="0"/>
              <w:rPr>
                <w:sz w:val="20"/>
                <w:szCs w:val="20"/>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12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Gain on Sale of Businesses, Net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50"/>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8890</wp:posOffset>
            </wp:positionV>
            <wp:extent cx="383349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33495" cy="26035"/>
                    </a:xfrm>
                    <a:prstGeom prst="rect">
                      <a:avLst/>
                    </a:prstGeom>
                    <a:noFill/>
                  </pic:spPr>
                </pic:pic>
              </a:graphicData>
            </a:graphic>
          </wp:anchor>
        </w:drawing>
      </w:r>
    </w:p>
    <w:p>
      <w:pPr>
        <w:spacing w:after="0" w:line="24" w:lineRule="exact"/>
        <w:rPr>
          <w:sz w:val="20"/>
          <w:szCs w:val="20"/>
          <w:color w:val="auto"/>
        </w:rPr>
      </w:pPr>
    </w:p>
    <w:p>
      <w:pPr>
        <w:ind w:left="500" w:hanging="330"/>
        <w:spacing w:after="0" w:line="255" w:lineRule="auto"/>
        <w:tabs>
          <w:tab w:leader="none" w:pos="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Includes restructuring charges of $41 million: $8 million in North America, $6 million in MENA/Asia Pacific, $7 million in Europe/SSA/Russia, $12 million in Latin America, $5 million in Land Drilling Rigs and $3 million in Corporate and Research and Development.</w:t>
      </w:r>
    </w:p>
    <w:p>
      <w:pPr>
        <w:spacing w:after="0" w:line="1" w:lineRule="exact"/>
        <w:rPr>
          <w:rFonts w:ascii="Arial" w:cs="Arial" w:eastAsia="Arial" w:hAnsi="Arial"/>
          <w:sz w:val="16"/>
          <w:szCs w:val="16"/>
          <w:color w:val="auto"/>
        </w:rPr>
      </w:pPr>
    </w:p>
    <w:p>
      <w:pPr>
        <w:ind w:left="500" w:hanging="330"/>
        <w:spacing w:after="0" w:line="257" w:lineRule="auto"/>
        <w:tabs>
          <w:tab w:leader="none" w:pos="50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Includes professional fees of $13 million related to the divestiture of our non-core businesses, restatement related litigation, post-settlement monitor and auditor expenses and other charges of $8 million.</w:t>
      </w:r>
    </w:p>
    <w:p>
      <w:pPr>
        <w:spacing w:after="0" w:line="177" w:lineRule="exact"/>
        <w:rPr>
          <w:rFonts w:ascii="Arial" w:cs="Arial" w:eastAsia="Arial" w:hAnsi="Arial"/>
          <w:sz w:val="16"/>
          <w:szCs w:val="16"/>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in our U.S. Securities and Exchange Commission (the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That case, captioned </w:t>
      </w:r>
      <w:r>
        <w:rPr>
          <w:rFonts w:ascii="Arial" w:cs="Arial" w:eastAsia="Arial" w:hAnsi="Arial"/>
          <w:sz w:val="17"/>
          <w:szCs w:val="17"/>
          <w:i w:val="1"/>
          <w:iCs w:val="1"/>
          <w:color w:val="auto"/>
        </w:rPr>
        <w:t>Erste-Sparinvest KAG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w:t>
      </w:r>
      <w:r>
        <w:rPr>
          <w:rFonts w:ascii="Arial" w:cs="Arial" w:eastAsia="Arial" w:hAnsi="Arial"/>
          <w:sz w:val="17"/>
          <w:szCs w:val="17"/>
          <w:color w:val="auto"/>
        </w:rPr>
        <w:t>Case in September 2014. A motion to dismiss was granted May</w:t>
      </w:r>
      <w:r>
        <w:rPr>
          <w:rFonts w:ascii="Arial" w:cs="Arial" w:eastAsia="Arial" w:hAnsi="Arial"/>
          <w:sz w:val="17"/>
          <w:szCs w:val="17"/>
          <w:i w:val="1"/>
          <w:iCs w:val="1"/>
          <w:color w:val="auto"/>
        </w:rPr>
        <w:t xml:space="preserve"> </w:t>
      </w:r>
      <w:r>
        <w:rPr>
          <w:rFonts w:ascii="Arial" w:cs="Arial" w:eastAsia="Arial" w:hAnsi="Arial"/>
          <w:sz w:val="17"/>
          <w:szCs w:val="17"/>
          <w:color w:val="auto"/>
        </w:rPr>
        <w:t>15, 2015 and an appeal, which remains pending, was filed on June 15, 2015.</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cannot reliably predict the outcome of the appeal including the amount of any possible loss. If one or more negative outcomes were to occur relative to the </w:t>
      </w:r>
      <w:r>
        <w:rPr>
          <w:rFonts w:ascii="Arial" w:cs="Arial" w:eastAsia="Arial" w:hAnsi="Arial"/>
          <w:sz w:val="18"/>
          <w:szCs w:val="18"/>
          <w:i w:val="1"/>
          <w:iCs w:val="1"/>
          <w:color w:val="auto"/>
        </w:rPr>
        <w:t>Neff</w:t>
      </w:r>
      <w:r>
        <w:rPr>
          <w:rFonts w:ascii="Arial" w:cs="Arial" w:eastAsia="Arial" w:hAnsi="Arial"/>
          <w:sz w:val="18"/>
          <w:szCs w:val="18"/>
          <w:color w:val="auto"/>
        </w:rPr>
        <w:t xml:space="preserve"> Case, the aggregate impact to our financial condition could be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4, 2015, the U.S. District Court for the Southern District of New York entered a final judgment and an order approving the settlement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shareholder securities class action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1:12-cv-02121-LAK (S.D.N.Y.).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settlement, we were required to pay $120 million in 2015, which was partially funded by insurance proceeds. There was no admission of liability or fault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party in connection with the settlement. We are pursuing reimbursement from our insurance carriers and have recovered a total of $19 million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settlement amount, of which $4 million was recovered in the first quarter of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32"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previously disclosed, the SEC and the U.S. Department of Justice (“DOJ”) are also investigating the circumstances surrounding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and have been discussing a resolution with the SEC. During the first quarter 2016 we continued to discuss potential resolution with the SEC and, based on the progress of these discussions to date, we have booked an accrual in the amount of $65 million. However, we are unable to predict whether a settlement will be reached or, if so, the amount of any such settlement, and the actual loss incurred in connection with this matter could exceed the amount accrued. Further, we may not reach a settlement with the government which could result in litigation.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we have certain claims, disputes and pending litigation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maintain a contractual residual value guarantee at March 31, 2016 of $68 million in “Other Current Liabilities” and $28 million in “Other Non-Current Liabilities” related to certain lease equipment in our North America pressure pumping business and our Land Drilling Rigs segment on our Consolidated Balance Sheets.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supply contract related minimum purchase commitments and maintain a liability at March 31, 2016 of $156 million, of which $63 million is recorded in current liabilities and $93 million is recorded in “Other Non-Current Liabilities” on our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which requires that debt issuance costs related to a recognized debt liability be presented in the balance sheet as a direct deduction from the carrying amount of that debt liability. We adopted ASU 2015-03 in the first quarter of 2016 retrospectively, which reduced Long-term debt and Other non-current assets by $27 million and $26 million as of December 31, 2015 and March 31, 2016,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impacts certain aspects of the accounting for share-based payment transactions. This update provides various transition requirements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both prospective, modified retrospective and retrospective application guidance. The new standard will be effective for us beginning with the first quarter of 2017. Early adoption is permitted, but it must include all amendments in the same period. We are evaluating the impact that this new standard will have on our Condensed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 lessee to recognize a lease asset and lease liability for most leases, including those classified as operating leases under existing GAAP. The ASU also changes the definition of a lease and requires expanded quantitative and qualitative disclosures for both lessees and lessors. The new standard will be effective for us beginning with the first quarter of 2019. Early application is permitted. The standard requires the use of a modified retrospective transition method and permits certain practical expedients to be applied. We are evaluating the effect that ASU 2016-02 will have on our Condensed Consolidated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2015, the Financial Accounting Standards Board (“FASB”) issued ASU 2015-17</w:t>
      </w:r>
      <w:r>
        <w:rPr>
          <w:rFonts w:ascii="Arial" w:cs="Arial" w:eastAsia="Arial" w:hAnsi="Arial"/>
          <w:sz w:val="18"/>
          <w:szCs w:val="18"/>
          <w:i w:val="1"/>
          <w:iCs w:val="1"/>
          <w:color w:val="auto"/>
        </w:rPr>
        <w:t>, Income Taxes (Topic 740): Balance Sheet 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Deferred Taxes, </w:t>
      </w:r>
      <w:r>
        <w:rPr>
          <w:rFonts w:ascii="Arial" w:cs="Arial" w:eastAsia="Arial" w:hAnsi="Arial"/>
          <w:sz w:val="18"/>
          <w:szCs w:val="18"/>
          <w:color w:val="auto"/>
        </w:rPr>
        <w:t>which eliminates the current requirement to present deferred tax liabilities and assets as current and noncurrent in a classified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Instead, all deferred tax assets and liabilities will be required to be classified as noncurrent. The new standard will be effective for us beginning with the first quarter of 2017. Early adoption is permitted. We are evaluating the impact that this new standard will have on our Condensed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which requires inventory not measured using either the last in, first out (LIFO) or the retail inventory method to be measured at the lower of cost and net realizable value. Net realizable value is the estimated selling price in the ordinary course of business, less reasonably predictable cost of completion, disposal, and transportation. The new standard will be effective for us beginning with the first quarter of 2017, and will be applied prospectively. Early adoption is permitted. We do not expect the impact of our adoption to have a material effect on our Condensed Consolidated Financial Statements.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will require an entity to recognize revenue to depict the transfer of promised goods or services to customers in an amount that reflects the consideration to which the entity expects to be entitled in exchange for those goods or services. ASU 2014-09 will replace most existing revenue recognition guidance in GAAP when it becomes effective.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deferred the effective date of ASU 2014-09 to annual and interim periods in fiscal years beginning after December 15, 2017. Earlier application is permitted only as of annual and interim reporting periods in fiscal years beginning after December 15, 2016. ASU 2014-09 permits either a retrospective application or a cumulative effect transition method. We have not yet selected the application date or a transition method, and we are currently evaluating the impact our adoption of this standard would have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March 31, 2016 and December 31, 2015: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March 31, 2016 and December 31, 2015: (1) revolving credit facility, (2) 6.50% senior notes, (3) 6.00% senior notes, (4) 7.00% senior notes, (5) 9.625% senior notes, (6) 9.875% senior notes, (7) 5.125% senior notes, (8) 6.75% senior notes, (9) 4.50% senior notes and (10) 5.95% senior notes. At December 31, 2015, Weatherford Delaware also guaranteed the 5.50% senior notes of Weatherford Bermuda.</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5,355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9,150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9,857</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5,121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10,589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9,627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19,456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(30,277)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8,709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9,196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5,852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8,713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28,670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(38,199)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Insurance Proceeds Related to Rig Loss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4, 2016, we entered into an amended and restated revolving credit facility (the “A&amp;R Credit Agreement”) in the amount of $1.15 billion, and a $500 million secured term loan agreement (the “Term Loan Agreement” and collectively with the A&amp;R Credit Agreement, the “New Credit Agreements”). For lenders that have agreed to extend their commitments (such lenders, representing 88% of all commitments, the “extending lenders”), the A&amp;R Credit Agreement matures in July of 2019, subject to an earlier maturity of November 28, 2018 if, under certain circumstances, we have not voluntarily redeemed, repurchased, refinanced or otherwise retired at least $500 million of our 2019 Senior Notes prior to November 28, 2018. For lenders that have not agreed to extend their revolving commitments (such lenders, representing 12% of all commitments, the “non-extending lenders”), the A&amp;R Credit Agreement matures in July of 2017. The Term Loan Agreement matures in July of 2020. Prior to the initial borrowing under the New Credit Agreements, we must satisfy various conditions. Loans under the New Credit Agreements are subject to varying rates of interest based on whether the loan is a Eurodollar loan or an alternate base rate loan. We also incur a quarterly facility fee on the amount of the A&amp;R Credit Agreement.</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Eurodollar Loans. </w:t>
      </w:r>
      <w:r>
        <w:rPr>
          <w:rFonts w:ascii="Arial" w:cs="Arial" w:eastAsia="Arial" w:hAnsi="Arial"/>
          <w:sz w:val="17"/>
          <w:szCs w:val="17"/>
          <w:color w:val="auto"/>
        </w:rPr>
        <w:t>Eurodollar loans bear interest at the Eurodollar rate, which is LIBOR,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Eurodollar loans under the A&amp;R Credit Agreement depends on whether the lender is an extending lender or a non-extending lender. For non-extending lenders, the applicable margin under the A&amp;R Credit Agreement ranges from 0.75% to 1.925% depending on our credit rating, and for extending lenders under the A&amp;R Credit Agreement the applicable margin ranges from 1.925% to 3.7% depending on our leverage ratio. The applicable margin for Eurodollar loans under the Term Loan Agreement ranges from 1.425% to 3.2% depending on our leverage ratio.</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Alternate Base Rate Loans. </w:t>
      </w:r>
      <w:r>
        <w:rPr>
          <w:rFonts w:ascii="Arial" w:cs="Arial" w:eastAsia="Arial" w:hAnsi="Arial"/>
          <w:sz w:val="17"/>
          <w:szCs w:val="17"/>
          <w:color w:val="auto"/>
        </w:rPr>
        <w:t>Alternate base rate loans bear interest at the alternate base rate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alternate base rate loans under the A&amp;R Credit Agreement depends on whether the lender is an extending lender or a non-extending lender. For non-extending lenders, the applicable margin under the A&amp;R Credit Agreement ranges from 0.0% to 0.925% depending on our credit rating, and for extending lenders the applicable margin under the A&amp;R Credit Agreement ranges from 0.925% to 2.7% depending on our leverage ratio. The applicable margin for alternate base rate loans under the Term Loan Agreement ranges from 0.425% to 2.2% depending on our leverage ratio.</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Borrowings under our A&amp;R Credit Agreement may be repaid from time to time without penalty. Obligations under the Term Loan Agreement are secured by substantially all of our assets. In addition, obligations under the New Credit Agreements are guaranteed by a material portion of our subsidiaries.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New Credit Agreements contain covenants including, among others, the following:</w:t>
      </w:r>
    </w:p>
    <w:p>
      <w:pPr>
        <w:spacing w:after="0" w:line="63" w:lineRule="exact"/>
        <w:rPr>
          <w:sz w:val="20"/>
          <w:szCs w:val="20"/>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restriction on creating liens on our assets and the assets of our operating subsidiaries,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mergers or asset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63"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Leverage ratio of no greater than 3 to 1 through December 31, 2016 and 2.5 to 1 thereafter until maturity. This ratio measures our indebtedness guaranteed by subsidiaries under the New Credit Agreements and other guaranteed facilities to the trailing four quarters consolidated adjusted earnings before interest, taxes, depreciation, amortization and other specified charges (“EBITDA”);</w:t>
      </w:r>
    </w:p>
    <w:p>
      <w:pPr>
        <w:spacing w:after="0" w:line="19"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Leverage and letters of credit ratio of no greater than 4 to 1 on or before December 31, 2016 and 3.5 to 1 thereafter calculated as our indebtedness guaranteed by subsidiaries under the New Credit Agreements and other guaranteed facilities and all letters of credit to the trailing four quarters consolidated adjusted EBITDA; and</w:t>
      </w:r>
    </w:p>
    <w:p>
      <w:pPr>
        <w:spacing w:after="0" w:line="19" w:lineRule="exact"/>
        <w:rPr>
          <w:rFonts w:ascii="Arial" w:cs="Arial" w:eastAsia="Arial" w:hAnsi="Arial"/>
          <w:sz w:val="18"/>
          <w:szCs w:val="18"/>
          <w:color w:val="auto"/>
        </w:rPr>
      </w:pPr>
    </w:p>
    <w:p>
      <w:pPr>
        <w:ind w:left="1060" w:hanging="323"/>
        <w:spacing w:after="0" w:line="277"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Asset coverage ratio of at least 4 to 1, which is calculated as of our asset value to indebtedness guaranteed by subsidiaries under the New Credit Agreements and other guaranteed facilities; and</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Our New Credit Agreements contain customary events of default, including our failure to comply with the financial covenants described above.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conduct operations globally and have service and sales locations in nearly all of the oil and natural gas producing regions in the world. Our operational performance is reviewed on a geographic basis, and we report these regions as separate, distinct reporting segments.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Wireline Services, Testing and Production Services, Re-entry and Fishing Services, Cementing, Liner Systems, Integrated Laboratory Services and Surface Logging Systems.</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amounts have been reclassified to conform to the current year presentation related to adoption of new accounting standards. Net income and shareholders’ equity were not affected by these reclassifications. See “Note 15 – New Accounting Pronouncements” to our Condensed Consolidated Financial Statements for additional details.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1" w:lineRule="exact"/>
              <w:rPr>
                <w:sz w:val="20"/>
                <w:szCs w:val="20"/>
                <w:color w:val="auto"/>
              </w:rPr>
            </w:pPr>
            <w:r>
              <w:rPr>
                <w:rFonts w:ascii="Arial" w:cs="Arial" w:eastAsia="Arial" w:hAnsi="Arial"/>
                <w:sz w:val="30"/>
                <w:szCs w:val="30"/>
                <w:b w:val="1"/>
                <w:bCs w:val="1"/>
                <w:color w:val="auto"/>
                <w:w w:val="88"/>
                <w:vertAlign w:val="subscript"/>
              </w:rPr>
              <w:t>Gas</w:t>
            </w:r>
            <w:r>
              <w:rPr>
                <w:rFonts w:ascii="Arial" w:cs="Arial" w:eastAsia="Arial" w:hAnsi="Arial"/>
                <w:sz w:val="12"/>
                <w:szCs w:val="12"/>
                <w:b w:val="1"/>
                <w:bCs w:val="1"/>
                <w:color w:val="auto"/>
                <w:w w:val="88"/>
              </w:rPr>
              <w:t xml:space="preserve"> (b)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2015</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Price per barrel of West Texas Intermediate (“WTI”) crude oil as of the date indicated at Cushing, Oklahoma – </w:t>
      </w:r>
      <w:r>
        <w:rPr>
          <w:rFonts w:ascii="Arial" w:cs="Arial" w:eastAsia="Arial" w:hAnsi="Arial"/>
          <w:sz w:val="14"/>
          <w:szCs w:val="14"/>
          <w:i w:val="1"/>
          <w:iCs w:val="1"/>
          <w:color w:val="auto"/>
        </w:rPr>
        <w:t>Source:</w:t>
      </w:r>
      <w:r>
        <w:rPr>
          <w:rFonts w:ascii="Arial" w:cs="Arial" w:eastAsia="Arial" w:hAnsi="Arial"/>
          <w:sz w:val="14"/>
          <w:szCs w:val="14"/>
          <w:color w:val="auto"/>
        </w:rPr>
        <w:t xml:space="preserv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Price per MM/BTU as of the date indicated at Henry Hub Louisiana – </w:t>
      </w:r>
      <w:r>
        <w:rPr>
          <w:rFonts w:ascii="Arial" w:cs="Arial" w:eastAsia="Arial" w:hAnsi="Arial"/>
          <w:sz w:val="14"/>
          <w:szCs w:val="14"/>
          <w:i w:val="1"/>
          <w:iCs w:val="1"/>
          <w:color w:val="auto"/>
        </w:rPr>
        <w:t>Source:</w:t>
      </w:r>
      <w:r>
        <w:rPr>
          <w:rFonts w:ascii="Arial" w:cs="Arial" w:eastAsia="Arial" w:hAnsi="Arial"/>
          <w:sz w:val="14"/>
          <w:szCs w:val="14"/>
          <w:color w:val="auto"/>
        </w:rPr>
        <w:t xml:space="preserv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Average rig count for the period indicated – </w:t>
      </w:r>
      <w:r>
        <w:rPr>
          <w:rFonts w:ascii="Arial" w:cs="Arial" w:eastAsia="Arial" w:hAnsi="Arial"/>
          <w:sz w:val="14"/>
          <w:szCs w:val="14"/>
          <w:i w:val="1"/>
          <w:iCs w:val="1"/>
          <w:color w:val="auto"/>
        </w:rPr>
        <w:t>Source:</w:t>
      </w:r>
      <w:r>
        <w:rPr>
          <w:rFonts w:ascii="Arial" w:cs="Arial" w:eastAsia="Arial" w:hAnsi="Arial"/>
          <w:sz w:val="14"/>
          <w:szCs w:val="14"/>
          <w:color w:val="auto"/>
        </w:rPr>
        <w:t xml:space="preserve"> Baker Hughes Rig Count</w:t>
      </w:r>
    </w:p>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2016, oil prices ranged from a high of $41.66 per barrel in mid-March to a low of less than of $27.00 per barrel on the New York Mercantile Exchange. Natural gas ranged from a high of $2.47 MM/BTU in early January to a low of $1.64 MM/BTU in early March.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remainder of 2016 will continue to be challenged by the continued weakness in oil prices and severe market contraction for our services. The market weakness and contraction has materially reduced capital spending by our customers, which has reduced our revenue, both through lower activity levels and pricing. In response to the continued weakness in the price of crude oil and the continued decline in the anticipated level of exploration and production spending in 2016, we initiated another plan to continue reducing our cost structure through a workforce reduction of 6,000 additional employees. This was substantially complete as of March 31, 2016. Due to the continued downturn, we have increased the target headcount reduction by another 2,000 and expect these headcount reductions to be completed by the first half of 2016. In addition, we plan to close nine manufacturing and service facilities during 2016, of which four were completed in the first quarter 2016. We project to close over 50 of our operating and non-operating facilities in 2016 and have closed over 25 in the first quarter of 2016.</w:t>
      </w:r>
    </w:p>
    <w:p>
      <w:pPr>
        <w:spacing w:after="0" w:line="19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expect market conditions to continue to weaken during the first half of 2016 with the potential for a slight recovery during the second half of the year from seasonal improvements and if commodity prices continue to stabilize. North America will continue to be severely impacted by both lower volume and pricing pressure as our customers continue to respond to the decline in commodity prices. We expect Latin America to show contraction in Mexico, Colombia and Brazil from lower activity levels as well as self-imposed reductions in Ecuador and Venezuela. We expect the Eastern Hemisphere to begin showing improvements before North America, with some opportunity for revenue and profitability increases during the second half of 2016.</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also our intention to divest our remaining land drilling rigs when market conditions improve. Upon completion, the cash proceeds from any divestitures are expected to be used to repay or repurchase debt. Any such debt reduction may include the repurchase of our outstanding senior notes prior to their maturity in the open market, through a privately negotiated transaction or otherwise.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OPEC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first quarter of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55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5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Asset Write-Downs and Other Related Charges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Litigation Charges, Net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Sale of Businesses,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Items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97"/>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89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70"/>
              <w:spacing w:after="0"/>
              <w:rPr>
                <w:sz w:val="20"/>
                <w:szCs w:val="20"/>
                <w:color w:val="auto"/>
              </w:rPr>
            </w:pPr>
            <w:r>
              <w:rPr>
                <w:rFonts w:ascii="Arial" w:cs="Arial" w:eastAsia="Arial" w:hAnsi="Arial"/>
                <w:sz w:val="18"/>
                <w:szCs w:val="18"/>
                <w:color w:val="auto"/>
                <w:w w:val="79"/>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Service Line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contains the percentage distribution of our consolidated revenues by product service line group for the first quarter of 2016 and 2015:</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6960" w:type="dxa"/>
            <w:vAlign w:val="bottom"/>
          </w:tcPr>
          <w:p>
            <w:pPr>
              <w:spacing w:after="0"/>
              <w:rPr>
                <w:sz w:val="23"/>
                <w:szCs w:val="23"/>
                <w:color w:val="auto"/>
              </w:rPr>
            </w:pPr>
          </w:p>
        </w:tc>
        <w:tc>
          <w:tcPr>
            <w:tcW w:w="15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March 31,</w:t>
            </w:r>
          </w:p>
        </w:tc>
        <w:tc>
          <w:tcPr>
            <w:tcW w:w="720" w:type="dxa"/>
            <w:vAlign w:val="bottom"/>
          </w:tcPr>
          <w:p>
            <w:pPr>
              <w:spacing w:after="0"/>
              <w:rPr>
                <w:sz w:val="23"/>
                <w:szCs w:val="23"/>
                <w:color w:val="auto"/>
              </w:rPr>
            </w:pPr>
          </w:p>
        </w:tc>
      </w:tr>
      <w:tr>
        <w:trPr>
          <w:trHeight w:val="27"/>
        </w:trPr>
        <w:tc>
          <w:tcPr>
            <w:tcW w:w="6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b w:val="1"/>
                <w:bCs w:val="1"/>
                <w:color w:val="auto"/>
                <w:w w:val="84"/>
              </w:rPr>
              <w:t>2015</w:t>
            </w:r>
          </w:p>
        </w:tc>
      </w:tr>
      <w:tr>
        <w:trPr>
          <w:trHeight w:val="27"/>
        </w:trPr>
        <w:tc>
          <w:tcPr>
            <w:tcW w:w="6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6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57"/>
        </w:trPr>
        <w:tc>
          <w:tcPr>
            <w:tcW w:w="696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Consolidated revenues decreased $1.2 billion, or 43%, in the first quarter of 2016 compared to the first quarter of 2015. Revenues decreased in the first quarter of 2016 across all of our segments with declines of $620 million, or 53%, in North America, $513 million, or 36%, in our International segments and $76 million, or 39%, in Land Drilling Rigs. International revenues represent revenues of our regional segments other than North America and the Land Drilling Rigs segments. The decline in North American revenue is consistent with the 57% decrease in North American rig count since the first quarter of 2015 with significant declines across product lines in the United States and Canada, particularly pressure pumping, artificial lift, intervention services and drilling services. The decline in the North America segment was driven by a combination of lower activity and customer pricing pressure.</w:t>
      </w:r>
    </w:p>
    <w:p>
      <w:pPr>
        <w:spacing w:after="0" w:line="16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decline in revenues in our International segments due to the decrease in international rig count of 19% since the first quarter of 2015 as well as declines in revenue from our Europe/Russia/SSA and MENA/Asia Pacific due to pricing pressure and reduced activity across our product lines. Lastly, our Latin America segment experienced lower activity particularly in the Well Construction and Formation Evaluation product lines. The decline in our Land Drilling Rigs revenue is primarily attributable to the decline in drilling activity consistent with the rig count declines and decreases in new drilling activity.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operating income decreased $497 million, or 994%, in the first quarter of 2016 compared to the first quarter of 2015. The decline in operating income is consistent with the reduction in activity resulting from the significant decline in both the price of oil and rig counts, which has put pressure on our pricing and has resulted in a lower volume of work.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Consolidated operating loss for the first quarter of 2016 and consolidated operating income for the first quarter of 2015 also includes charges as follows:</w:t>
      </w:r>
    </w:p>
    <w:p>
      <w:pPr>
        <w:spacing w:after="0" w:line="248"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$77 million in 2016 and $41 million in 2015 of severance and restructuring charges;</w:t>
      </w:r>
    </w:p>
    <w:p>
      <w:pPr>
        <w:spacing w:after="0" w:line="11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$67 million in 2016 of litigation charges primarily for a proposed settlement offer of the SEC/DOJ lawsuit related to the restatement of our historical financial statements in previous years: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 million in 2016 of supply contract related charges and casualty losses; and</w:t>
      </w:r>
    </w:p>
    <w:p>
      <w:pPr>
        <w:spacing w:after="0" w:line="11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$8 million in 2016 and $21 million in 2015 of professional and other fees, divestiture related charges, loss on sale of businesses and investments, and other charges.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charges by segment, see the subsection entitled “Segment Results” and “Restructuring Charges” below.</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Revenues in our North America segment decreased $620 million, or 53%, in the first quarter of 2016 compared to the first quarter of 2015. North American average rig count decreased 57% since March 31, 2015. The decline in revenue in the first quarter of 2016 was due to lower activity and pricing pressure that broadly impacted all product lines, particularly artificial lift, pressure pumping, drilling services, and intervention services and drilling tools.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loss in our North America segment increased $118 million, or 1,180%, in the first quarter of 2016 compared to the first quarter of 2015. The same factors contributing to the decline in revenues directly contributed to the increase in operating loss, partially offset by cost savings from the operating and non-operating facility closures, headcount reductions, lower depreciation and amortization due to decreased capital spending and impairments in previous quarters.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MENA/Asia Pacific segment decreased $172 million, or 32%, in the first quarter of 2016 compared to the first quarter of 2015. The revenue decline affected most product lines but primarily intervention services, wireline, testing and production services, and tubular running services. The decline was attributable to lower revenues from our legacy Zubair contract in Iraq as it nears completion, lower activity in Saudi Arabia and Qatar and lower demand in the Asia Pacific region, primarily in Indonesia, Malaysia, Australia and China.</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$106 million, or 177%, in the first quarter of 2016 compared to the first quarter of 2015. The decrease in operating income is primarily attributable to legacy contract project losses in Iraq and lower activity across most product lines. The decline was partially offset by cost improvements from the closure of unprofitable locations.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Europe/SSA/Russia segment decreased $160 million, or 38%, in the first quarter of 2016 compared to the first quarter of 2015. The decline in activity directly impacted the decline in revenues due to lower demand and pricing pressure across all product lines. The overall decline was led by Europe, primarily in the United Kingdom, Norway and Romania. The lower activity from continued project delays in Angola, Gabon and Nigeria in Sub-Sahara Africa contributed to the revenue decline.</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income decreased $72 million, or 101%, in the first quarter of 2016 compared to the first quarter of 2015. The decline was the direct impact of lower revenue activity and pricing pressure as mentioned above offset by headcount reductions cost savings.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Latin America segment decreased $181 million, or 37%, in the first quarter of 2016 compared to the first quarter of 2015. The decline in revenue is primarily due to reduced demand across our core product lines, primarily drilling services, intervention, production related services and artificial lift in Colombia, Venezuela, Brazil, Mexico and Ecuador.</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$54 million, or 55%, in the first quarter of 2016 compared to the first quarter of 2015. The same factors contributing to the decline in revenues directly contributed to the decline in operating income, which were partially offset by cost reduction initiatives and improved margins in Mexico and Argentina.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Drilling Rigs segment decreased $76 million, or 39%, in the first quarter of 2016 compared to the first quarter of 2015. Operating income decreased $36 million, or 360%, in the first quarter of 2016 compared to the first quarter of 2015. The decrease is due to the overall decrease in the international rig count and reduced drilling activity and pricing pressures which have negatively impacted our operations in MENA and SSA, partially offset by headcount reduction cost savings.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Currency Devaluation Charges</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2016 and 2015, currency devaluation charges reflect the impact of the devaluation of the Angolan kwanza of $31 million and the Venezuelan bolivar of $26 million, respectively. The currency devaluation charges are included in current earnings in the line captioned “</w:t>
      </w:r>
      <w:r>
        <w:rPr>
          <w:rFonts w:ascii="Arial" w:cs="Arial" w:eastAsia="Arial" w:hAnsi="Arial"/>
          <w:sz w:val="17"/>
          <w:szCs w:val="17"/>
          <w:color w:val="auto"/>
        </w:rPr>
        <w:t>Currency Devaluation</w:t>
      </w:r>
      <w:r>
        <w:rPr>
          <w:rFonts w:ascii="Arial" w:cs="Arial" w:eastAsia="Arial" w:hAnsi="Arial"/>
          <w:sz w:val="18"/>
          <w:szCs w:val="18"/>
          <w:color w:val="auto"/>
        </w:rPr>
        <w:t xml:space="preserve"> </w:t>
      </w:r>
      <w:r>
        <w:rPr>
          <w:rFonts w:ascii="Arial" w:cs="Arial" w:eastAsia="Arial" w:hAnsi="Arial"/>
          <w:sz w:val="17"/>
          <w:szCs w:val="17"/>
          <w:color w:val="auto"/>
        </w:rPr>
        <w:t>Charges</w:t>
      </w:r>
      <w:r>
        <w:rPr>
          <w:rFonts w:ascii="Arial" w:cs="Arial" w:eastAsia="Arial" w:hAnsi="Arial"/>
          <w:sz w:val="18"/>
          <w:szCs w:val="18"/>
          <w:color w:val="auto"/>
        </w:rPr>
        <w:t>” on the accompanying Condensed Consolidated Statements of Operations.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line captioned “Other, Net” on the accompanying Condensed Consolidated Statements of Operations are other net foreign currency gains of $7 million in the first quarter of 2016 compared to charges of and $12 million in the first quarter of 2015. The net foreign currency gains are primarily due to the strengthening or weakening U.S. dollar compared to our foreign denominated operations and the changes in fair value of our foreign currency forward contracts and cross-currency swap contracts.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Net interest expense was $115 million and $120 million for the first quarter of 2016 and 2015, respectively. Interest expense for the first quarter of 2016 decreased primarily due to lower debt balances due to the repayment of debt and the repurchase of certain senior notes in the past year.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first quarter of 2016, we had a tax benefit of $101 million, on a loss before income taxes of $592 million. Our results for the first quarter of 2016 include charges with no significant tax benefit principally related to a $65 million litigation accrual, $52 million of Zubair project losses and $31 million of currency devaluation related to the Angolan kwanza.</w:t>
      </w:r>
    </w:p>
    <w:p>
      <w:pPr>
        <w:spacing w:after="0" w:line="15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$16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first quarter of 2015, we had no tax provision on a loss before income taxes of $107 million. Our results for the first quarter of 2015 were impacted by discrete loss before tax items, including approximately $41 million of restructuring charges and a $26 million devaluation of the Venezuelan bolivar, with no significant tax benefit.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further declines in crude oil prices and our anticipation of a lower level of exploration and production spending in 2016, we initiated an additional plan to reduce our overall costs and workforce to better align with anticipated activity levels. This cost reduction plan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 Plan, we recognized restructuring charges of $77 million in the first quarter of 2016, which include termination (severance) benefits of $72 million and other restructuring charges of $5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2014, we announced a cost reduction plan (the “2015 Plan”), which included a worldwide workforce reduction and other cost reduction measures. In the first quarter of 2015, we recognized restructuring charges of $41 million for the 2015 Plan, which include termination (severance) benefits of $40 million and other restructuring charges of $1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the 2016 Plan and the 2015 Plan restructuring charges by segment for the first quarter of 2016 and 2015.</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6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2"/>
              </w:rPr>
              <w:t>Three Months Ended March 31, 2016</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2"/>
              </w:rPr>
              <w:t>Three Months Ended March 31, 2015</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78"/>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32</w:t>
            </w: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320"/>
          </w:cols>
          <w:pgMar w:left="240" w:top="449"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March 31, 2016, we had cash and cash equivalents of $464 million compared to $467 million at December 31, 2015. The following table summarizes cash flows provided by (used in) each type of activity, for the first quarter of 2016 and 2015:</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7"/>
        </w:trPr>
        <w:tc>
          <w:tcPr>
            <w:tcW w:w="7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7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7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first quarter of 2016, cash used in operating activities was $205 million compared to $42 million in the first quarter of 2015. The operating cash flow in 2016 compared to 2015 was attributable to a decline in operating income due associated with the significant decline in oil prices and drilling activity, partially offset by improved cash flow from working capital.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driver of our investing cash flow activities is capital expenditures for property, plant and equipment. Capital expenditures were $43 million and $224 million for the first quarter of 2016 and 2015, respectively. The amount we spend for capital expenditures varies each year based on the type of contracts in which we enter, our asset availability and our expectations with respect to industry activity levels in the following year. The significant decline in capital expenditures is due to the continued weakness in the price of crude oil, continued weakness in demand, and lower than expected exploration and production spending.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2016, we received $30 million of insurance proceeds from the loss of a rig in Kuwait.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2016, we received net proceeds of $630 million from the issuance of 115 million ordinary shares of the Company. Our financing activities also consisted of the borrowing and repayment of short-term and long-term debt. Short-term debt repayments were $372 million in the first quarter of 2016 compared to short-term borrowings of $479 million in the first quarter of 2015.</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net long-term debt repayments were $9 million in the first quarter of 2016 compared to total net long-term debt repayments of $154 million in the first quarter of 2015. The long-term debt repayments in 2016 were primarily comprised of the repayment of our 5.5% senior note with a principal balance of $350 million. In the first quarter of 2015, through a series of open market transactions, we repurchased certain of our 4.5% senior notes, 5.95% senior notes, 6.5% senior notes, 6.75% senior notes with a total book value of $160 million. We recognized a cumulative gain of approximately $12 million on these transactions.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are no longer core to our long-term strategy.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 2016, we amended our unsecured, revolving credit agreement (the “Credit Agreement”) that matures on July 13, 2017 and reduced the limit of borrowings to $2 billion. The Credit Agreement can be used for a combination of borrowings, including support for our former commercial paper program and issuances of letters of credit. The amended Credit Agreement requires that we maintain a debt-to-total capitalization ratio of less than 70% for the quarters ended March 31, 2016 and June 30, 2016, and less than 60% thereafter. As of March 31, 2016, we were in compliance with this covenant with a ratio of 53.6%. The covenant ratio is calculated as total consolidated indebtedness, net of derivative positions of $14 million, divided by total capitalization, including non-controlling interest balances and excluding $1.46 billion of foreign currency translation adjustments.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May 4, 2016, we entered into an amended and restated credit agreement and a term loan agreement, collectively the “New Credit Agreements”. Once effective, our New Credit Agreements will require that we maintain the following new financial covenants:</w:t>
      </w:r>
    </w:p>
    <w:p>
      <w:pPr>
        <w:spacing w:after="0" w:line="224" w:lineRule="exact"/>
        <w:rPr>
          <w:sz w:val="20"/>
          <w:szCs w:val="20"/>
          <w:color w:val="auto"/>
        </w:rPr>
      </w:pPr>
    </w:p>
    <w:p>
      <w:pPr>
        <w:jc w:val="both"/>
        <w:ind w:left="106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ratio of no greater than 3 to 1 through December 31, 2016 and 2.5 to 1 thereafter until maturity. This ratio measures our indebtedness guaranteed by subsidiaries under the New Credit Agreements and other guaranteed facilities to the trailing four quarters consolidated adjusted earnings before interest, taxes, depreciation, amortization and other specified charges (“EBITDA”);</w:t>
      </w:r>
    </w:p>
    <w:p>
      <w:pPr>
        <w:spacing w:after="0" w:line="19"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and letters of credit ratio of no greater than 4 to 1 on or before December 31, 2016 and 3.5 to 1 thereafter calculated as our indebtedness guaranteed by subsidiaries under the New Credit Agreements and other guaranteed facilities and all letters of credit to the trailing four quarters consolidated adjusted EBITDA; and</w:t>
      </w:r>
    </w:p>
    <w:p>
      <w:pPr>
        <w:spacing w:after="0" w:line="19"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 coverage ratio of at least 4 to 1, which is calculated as of our asset value to indebtedness guaranteed by subsidiaries under the New Credit Agreements and other guaranteed facilities; and</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not subject to these new financial covenants in the current quarter, as of March 31, 2016 we would have been in compliance with these new financial covenants with a leverage ratio of 1.06 to 1, a leverage and letters of credit ratio of 1.69 to 1 and an asset coverage ratio of 14.0 to 1. Our New Credit Agreements contain customary events of default, including our failure to comply with the financial covenants described above. See Note 17 – Subsequent Event for additional information.</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The following summarizes our availability under the Credit Agreement at March 31, 2016 (dollars in millions):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35"/>
        </w:trPr>
        <w:tc>
          <w:tcPr>
            <w:tcW w:w="76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50"/>
        </w:trPr>
        <w:tc>
          <w:tcPr>
            <w:tcW w:w="76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76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43"/>
        </w:trPr>
        <w:tc>
          <w:tcPr>
            <w:tcW w:w="760" w:type="dxa"/>
            <w:vAlign w:val="bottom"/>
          </w:tcPr>
          <w:p>
            <w:pPr>
              <w:spacing w:after="0"/>
              <w:rPr>
                <w:sz w:val="21"/>
                <w:szCs w:val="21"/>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6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60" w:type="dxa"/>
            <w:vAlign w:val="bottom"/>
          </w:tcPr>
          <w:p>
            <w:pPr>
              <w:spacing w:after="0"/>
              <w:rPr>
                <w:sz w:val="22"/>
                <w:szCs w:val="22"/>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Availability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0"/>
        </w:trPr>
        <w:tc>
          <w:tcPr>
            <w:tcW w:w="7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short-term borrowings with various domestic and international institutions pursuant to uncommitted credit facilities. At March 31, 2016, we had $130 million in short-term borrowings under these arrangements, including overdraft facility borrowings and $30 million borrowed under a credit agreement that matures June 20, 2016. In the first quarter of 2016 we repaid $150 million borrowed under a credit agreement that matured on March 20, 2016.</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Standard &amp; Poor’s Rating Services’ credit rating on our senior unsecured debt is currently BB+, and our short-term rating is B, with a negative outlook. On March 14, 2016, Moody’s downgraded our unsecured debt to Ba3 from Ba1, and lowered our short-term rating to SGL-3 from SGL-2, with a negative outlook. On January 25, 2016, Fitch Ratings lowered its credit rating on our senior unsecured debt to BB from BBB- and lowered our short-term rating to B from F3 and maintained its negative outlook. We have access and expect we will continue to have access to most credit markets.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2016, we anticipate our cash requirements will include payments for capital expenditures, repayment of debt, interest payments on our outstanding debt, severance and payments for short-term working capital needs. Our cash requirements may also include opportunistic debt repurchases, business acquisitions and amounts to settle litigation related matters. We anticipate funding these requirements from cash generated from operations, availability under our existing or additional credit facilities, and if completed, proceeds from disposals of businesses or capital assets. We anticipate that cash generated from operations will be augmented by working capital improvements driven by capital discipline including further inventory reductions. Capital expenditures for 2016 are projected to be approximately $250 million, which will be 63% lower than capital expenditures of $682 million in 2015. The amounts we ultimately spend will depend on a number of factors including the type of contracts we enter into, asset availability and our expectations with respect to industry activity levels in 2016. Expenditures are expected to be used primarily to support ongoing activities of our core businesses, and our sources of liquidity are anticipated to be sufficient to meet our needs.</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and cash equivalents of $464 million at March 31, 2016 are held by subsidiaries outside of Ireland. Based on the nature of our structure, we are generally able to redeploy cash with no incremental tax. As of March 31, 2016, $139 million of our cash and cash equivalent balance was denominated in Angolan kwanza. The National Bank of Angola supervises all kwanza exchange operations and has limited U.S. Dollar conversions, causing our kwanza cash balance to increase throughout the year. Prolonged Angolan exchange limitations may limit our ability to repatriate earnings and expose us to additional exchange rate risk.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March 31, 2016 and December 31, 2015: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March 31, 2016 and December 31, 2015: (1) revolving credit facility, (2) 6.50% senior notes, (3) 6.00% senior notes, (4) 7.00% senior notes, (5) 9.625% senior notes, (6) 9.875% senior notes, (7) 5.125% senior notes, (8) 6.75% senior notes, (9) 4.50% senior notes and (10) 5.95% senior notes. At December 31, 2015, Weatherford Delaware also guaranteed the 5.50% senior notes of Weatherford Bermuda.</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guarantor financial information presented in “Note 16 – Condensed Consolidating Financial Statements” to our Condensed Consolidated Financial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March 31, 2016, we had $764 million of letters of credit and performance and bid bonds outstanding, consisting of $597 million outstanding under various uncommitted credit facilities, $16 million of letters of credit outstanding under our Credit Agreement and $151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8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15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74"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price volatility of oil, natural gas and natural gas liquids, including the impact of the recent and significant decline in the price of crude oil;</w:t>
      </w:r>
    </w:p>
    <w:p>
      <w:pPr>
        <w:spacing w:after="0" w:line="74" w:lineRule="exact"/>
        <w:rPr>
          <w:rFonts w:ascii="Arial" w:cs="Arial" w:eastAsia="Arial" w:hAnsi="Arial"/>
          <w:sz w:val="17"/>
          <w:szCs w:val="17"/>
          <w:color w:val="auto"/>
        </w:rPr>
      </w:pPr>
    </w:p>
    <w:p>
      <w:pPr>
        <w:ind w:left="8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820" w:hanging="326"/>
        <w:spacing w:after="0" w:line="298"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charges arising out of the SEC’s and DOJ’s investigation into the circumstances surrounding the prior material weakness in our internal controls over financial reporting for income taxes and the restatements of our historical financial statements in 2011 and 2012;</w:t>
      </w: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820" w:right="2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quantitative and qualitative disclosures about market risk, see “Part II – Item 7A.– Quantitative and Qualitative Disclosures about Market Risk,” in our Annual Report on Form 10-K for the fiscal year ended December 31, 2015. Our exposure to market risk has not changed materially since December 31, 2015, except as described under the subheading “</w:t>
      </w:r>
      <w:r>
        <w:rPr>
          <w:rFonts w:ascii="Arial" w:cs="Arial" w:eastAsia="Arial" w:hAnsi="Arial"/>
          <w:sz w:val="15"/>
          <w:szCs w:val="15"/>
          <w:i w:val="1"/>
          <w:iCs w:val="1"/>
          <w:color w:val="auto"/>
        </w:rPr>
        <w:t>Currency Devaluation Charges</w:t>
      </w:r>
      <w:r>
        <w:rPr>
          <w:rFonts w:ascii="Arial" w:cs="Arial" w:eastAsia="Arial" w:hAnsi="Arial"/>
          <w:sz w:val="16"/>
          <w:szCs w:val="16"/>
          <w:color w:val="auto"/>
        </w:rPr>
        <w:t>” of “Note 1 – General” to the Condensed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March 31, 2016. Based on that evaluation, our CEO and CFO concluded that our disclosure controls and procedures were effective as of March 31, 2016.</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March 31, 2016 that has materially affected, or is reasonably likely to materially affect, our internal control over financial reporting.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 Disputes, Litigation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728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42" w:lineRule="exact"/>
        <w:rPr>
          <w:sz w:val="20"/>
          <w:szCs w:val="20"/>
          <w:color w:val="auto"/>
        </w:rPr>
      </w:pPr>
    </w:p>
    <w:p>
      <w:pPr>
        <w:ind w:left="1180" w:hanging="811"/>
        <w:spacing w:after="0" w:line="25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4 to Credit Agreement, dated February 1, 2016, with Weatherford International Ltd. (Bermuda), Weatherford International plc (Ireland), Weatherford International, LLC (Delaware), Weatherford Liquidity Management Hungary Limited Liability Company (Hungary), Weatherford Capital Management Services Limited Liability Company (Hungary), the lenders party thereto and JPMorgan Chase Bank, N.A., as administrative agent (incorporated by reference as Exhibit 10.1 of Weatherford’s Form 8-K filed February 4, 2016, File No. 1-36504).</w:t>
      </w:r>
    </w:p>
    <w:p>
      <w:pPr>
        <w:spacing w:after="0" w:line="26"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6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63"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quarter ended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March 31, 2016, formatted in XBRL (eXtensible Business Reporting Language):</w:t>
      </w:r>
    </w:p>
    <w:p>
      <w:pPr>
        <w:spacing w:after="0" w:line="9" w:lineRule="exact"/>
        <w:rPr>
          <w:sz w:val="20"/>
          <w:szCs w:val="20"/>
          <w:color w:val="auto"/>
        </w:rPr>
      </w:pPr>
    </w:p>
    <w:p>
      <w:pPr>
        <w:ind w:left="1440" w:hanging="257"/>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40" w:hanging="100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40" w:hanging="100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40" w:hanging="100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49"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00" w:type="dxa"/>
            <w:vAlign w:val="bottom"/>
          </w:tcPr>
          <w:p>
            <w:pPr>
              <w:spacing w:after="0"/>
              <w:rPr>
                <w:sz w:val="20"/>
                <w:szCs w:val="20"/>
                <w:color w:val="auto"/>
              </w:rPr>
            </w:pPr>
            <w:r>
              <w:rPr>
                <w:rFonts w:ascii="Arial" w:cs="Arial" w:eastAsia="Arial" w:hAnsi="Arial"/>
                <w:sz w:val="18"/>
                <w:szCs w:val="18"/>
                <w:color w:val="auto"/>
              </w:rPr>
              <w:t>Date: May 5, 2016</w:t>
            </w:r>
          </w:p>
        </w:tc>
        <w:tc>
          <w:tcPr>
            <w:tcW w:w="6080" w:type="dxa"/>
            <w:vAlign w:val="bottom"/>
            <w:gridSpan w:val="2"/>
          </w:tcPr>
          <w:p>
            <w:pPr>
              <w:ind w:left="1740"/>
              <w:spacing w:after="0"/>
              <w:rPr>
                <w:sz w:val="20"/>
                <w:szCs w:val="20"/>
                <w:color w:val="auto"/>
              </w:rPr>
            </w:pPr>
            <w:r>
              <w:rPr>
                <w:rFonts w:ascii="Arial" w:cs="Arial" w:eastAsia="Arial" w:hAnsi="Arial"/>
                <w:sz w:val="18"/>
                <w:szCs w:val="18"/>
                <w:color w:val="auto"/>
              </w:rPr>
              <w:t>By: /s/ Bernard J. Duroc-Danner</w:t>
            </w:r>
          </w:p>
        </w:tc>
      </w:tr>
      <w:tr>
        <w:trPr>
          <w:trHeight w:val="27"/>
        </w:trPr>
        <w:tc>
          <w:tcPr>
            <w:tcW w:w="3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100" w:type="dxa"/>
            <w:vAlign w:val="bottom"/>
          </w:tcPr>
          <w:p>
            <w:pPr>
              <w:spacing w:after="0"/>
              <w:rPr>
                <w:sz w:val="20"/>
                <w:szCs w:val="20"/>
                <w:color w:val="auto"/>
              </w:rPr>
            </w:pPr>
            <w:r>
              <w:rPr>
                <w:rFonts w:ascii="Arial" w:cs="Arial" w:eastAsia="Arial" w:hAnsi="Arial"/>
                <w:sz w:val="18"/>
                <w:szCs w:val="18"/>
                <w:color w:val="auto"/>
              </w:rPr>
              <w:t>Date: May 5, 2016</w:t>
            </w:r>
          </w:p>
        </w:tc>
        <w:tc>
          <w:tcPr>
            <w:tcW w:w="6080" w:type="dxa"/>
            <w:vAlign w:val="bottom"/>
            <w:gridSpan w:val="2"/>
          </w:tcPr>
          <w:p>
            <w:pPr>
              <w:ind w:left="1740"/>
              <w:spacing w:after="0"/>
              <w:rPr>
                <w:sz w:val="20"/>
                <w:szCs w:val="20"/>
                <w:color w:val="auto"/>
              </w:rPr>
            </w:pPr>
            <w:r>
              <w:rPr>
                <w:rFonts w:ascii="Arial" w:cs="Arial" w:eastAsia="Arial" w:hAnsi="Arial"/>
                <w:sz w:val="18"/>
                <w:szCs w:val="18"/>
                <w:color w:val="auto"/>
              </w:rPr>
              <w:t>By: /s/ Krishna Shivram</w:t>
            </w:r>
          </w:p>
        </w:tc>
      </w:tr>
      <w:tr>
        <w:trPr>
          <w:trHeight w:val="27"/>
        </w:trPr>
        <w:tc>
          <w:tcPr>
            <w:tcW w:w="3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20"/>
          </w:cols>
          <w:pgMar w:left="240" w:top="449" w:right="10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May 5,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May 5,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March 31, 2016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5, 2016</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March 31, 2016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480" w:hanging="324"/>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May 5, 2016</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decimal"/>
      <w:start w:val="1"/>
    </w:lvl>
    <w:lvl w:ilvl="1">
      <w:lvlJc w:val="left"/>
      <w:lvlText w:val="(%2)"/>
      <w:numFmt w:val="lowerLetter"/>
      <w:start w:val="4"/>
    </w:lvl>
  </w:abstractNum>
  <w:abstractNum w:abstractNumId="4">
    <w:nsid w:val="1190CDE7"/>
    <w:multiLevelType w:val="hybridMultilevel"/>
    <w:lvl w:ilvl="0">
      <w:lvlJc w:val="left"/>
      <w:lvlText w:val="%1."/>
      <w:numFmt w:val="decimal"/>
      <w:start w:val="14"/>
    </w:lvl>
    <w:lvl w:ilvl="1">
      <w:lvlJc w:val="left"/>
      <w:lvlText w:val="%2"/>
      <w:numFmt w:val="lowerLetter"/>
      <w:start w:val="1"/>
    </w:lvl>
  </w:abstractNum>
  <w:abstractNum w:abstractNumId="5">
    <w:nsid w:val="66EF438D"/>
    <w:multiLevelType w:val="hybridMultilevel"/>
    <w:lvl w:ilvl="0">
      <w:lvlJc w:val="left"/>
      <w:lvlText w:val="•"/>
      <w:numFmt w:val="bullet"/>
      <w:start w:val="1"/>
    </w:lvl>
    <w:lvl w:ilvl="1">
      <w:lvlJc w:val="left"/>
      <w:lvlText w:val="%2)"/>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2)"/>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2019-12-29T13:20:54Z</dcterms:created>
  <dcterms:modified xsi:type="dcterms:W3CDTF">2019-12-29T13:20:54Z</dcterms:modified>
</cp:coreProperties>
</file>