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313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31304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DUROC-DANNER BERNARD J</w:t>
        </w:r>
      </w:hyperlink>
    </w:p>
    <w:p>
      <w:pPr>
        <w:spacing w:after="0" w:line="318"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4-6 RUE JEAN-FRANCOIS BARTHOLONI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81"/>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01/27/2015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2" w:lineRule="exact"/>
        <w:rPr>
          <w:sz w:val="24"/>
          <w:szCs w:val="24"/>
          <w:color w:val="auto"/>
        </w:rPr>
      </w:pPr>
    </w:p>
    <w:tbl>
      <w:tblPr>
        <w:tblLayout w:type="fixed"/>
        <w:tblInd w:w="199" w:type="dxa"/>
        <w:tblCellMar>
          <w:top w:w="0" w:type="dxa"/>
          <w:left w:w="0" w:type="dxa"/>
          <w:bottom w:w="0" w:type="dxa"/>
          <w:right w:w="0" w:type="dxa"/>
        </w:tblCellMar>
      </w:tblPr>
      <w:tr>
        <w:trPr>
          <w:trHeight w:val="220"/>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9"/>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79"/>
        <w:spacing w:after="0"/>
        <w:rPr>
          <w:sz w:val="20"/>
          <w:szCs w:val="20"/>
          <w:color w:val="auto"/>
        </w:rPr>
      </w:pPr>
      <w:r>
        <w:rPr>
          <w:rFonts w:ascii="Arial" w:cs="Arial" w:eastAsia="Arial" w:hAnsi="Arial"/>
          <w:sz w:val="17"/>
          <w:szCs w:val="17"/>
          <w:color w:val="0000FF"/>
        </w:rPr>
        <w:t>Chairman, Pres and CEO</w:t>
      </w:r>
    </w:p>
    <w:p>
      <w:pPr>
        <w:spacing w:after="0" w:line="254" w:lineRule="exact"/>
        <w:rPr>
          <w:sz w:val="24"/>
          <w:szCs w:val="24"/>
          <w:color w:val="auto"/>
        </w:rPr>
      </w:pPr>
    </w:p>
    <w:p>
      <w:pPr>
        <w:sectPr>
          <w:pgSz w:w="11900" w:h="16838" w:orient="portrait"/>
          <w:cols w:equalWidth="0" w:num="3">
            <w:col w:w="3340" w:space="720"/>
            <w:col w:w="3261" w:space="720"/>
            <w:col w:w="3479"/>
          </w:cols>
          <w:pgMar w:left="240" w:top="224" w:right="139" w:bottom="1440" w:gutter="0" w:footer="0" w:header="0"/>
          <w:type w:val="continuous"/>
        </w:sectPr>
      </w:pPr>
    </w:p>
    <w:p>
      <w:pPr>
        <w:spacing w:after="0" w:line="3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920" w:type="dxa"/>
            <w:vAlign w:val="bottom"/>
            <w:shd w:val="clear" w:color="auto" w:fill="9A9A9A"/>
          </w:tcPr>
          <w:p>
            <w:pPr>
              <w:spacing w:after="0"/>
              <w:rPr>
                <w:sz w:val="2"/>
                <w:szCs w:val="2"/>
                <w:color w:val="auto"/>
              </w:rPr>
            </w:pPr>
          </w:p>
        </w:tc>
        <w:tc>
          <w:tcPr>
            <w:tcW w:w="1320" w:type="dxa"/>
            <w:vAlign w:val="bottom"/>
            <w:tcBorders>
              <w:right w:val="single" w:sz="8" w:color="9A9A9A"/>
            </w:tcBorders>
            <w:shd w:val="clear" w:color="auto" w:fill="9A9A9A"/>
          </w:tcPr>
          <w:p>
            <w:pPr>
              <w:spacing w:after="0"/>
              <w:rPr>
                <w:sz w:val="2"/>
                <w:szCs w:val="2"/>
                <w:color w:val="auto"/>
              </w:rPr>
            </w:pPr>
          </w:p>
        </w:tc>
        <w:tc>
          <w:tcPr>
            <w:tcW w:w="3880" w:type="dxa"/>
            <w:vAlign w:val="bottom"/>
            <w:gridSpan w:val="7"/>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20" w:type="dxa"/>
            <w:vAlign w:val="bottom"/>
          </w:tcPr>
          <w:p>
            <w:pPr>
              <w:spacing w:after="0"/>
              <w:rPr>
                <w:sz w:val="2"/>
                <w:szCs w:val="2"/>
                <w:color w:val="auto"/>
              </w:rPr>
            </w:pPr>
          </w:p>
        </w:tc>
        <w:tc>
          <w:tcPr>
            <w:tcW w:w="3720" w:type="dxa"/>
            <w:vAlign w:val="bottom"/>
            <w:gridSpan w:val="9"/>
            <w:vMerge w:val="restart"/>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880" w:type="dxa"/>
            <w:vAlign w:val="bottom"/>
            <w:gridSpan w:val="7"/>
            <w:vMerge w:val="continue"/>
          </w:tcPr>
          <w:p>
            <w:pPr>
              <w:spacing w:after="0"/>
              <w:rPr>
                <w:sz w:val="11"/>
                <w:szCs w:val="11"/>
                <w:color w:val="auto"/>
              </w:rPr>
            </w:pPr>
          </w:p>
        </w:tc>
        <w:tc>
          <w:tcPr>
            <w:tcW w:w="20" w:type="dxa"/>
            <w:vAlign w:val="bottom"/>
          </w:tcPr>
          <w:p>
            <w:pPr>
              <w:spacing w:after="0"/>
              <w:rPr>
                <w:sz w:val="11"/>
                <w:szCs w:val="11"/>
                <w:color w:val="auto"/>
              </w:rPr>
            </w:pPr>
          </w:p>
        </w:tc>
        <w:tc>
          <w:tcPr>
            <w:tcW w:w="372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ind w:left="240"/>
              <w:spacing w:after="0"/>
              <w:rPr>
                <w:sz w:val="20"/>
                <w:szCs w:val="20"/>
                <w:color w:val="auto"/>
              </w:rPr>
            </w:pPr>
            <w:r>
              <w:rPr>
                <w:rFonts w:ascii="Arial" w:cs="Arial" w:eastAsia="Arial" w:hAnsi="Arial"/>
                <w:sz w:val="13"/>
                <w:szCs w:val="13"/>
                <w:color w:val="auto"/>
                <w:w w:val="96"/>
              </w:rPr>
              <w:t>Line)</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0"/>
                <w:szCs w:val="20"/>
                <w:color w:val="auto"/>
              </w:rPr>
            </w:pPr>
            <w:r>
              <w:rPr>
                <w:rFonts w:ascii="Arial" w:cs="Arial" w:eastAsia="Arial" w:hAnsi="Arial"/>
                <w:sz w:val="17"/>
                <w:szCs w:val="17"/>
                <w:color w:val="0000FF"/>
              </w:rPr>
              <w:t>GENEVA</w:t>
            </w:r>
          </w:p>
        </w:tc>
        <w:tc>
          <w:tcPr>
            <w:tcW w:w="800" w:type="dxa"/>
            <w:vAlign w:val="bottom"/>
          </w:tcPr>
          <w:p>
            <w:pPr>
              <w:ind w:left="540"/>
              <w:spacing w:after="0"/>
              <w:rPr>
                <w:sz w:val="20"/>
                <w:szCs w:val="20"/>
                <w:color w:val="auto"/>
              </w:rPr>
            </w:pPr>
            <w:r>
              <w:rPr>
                <w:rFonts w:ascii="Arial" w:cs="Arial" w:eastAsia="Arial" w:hAnsi="Arial"/>
                <w:sz w:val="17"/>
                <w:szCs w:val="17"/>
                <w:color w:val="0000FF"/>
              </w:rPr>
              <w:t>V8</w:t>
            </w:r>
          </w:p>
        </w:tc>
        <w:tc>
          <w:tcPr>
            <w:tcW w:w="920" w:type="dxa"/>
            <w:vAlign w:val="bottom"/>
          </w:tcPr>
          <w:p>
            <w:pPr>
              <w:spacing w:after="0"/>
              <w:rPr>
                <w:sz w:val="21"/>
                <w:szCs w:val="21"/>
                <w:color w:val="auto"/>
              </w:rPr>
            </w:pPr>
          </w:p>
        </w:tc>
        <w:tc>
          <w:tcPr>
            <w:tcW w:w="1320" w:type="dxa"/>
            <w:vAlign w:val="bottom"/>
          </w:tcPr>
          <w:p>
            <w:pPr>
              <w:ind w:left="100"/>
              <w:spacing w:after="0"/>
              <w:rPr>
                <w:sz w:val="20"/>
                <w:szCs w:val="20"/>
                <w:color w:val="auto"/>
              </w:rPr>
            </w:pPr>
            <w:r>
              <w:rPr>
                <w:rFonts w:ascii="Arial" w:cs="Arial" w:eastAsia="Arial" w:hAnsi="Arial"/>
                <w:sz w:val="17"/>
                <w:szCs w:val="17"/>
                <w:color w:val="0000FF"/>
              </w:rPr>
              <w:t>1204</w:t>
            </w: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80" w:type="dxa"/>
            <w:vAlign w:val="bottom"/>
            <w:gridSpan w:val="6"/>
          </w:tcPr>
          <w:p>
            <w:pPr>
              <w:ind w:left="4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180" w:type="dxa"/>
            <w:vAlign w:val="bottom"/>
            <w:gridSpan w:val="8"/>
            <w:vMerge w:val="restart"/>
          </w:tcPr>
          <w:p>
            <w:pPr>
              <w:ind w:left="2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920" w:type="dxa"/>
            <w:vAlign w:val="bottom"/>
            <w:tcBorders>
              <w:top w:val="single" w:sz="8" w:color="EEEEEE"/>
            </w:tcBorders>
          </w:tcPr>
          <w:p>
            <w:pPr>
              <w:spacing w:after="0"/>
              <w:rPr>
                <w:sz w:val="3"/>
                <w:szCs w:val="3"/>
                <w:color w:val="auto"/>
              </w:rPr>
            </w:pPr>
          </w:p>
        </w:tc>
        <w:tc>
          <w:tcPr>
            <w:tcW w:w="1320" w:type="dxa"/>
            <w:vAlign w:val="bottom"/>
            <w:tcBorders>
              <w:top w:val="single" w:sz="8" w:color="EEEEEE"/>
            </w:tcBorders>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18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720" w:type="dxa"/>
            <w:vAlign w:val="bottom"/>
            <w:gridSpan w:val="2"/>
            <w:vMerge w:val="restart"/>
          </w:tcPr>
          <w:p>
            <w:pPr>
              <w:ind w:left="540"/>
              <w:spacing w:after="0"/>
              <w:rPr>
                <w:sz w:val="20"/>
                <w:szCs w:val="20"/>
                <w:color w:val="auto"/>
              </w:rPr>
            </w:pPr>
            <w:r>
              <w:rPr>
                <w:rFonts w:ascii="Arial" w:cs="Arial" w:eastAsia="Arial" w:hAnsi="Arial"/>
                <w:sz w:val="13"/>
                <w:szCs w:val="13"/>
                <w:color w:val="auto"/>
              </w:rPr>
              <w:t>(State)</w:t>
            </w:r>
          </w:p>
        </w:tc>
        <w:tc>
          <w:tcPr>
            <w:tcW w:w="1320" w:type="dxa"/>
            <w:vAlign w:val="bottom"/>
            <w:vMerge w:val="restart"/>
          </w:tcPr>
          <w:p>
            <w:pPr>
              <w:ind w:left="10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ind w:left="260"/>
              <w:spacing w:after="0"/>
              <w:rPr>
                <w:sz w:val="20"/>
                <w:szCs w:val="20"/>
                <w:color w:val="auto"/>
              </w:rPr>
            </w:pPr>
            <w:r>
              <w:rPr>
                <w:rFonts w:ascii="Arial" w:cs="Arial" w:eastAsia="Arial" w:hAnsi="Arial"/>
                <w:sz w:val="13"/>
                <w:szCs w:val="13"/>
                <w:color w:val="auto"/>
              </w:rPr>
              <w:t>Person</w:t>
            </w: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2"/>
          </w:tcPr>
          <w:p>
            <w:pPr>
              <w:spacing w:after="0"/>
              <w:rPr>
                <w:sz w:val="10"/>
                <w:szCs w:val="10"/>
                <w:color w:val="auto"/>
              </w:rPr>
            </w:pPr>
          </w:p>
        </w:tc>
        <w:tc>
          <w:tcPr>
            <w:tcW w:w="4440" w:type="dxa"/>
            <w:vAlign w:val="bottom"/>
            <w:tcBorders>
              <w:bottom w:val="single" w:sz="8" w:color="2C2C2C"/>
            </w:tcBorders>
            <w:gridSpan w:val="9"/>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440" w:type="dxa"/>
            <w:vAlign w:val="bottom"/>
            <w:tcBorders>
              <w:top w:val="single" w:sz="8" w:color="2C2C2C"/>
            </w:tcBorders>
            <w:gridSpan w:val="12"/>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6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900" w:type="dxa"/>
            <w:vAlign w:val="bottom"/>
            <w:gridSpan w:val="2"/>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640" w:type="dxa"/>
            <w:vAlign w:val="bottom"/>
            <w:gridSpan w:val="3"/>
          </w:tcPr>
          <w:p>
            <w:pPr>
              <w:ind w:left="60"/>
              <w:spacing w:after="0"/>
              <w:rPr>
                <w:sz w:val="20"/>
                <w:szCs w:val="20"/>
                <w:color w:val="auto"/>
              </w:rPr>
            </w:pPr>
            <w:r>
              <w:rPr>
                <w:rFonts w:ascii="Arial" w:cs="Arial" w:eastAsia="Arial" w:hAnsi="Arial"/>
                <w:sz w:val="17"/>
                <w:szCs w:val="17"/>
                <w:color w:val="0000FF"/>
              </w:rPr>
              <w:t>Ordinary Shares</w:t>
            </w:r>
          </w:p>
        </w:tc>
        <w:tc>
          <w:tcPr>
            <w:tcW w:w="920" w:type="dxa"/>
            <w:vAlign w:val="bottom"/>
          </w:tcPr>
          <w:p>
            <w:pPr>
              <w:spacing w:after="0"/>
              <w:rPr>
                <w:sz w:val="22"/>
                <w:szCs w:val="22"/>
                <w:color w:val="auto"/>
              </w:rPr>
            </w:pPr>
          </w:p>
        </w:tc>
        <w:tc>
          <w:tcPr>
            <w:tcW w:w="1900" w:type="dxa"/>
            <w:vAlign w:val="bottom"/>
            <w:gridSpan w:val="2"/>
          </w:tcPr>
          <w:p>
            <w:pPr>
              <w:ind w:left="920"/>
              <w:spacing w:after="0"/>
              <w:rPr>
                <w:sz w:val="20"/>
                <w:szCs w:val="20"/>
                <w:color w:val="auto"/>
              </w:rPr>
            </w:pPr>
            <w:r>
              <w:rPr>
                <w:rFonts w:ascii="Arial" w:cs="Arial" w:eastAsia="Arial" w:hAnsi="Arial"/>
                <w:sz w:val="17"/>
                <w:szCs w:val="17"/>
                <w:color w:val="0000FF"/>
              </w:rPr>
              <w:t>01/27/2015</w:t>
            </w: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Pr>
          <w:p>
            <w:pPr>
              <w:ind w:left="140"/>
              <w:spacing w:after="0"/>
              <w:rPr>
                <w:sz w:val="20"/>
                <w:szCs w:val="20"/>
                <w:color w:val="auto"/>
              </w:rPr>
            </w:pPr>
            <w:r>
              <w:rPr>
                <w:rFonts w:ascii="Arial" w:cs="Arial" w:eastAsia="Arial" w:hAnsi="Arial"/>
                <w:sz w:val="17"/>
                <w:szCs w:val="17"/>
                <w:color w:val="0000FF"/>
                <w:w w:val="97"/>
              </w:rPr>
              <w:t>356,824</w:t>
            </w:r>
          </w:p>
        </w:tc>
        <w:tc>
          <w:tcPr>
            <w:tcW w:w="660" w:type="dxa"/>
            <w:vAlign w:val="bottom"/>
          </w:tcPr>
          <w:p>
            <w:pPr>
              <w:ind w:left="280"/>
              <w:spacing w:after="0"/>
              <w:rPr>
                <w:sz w:val="20"/>
                <w:szCs w:val="20"/>
                <w:color w:val="auto"/>
              </w:rPr>
            </w:pPr>
            <w:r>
              <w:rPr>
                <w:rFonts w:ascii="Arial" w:cs="Arial" w:eastAsia="Arial" w:hAnsi="Arial"/>
                <w:sz w:val="17"/>
                <w:szCs w:val="17"/>
                <w:color w:val="0000FF"/>
              </w:rPr>
              <w:t>A</w:t>
            </w:r>
          </w:p>
        </w:tc>
        <w:tc>
          <w:tcPr>
            <w:tcW w:w="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Arial" w:cs="Arial" w:eastAsia="Arial" w:hAnsi="Arial"/>
                <w:sz w:val="11"/>
                <w:szCs w:val="11"/>
                <w:color w:val="008000"/>
              </w:rPr>
              <w:t>(1)</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89"/>
              </w:rPr>
              <w:t>1,579,191</w:t>
            </w:r>
          </w:p>
        </w:tc>
        <w:tc>
          <w:tcPr>
            <w:tcW w:w="360" w:type="dxa"/>
            <w:vAlign w:val="bottom"/>
          </w:tcPr>
          <w:p>
            <w:pPr>
              <w:spacing w:after="0"/>
              <w:rPr>
                <w:sz w:val="22"/>
                <w:szCs w:val="22"/>
                <w:color w:val="auto"/>
              </w:rPr>
            </w:pPr>
          </w:p>
        </w:tc>
        <w:tc>
          <w:tcPr>
            <w:tcW w:w="560" w:type="dxa"/>
            <w:vAlign w:val="bottom"/>
          </w:tcPr>
          <w:p>
            <w:pPr>
              <w:spacing w:after="0"/>
              <w:rPr>
                <w:sz w:val="20"/>
                <w:szCs w:val="20"/>
                <w:color w:val="auto"/>
              </w:rPr>
            </w:pPr>
            <w:r>
              <w:rPr>
                <w:rFonts w:ascii="Arial" w:cs="Arial" w:eastAsia="Arial" w:hAnsi="Arial"/>
                <w:sz w:val="17"/>
                <w:szCs w:val="17"/>
                <w:color w:val="0000FF"/>
              </w:rPr>
              <w:t>D</w:t>
            </w: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Ordinary Shares</w:t>
            </w:r>
          </w:p>
        </w:tc>
        <w:tc>
          <w:tcPr>
            <w:tcW w:w="9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180,824</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By limited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9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partnership</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Ordinary Shares</w:t>
            </w:r>
          </w:p>
        </w:tc>
        <w:tc>
          <w:tcPr>
            <w:tcW w:w="9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22,312</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By 401(k)</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9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32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9"/>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520" w:type="dxa"/>
            <w:vAlign w:val="bottom"/>
            <w:tcBorders>
              <w:top w:val="single" w:sz="8" w:color="2C2C2C"/>
            </w:tcBorders>
            <w:gridSpan w:val="11"/>
          </w:tcPr>
          <w:p>
            <w:pPr>
              <w:ind w:left="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760" w:type="dxa"/>
            <w:vAlign w:val="bottom"/>
            <w:gridSpan w:val="10"/>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92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320" w:type="dxa"/>
            <w:vAlign w:val="bottom"/>
          </w:tcPr>
          <w:p>
            <w:pPr>
              <w:ind w:left="2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2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20" w:type="dxa"/>
            <w:vAlign w:val="bottom"/>
          </w:tcPr>
          <w:p>
            <w:pPr>
              <w:spacing w:after="0"/>
              <w:rPr>
                <w:sz w:val="11"/>
                <w:szCs w:val="11"/>
                <w:color w:val="auto"/>
              </w:rPr>
            </w:pP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132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1"/>
                <w:szCs w:val="11"/>
                <w:color w:val="auto"/>
              </w:rPr>
            </w:pP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2"/>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2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color w:val="0000FF"/>
              </w:rPr>
              <w:t>Performance</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920" w:type="dxa"/>
            <w:vAlign w:val="bottom"/>
            <w:vMerge w:val="restart"/>
          </w:tcPr>
          <w:p>
            <w:pPr>
              <w:ind w:left="240"/>
              <w:spacing w:after="0"/>
              <w:rPr>
                <w:sz w:val="20"/>
                <w:szCs w:val="20"/>
                <w:color w:val="auto"/>
              </w:rPr>
            </w:pPr>
            <w:r>
              <w:rPr>
                <w:rFonts w:ascii="Arial" w:cs="Arial" w:eastAsia="Arial" w:hAnsi="Arial"/>
                <w:sz w:val="13"/>
                <w:szCs w:val="13"/>
                <w:color w:val="0000FF"/>
              </w:rPr>
              <w:t>01/27/2015</w:t>
            </w:r>
          </w:p>
        </w:tc>
        <w:tc>
          <w:tcPr>
            <w:tcW w:w="1320" w:type="dxa"/>
            <w:vAlign w:val="bottom"/>
          </w:tcPr>
          <w:p>
            <w:pPr>
              <w:spacing w:after="0"/>
              <w:rPr>
                <w:sz w:val="16"/>
                <w:szCs w:val="1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6"/>
                <w:szCs w:val="16"/>
                <w:color w:val="auto"/>
              </w:rPr>
            </w:pPr>
          </w:p>
        </w:tc>
        <w:tc>
          <w:tcPr>
            <w:tcW w:w="660" w:type="dxa"/>
            <w:vAlign w:val="bottom"/>
            <w:vMerge w:val="restart"/>
          </w:tcPr>
          <w:p>
            <w:pPr>
              <w:ind w:left="80"/>
              <w:spacing w:after="0"/>
              <w:rPr>
                <w:sz w:val="20"/>
                <w:szCs w:val="20"/>
                <w:color w:val="auto"/>
              </w:rPr>
            </w:pPr>
            <w:r>
              <w:rPr>
                <w:rFonts w:ascii="Arial" w:cs="Arial" w:eastAsia="Arial" w:hAnsi="Arial"/>
                <w:sz w:val="13"/>
                <w:szCs w:val="13"/>
                <w:color w:val="0000FF"/>
              </w:rPr>
              <w:t>508,475</w:t>
            </w:r>
          </w:p>
        </w:tc>
        <w:tc>
          <w:tcPr>
            <w:tcW w:w="220" w:type="dxa"/>
            <w:vAlign w:val="bottom"/>
          </w:tcPr>
          <w:p>
            <w:pPr>
              <w:spacing w:after="0"/>
              <w:rPr>
                <w:sz w:val="16"/>
                <w:szCs w:val="16"/>
                <w:color w:val="auto"/>
              </w:rPr>
            </w:pP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66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20" w:type="dxa"/>
            <w:vAlign w:val="bottom"/>
          </w:tcPr>
          <w:p>
            <w:pPr>
              <w:spacing w:after="0"/>
              <w:rPr>
                <w:sz w:val="16"/>
                <w:szCs w:val="16"/>
                <w:color w:val="auto"/>
              </w:rPr>
            </w:pPr>
          </w:p>
        </w:tc>
        <w:tc>
          <w:tcPr>
            <w:tcW w:w="540" w:type="dxa"/>
            <w:vAlign w:val="bottom"/>
            <w:vMerge w:val="restart"/>
          </w:tcPr>
          <w:p>
            <w:pPr>
              <w:ind w:left="160"/>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40" w:type="dxa"/>
            <w:vAlign w:val="bottom"/>
            <w:gridSpan w:val="2"/>
            <w:vMerge w:val="restart"/>
          </w:tcPr>
          <w:p>
            <w:pPr>
              <w:ind w:left="220"/>
              <w:spacing w:after="0"/>
              <w:rPr>
                <w:sz w:val="20"/>
                <w:szCs w:val="20"/>
                <w:color w:val="auto"/>
              </w:rPr>
            </w:pPr>
            <w:r>
              <w:rPr>
                <w:rFonts w:ascii="Arial" w:cs="Arial" w:eastAsia="Arial" w:hAnsi="Arial"/>
                <w:sz w:val="13"/>
                <w:szCs w:val="13"/>
                <w:color w:val="0000FF"/>
              </w:rPr>
              <w:t>508,475</w:t>
            </w:r>
          </w:p>
        </w:tc>
        <w:tc>
          <w:tcPr>
            <w:tcW w:w="560" w:type="dxa"/>
            <w:vAlign w:val="bottom"/>
            <w:vMerge w:val="restart"/>
          </w:tcPr>
          <w:p>
            <w:pPr>
              <w:ind w:left="40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3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0000FF"/>
              </w:rPr>
              <w:t>Shares</w:t>
            </w:r>
          </w:p>
        </w:tc>
        <w:tc>
          <w:tcPr>
            <w:tcW w:w="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Transaction was a grant of restricted share units and therefore has no price. Units are scheduled to vest in equal increments on each of January 27, 2016, 2017 and 2018.</w:t>
      </w:r>
    </w:p>
    <w:p>
      <w:pPr>
        <w:spacing w:after="0" w:line="49" w:lineRule="exact"/>
        <w:rPr>
          <w:rFonts w:ascii="Arial" w:cs="Arial" w:eastAsia="Arial" w:hAnsi="Arial"/>
          <w:sz w:val="13"/>
          <w:szCs w:val="13"/>
          <w:color w:val="008000"/>
        </w:rPr>
      </w:pPr>
    </w:p>
    <w:p>
      <w:pPr>
        <w:ind w:left="40" w:right="36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performance unit represents a contingent right to receive 0 to 2 shares. Units are scheduled to vest in equal increments on each of January 27, 2016, 2017 and 2018. The conversion ratio applied to these performance units will be determined based on the absolute increase in the issuer's share price at the end of each year of the performance period (fiscal years 2015-2017).</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Charity R. Kohl, by Power of</w:t>
            </w:r>
          </w:p>
        </w:tc>
        <w:tc>
          <w:tcPr>
            <w:tcW w:w="120" w:type="dxa"/>
            <w:vAlign w:val="bottom"/>
          </w:tcPr>
          <w:p>
            <w:pPr>
              <w:spacing w:after="0"/>
              <w:rPr>
                <w:sz w:val="16"/>
                <w:szCs w:val="16"/>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7"/>
                <w:szCs w:val="17"/>
                <w:color w:val="0000FF"/>
                <w:w w:val="89"/>
              </w:rPr>
              <w:t>01/29/2015</w:t>
            </w:r>
          </w:p>
        </w:tc>
        <w:tc>
          <w:tcPr>
            <w:tcW w:w="0" w:type="dxa"/>
            <w:vAlign w:val="bottom"/>
          </w:tcPr>
          <w:p>
            <w:pPr>
              <w:spacing w:after="0"/>
              <w:rPr>
                <w:sz w:val="1"/>
                <w:szCs w:val="1"/>
                <w:color w:val="auto"/>
              </w:rPr>
            </w:pPr>
          </w:p>
        </w:tc>
      </w:tr>
      <w:tr>
        <w:trPr>
          <w:trHeight w:val="86"/>
        </w:trPr>
        <w:tc>
          <w:tcPr>
            <w:tcW w:w="620" w:type="dxa"/>
            <w:vAlign w:val="bottom"/>
            <w:vMerge w:val="restart"/>
          </w:tcPr>
          <w:p>
            <w:pPr>
              <w:spacing w:after="0" w:line="192" w:lineRule="exact"/>
              <w:rPr>
                <w:sz w:val="20"/>
                <w:szCs w:val="20"/>
                <w:color w:val="auto"/>
              </w:rPr>
            </w:pPr>
            <w:r>
              <w:rPr>
                <w:rFonts w:ascii="Arial" w:cs="Arial" w:eastAsia="Arial" w:hAnsi="Arial"/>
                <w:sz w:val="17"/>
                <w:szCs w:val="17"/>
                <w:color w:val="0000FF"/>
                <w:w w:val="94"/>
              </w:rPr>
              <w:t>Attorney</w:t>
            </w:r>
          </w:p>
        </w:tc>
        <w:tc>
          <w:tcPr>
            <w:tcW w:w="15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620" w:type="dxa"/>
            <w:vAlign w:val="bottom"/>
            <w:tcBorders>
              <w:bottom w:val="single" w:sz="8" w:color="auto"/>
            </w:tcBorders>
            <w:vMerge w:val="continue"/>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20" w:firstLine="6"/>
        <w:spacing w:after="0" w:line="31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797"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2019-12-24T08:44:59Z</dcterms:created>
  <dcterms:modified xsi:type="dcterms:W3CDTF">2019-12-24T08:44:59Z</dcterms:modified>
</cp:coreProperties>
</file>