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510540</wp:posOffset>
            </wp:positionH>
            <wp:positionV relativeFrom="paragraph">
              <wp:posOffset>-224155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March 16, 2020</w:t>
      </w:r>
    </w:p>
    <w:p>
      <w:pPr>
        <w:spacing w:after="0" w:line="348"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Weatherford International plc</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840" w:type="dxa"/>
            <w:vAlign w:val="bottom"/>
          </w:tcPr>
          <w:p>
            <w:pPr>
              <w:jc w:val="center"/>
              <w:ind w:right="1230"/>
              <w:spacing w:after="0"/>
              <w:rPr>
                <w:sz w:val="20"/>
                <w:szCs w:val="20"/>
                <w:color w:val="auto"/>
              </w:rPr>
            </w:pPr>
            <w:r>
              <w:rPr>
                <w:rFonts w:ascii="Arial" w:cs="Arial" w:eastAsia="Arial" w:hAnsi="Arial"/>
                <w:sz w:val="18"/>
                <w:szCs w:val="18"/>
                <w:b w:val="1"/>
                <w:bCs w:val="1"/>
                <w:color w:val="auto"/>
                <w:w w:val="94"/>
              </w:rPr>
              <w:t>Ireland</w:t>
            </w:r>
          </w:p>
        </w:tc>
        <w:tc>
          <w:tcPr>
            <w:tcW w:w="2380" w:type="dxa"/>
            <w:vAlign w:val="bottom"/>
          </w:tcPr>
          <w:p>
            <w:pPr>
              <w:jc w:val="right"/>
              <w:ind w:right="890"/>
              <w:spacing w:after="0"/>
              <w:rPr>
                <w:sz w:val="20"/>
                <w:szCs w:val="20"/>
                <w:color w:val="auto"/>
              </w:rPr>
            </w:pPr>
            <w:r>
              <w:rPr>
                <w:rFonts w:ascii="Arial" w:cs="Arial" w:eastAsia="Arial" w:hAnsi="Arial"/>
                <w:sz w:val="18"/>
                <w:szCs w:val="18"/>
                <w:b w:val="1"/>
                <w:bCs w:val="1"/>
                <w:color w:val="auto"/>
              </w:rPr>
              <w:t>001-36504</w:t>
            </w:r>
          </w:p>
        </w:tc>
        <w:tc>
          <w:tcPr>
            <w:tcW w:w="2480" w:type="dxa"/>
            <w:vAlign w:val="bottom"/>
          </w:tcPr>
          <w:p>
            <w:pPr>
              <w:ind w:left="1260"/>
              <w:spacing w:after="0"/>
              <w:rPr>
                <w:sz w:val="20"/>
                <w:szCs w:val="20"/>
                <w:color w:val="auto"/>
              </w:rPr>
            </w:pPr>
            <w:r>
              <w:rPr>
                <w:rFonts w:ascii="Arial" w:cs="Arial" w:eastAsia="Arial" w:hAnsi="Arial"/>
                <w:sz w:val="18"/>
                <w:szCs w:val="18"/>
                <w:b w:val="1"/>
                <w:bCs w:val="1"/>
                <w:color w:val="auto"/>
              </w:rPr>
              <w:t>98-0606750</w:t>
            </w:r>
          </w:p>
        </w:tc>
        <w:tc>
          <w:tcPr>
            <w:tcW w:w="760" w:type="dxa"/>
            <w:vAlign w:val="bottom"/>
          </w:tcPr>
          <w:p>
            <w:pPr>
              <w:spacing w:after="0"/>
              <w:rPr>
                <w:sz w:val="20"/>
                <w:szCs w:val="20"/>
                <w:color w:val="auto"/>
              </w:rPr>
            </w:pPr>
          </w:p>
        </w:tc>
      </w:tr>
      <w:tr>
        <w:trPr>
          <w:trHeight w:val="27"/>
        </w:trPr>
        <w:tc>
          <w:tcPr>
            <w:tcW w:w="7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2"/>
        </w:trPr>
        <w:tc>
          <w:tcPr>
            <w:tcW w:w="3620" w:type="dxa"/>
            <w:vAlign w:val="bottom"/>
            <w:gridSpan w:val="2"/>
          </w:tcPr>
          <w:p>
            <w:pPr>
              <w:jc w:val="center"/>
              <w:ind w:right="430"/>
              <w:spacing w:after="0"/>
              <w:rPr>
                <w:sz w:val="20"/>
                <w:szCs w:val="20"/>
                <w:color w:val="auto"/>
              </w:rPr>
            </w:pPr>
            <w:r>
              <w:rPr>
                <w:rFonts w:ascii="Arial" w:cs="Arial" w:eastAsia="Arial" w:hAnsi="Arial"/>
                <w:sz w:val="18"/>
                <w:szCs w:val="18"/>
                <w:color w:val="auto"/>
                <w:w w:val="93"/>
              </w:rPr>
              <w:t>(State or other jurisdiction of</w:t>
            </w:r>
          </w:p>
        </w:tc>
        <w:tc>
          <w:tcPr>
            <w:tcW w:w="2380" w:type="dxa"/>
            <w:vAlign w:val="bottom"/>
          </w:tcPr>
          <w:p>
            <w:pPr>
              <w:jc w:val="center"/>
              <w:ind w:right="290"/>
              <w:spacing w:after="0"/>
              <w:rPr>
                <w:sz w:val="20"/>
                <w:szCs w:val="20"/>
                <w:color w:val="auto"/>
              </w:rPr>
            </w:pPr>
            <w:r>
              <w:rPr>
                <w:rFonts w:ascii="Arial" w:cs="Arial" w:eastAsia="Arial" w:hAnsi="Arial"/>
                <w:sz w:val="18"/>
                <w:szCs w:val="18"/>
                <w:color w:val="auto"/>
                <w:w w:val="93"/>
              </w:rPr>
              <w:t>(Commission File Number)</w:t>
            </w:r>
          </w:p>
        </w:tc>
        <w:tc>
          <w:tcPr>
            <w:tcW w:w="3240" w:type="dxa"/>
            <w:vAlign w:val="bottom"/>
            <w:gridSpan w:val="2"/>
          </w:tcPr>
          <w:p>
            <w:pPr>
              <w:ind w:left="400"/>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780" w:type="dxa"/>
            <w:vAlign w:val="bottom"/>
          </w:tcPr>
          <w:p>
            <w:pPr>
              <w:spacing w:after="0"/>
              <w:rPr>
                <w:sz w:val="20"/>
                <w:szCs w:val="20"/>
                <w:color w:val="auto"/>
              </w:rPr>
            </w:pPr>
          </w:p>
        </w:tc>
        <w:tc>
          <w:tcPr>
            <w:tcW w:w="2840" w:type="dxa"/>
            <w:vAlign w:val="bottom"/>
          </w:tcPr>
          <w:p>
            <w:pPr>
              <w:jc w:val="center"/>
              <w:ind w:right="1210"/>
              <w:spacing w:after="0"/>
              <w:rPr>
                <w:sz w:val="20"/>
                <w:szCs w:val="20"/>
                <w:color w:val="auto"/>
              </w:rPr>
            </w:pPr>
            <w:r>
              <w:rPr>
                <w:rFonts w:ascii="Arial" w:cs="Arial" w:eastAsia="Arial" w:hAnsi="Arial"/>
                <w:sz w:val="18"/>
                <w:szCs w:val="18"/>
                <w:color w:val="auto"/>
                <w:w w:val="92"/>
              </w:rPr>
              <w:t>incorporation)</w:t>
            </w:r>
          </w:p>
        </w:tc>
        <w:tc>
          <w:tcPr>
            <w:tcW w:w="2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05"/>
        </w:trPr>
        <w:tc>
          <w:tcPr>
            <w:tcW w:w="780" w:type="dxa"/>
            <w:vAlign w:val="bottom"/>
          </w:tcPr>
          <w:p>
            <w:pPr>
              <w:spacing w:after="0"/>
              <w:rPr>
                <w:sz w:val="24"/>
                <w:szCs w:val="24"/>
                <w:color w:val="auto"/>
              </w:rPr>
            </w:pPr>
          </w:p>
        </w:tc>
        <w:tc>
          <w:tcPr>
            <w:tcW w:w="2840" w:type="dxa"/>
            <w:vAlign w:val="bottom"/>
          </w:tcPr>
          <w:p>
            <w:pPr>
              <w:ind w:left="400"/>
              <w:spacing w:after="0"/>
              <w:rPr>
                <w:sz w:val="20"/>
                <w:szCs w:val="20"/>
                <w:color w:val="auto"/>
              </w:rPr>
            </w:pPr>
            <w:r>
              <w:rPr>
                <w:rFonts w:ascii="Arial" w:cs="Arial" w:eastAsia="Arial" w:hAnsi="Arial"/>
                <w:sz w:val="18"/>
                <w:szCs w:val="18"/>
                <w:b w:val="1"/>
                <w:bCs w:val="1"/>
                <w:color w:val="auto"/>
                <w:w w:val="89"/>
              </w:rPr>
              <w:t>2000 St. James Place , Houston</w:t>
            </w:r>
          </w:p>
        </w:tc>
        <w:tc>
          <w:tcPr>
            <w:tcW w:w="2380" w:type="dxa"/>
            <w:vAlign w:val="bottom"/>
          </w:tcPr>
          <w:p>
            <w:pPr>
              <w:ind w:left="100"/>
              <w:spacing w:after="0"/>
              <w:rPr>
                <w:sz w:val="20"/>
                <w:szCs w:val="20"/>
                <w:color w:val="auto"/>
              </w:rPr>
            </w:pPr>
            <w:r>
              <w:rPr>
                <w:rFonts w:ascii="Arial" w:cs="Arial" w:eastAsia="Arial" w:hAnsi="Arial"/>
                <w:sz w:val="18"/>
                <w:szCs w:val="18"/>
                <w:b w:val="1"/>
                <w:bCs w:val="1"/>
                <w:color w:val="auto"/>
              </w:rPr>
              <w:t>, Texas</w:t>
            </w:r>
          </w:p>
        </w:tc>
        <w:tc>
          <w:tcPr>
            <w:tcW w:w="2480" w:type="dxa"/>
            <w:vAlign w:val="bottom"/>
          </w:tcPr>
          <w:p>
            <w:pPr>
              <w:jc w:val="right"/>
              <w:ind w:right="510"/>
              <w:spacing w:after="0"/>
              <w:rPr>
                <w:sz w:val="20"/>
                <w:szCs w:val="20"/>
                <w:color w:val="auto"/>
              </w:rPr>
            </w:pPr>
            <w:r>
              <w:rPr>
                <w:rFonts w:ascii="Arial" w:cs="Arial" w:eastAsia="Arial" w:hAnsi="Arial"/>
                <w:sz w:val="18"/>
                <w:szCs w:val="18"/>
                <w:b w:val="1"/>
                <w:bCs w:val="1"/>
                <w:color w:val="auto"/>
              </w:rPr>
              <w:t>77056</w:t>
            </w:r>
          </w:p>
        </w:tc>
        <w:tc>
          <w:tcPr>
            <w:tcW w:w="760" w:type="dxa"/>
            <w:vAlign w:val="bottom"/>
          </w:tcPr>
          <w:p>
            <w:pPr>
              <w:spacing w:after="0"/>
              <w:rPr>
                <w:sz w:val="24"/>
                <w:szCs w:val="24"/>
                <w:color w:val="auto"/>
              </w:rPr>
            </w:pPr>
          </w:p>
        </w:tc>
      </w:tr>
      <w:tr>
        <w:trPr>
          <w:trHeight w:val="27"/>
        </w:trPr>
        <w:tc>
          <w:tcPr>
            <w:tcW w:w="780" w:type="dxa"/>
            <w:vAlign w:val="bottom"/>
          </w:tcPr>
          <w:p>
            <w:pPr>
              <w:spacing w:after="0"/>
              <w:rPr>
                <w:sz w:val="2"/>
                <w:szCs w:val="2"/>
                <w:color w:val="auto"/>
              </w:rPr>
            </w:pPr>
          </w:p>
        </w:tc>
        <w:tc>
          <w:tcPr>
            <w:tcW w:w="5220" w:type="dxa"/>
            <w:vAlign w:val="bottom"/>
            <w:tcBorders>
              <w:bottom w:val="single" w:sz="8" w:color="auto"/>
            </w:tcBorders>
            <w:gridSpan w:val="2"/>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5220" w:type="dxa"/>
            <w:vAlign w:val="bottom"/>
            <w:gridSpan w:val="2"/>
          </w:tcPr>
          <w:p>
            <w:pPr>
              <w:ind w:left="620"/>
              <w:spacing w:after="0"/>
              <w:rPr>
                <w:sz w:val="20"/>
                <w:szCs w:val="20"/>
                <w:color w:val="auto"/>
              </w:rPr>
            </w:pPr>
            <w:r>
              <w:rPr>
                <w:rFonts w:ascii="Arial" w:cs="Arial" w:eastAsia="Arial" w:hAnsi="Arial"/>
                <w:sz w:val="18"/>
                <w:szCs w:val="18"/>
                <w:color w:val="auto"/>
              </w:rPr>
              <w:t>(Address of principal executive offices)</w:t>
            </w:r>
          </w:p>
        </w:tc>
        <w:tc>
          <w:tcPr>
            <w:tcW w:w="3240" w:type="dxa"/>
            <w:vAlign w:val="bottom"/>
            <w:gridSpan w:val="2"/>
          </w:tcPr>
          <w:p>
            <w:pPr>
              <w:ind w:left="1260"/>
              <w:spacing w:after="0"/>
              <w:rPr>
                <w:sz w:val="20"/>
                <w:szCs w:val="20"/>
                <w:color w:val="auto"/>
              </w:rPr>
            </w:pPr>
            <w:r>
              <w:rPr>
                <w:rFonts w:ascii="Arial" w:cs="Arial" w:eastAsia="Arial" w:hAnsi="Arial"/>
                <w:sz w:val="18"/>
                <w:szCs w:val="18"/>
                <w:color w:val="auto"/>
              </w:rPr>
              <w:t>(Zip Code)</w:t>
            </w:r>
          </w:p>
        </w:tc>
      </w:tr>
    </w:tbl>
    <w:p>
      <w:pPr>
        <w:spacing w:after="0" w:line="9"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71"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459105</wp:posOffset>
            </wp:positionH>
            <wp:positionV relativeFrom="paragraph">
              <wp:posOffset>34290</wp:posOffset>
            </wp:positionV>
            <wp:extent cx="6240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90" w:type="dxa"/>
        <w:tblCellMar>
          <w:top w:w="0" w:type="dxa"/>
          <w:left w:w="0" w:type="dxa"/>
          <w:bottom w:w="0" w:type="dxa"/>
          <w:right w:w="0" w:type="dxa"/>
        </w:tblCellMar>
      </w:tblPr>
      <w:tr>
        <w:trPr>
          <w:trHeight w:val="283"/>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40" w:type="dxa"/>
            <w:vAlign w:val="bottom"/>
            <w:tcBorders>
              <w:top w:val="single" w:sz="8" w:color="auto"/>
              <w:bottom w:val="single" w:sz="8" w:color="auto"/>
              <w:right w:val="single" w:sz="8" w:color="auto"/>
            </w:tcBorders>
          </w:tcPr>
          <w:p>
            <w:pPr>
              <w:jc w:val="center"/>
              <w:spacing w:after="0" w:line="283" w:lineRule="exact"/>
              <w:rPr>
                <w:sz w:val="20"/>
                <w:szCs w:val="20"/>
                <w:color w:val="auto"/>
              </w:rPr>
            </w:pPr>
            <w:r>
              <w:rPr>
                <w:rFonts w:ascii="Arial" w:cs="Arial" w:eastAsia="Arial" w:hAnsi="Arial"/>
                <w:sz w:val="18"/>
                <w:szCs w:val="18"/>
                <w:b w:val="1"/>
                <w:bCs w:val="1"/>
                <w:color w:val="auto"/>
                <w:w w:val="88"/>
              </w:rPr>
              <w:t xml:space="preserve">Trading Symbol(s) </w:t>
            </w:r>
            <w:r>
              <w:rPr>
                <w:rFonts w:ascii="Arial" w:cs="Arial" w:eastAsia="Arial" w:hAnsi="Arial"/>
                <w:sz w:val="25"/>
                <w:szCs w:val="25"/>
                <w:b w:val="1"/>
                <w:bCs w:val="1"/>
                <w:color w:val="auto"/>
                <w:w w:val="88"/>
                <w:vertAlign w:val="superscript"/>
              </w:rPr>
              <w:t>(1)</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4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Ordinary shares, par value $0.001 per share</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WFTLF</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46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2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30" w:lineRule="exact"/>
        <w:rPr>
          <w:sz w:val="24"/>
          <w:szCs w:val="24"/>
          <w:color w:val="auto"/>
        </w:rPr>
      </w:pPr>
    </w:p>
    <w:p>
      <w:pPr>
        <w:ind w:right="100"/>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______________</w:t>
      </w:r>
    </w:p>
    <w:p>
      <w:pPr>
        <w:spacing w:after="0" w:line="29" w:lineRule="exact"/>
        <w:rPr>
          <w:sz w:val="24"/>
          <w:szCs w:val="24"/>
          <w:color w:val="auto"/>
        </w:rPr>
      </w:pPr>
    </w:p>
    <w:p>
      <w:pPr>
        <w:ind w:right="160" w:firstLine="8"/>
        <w:spacing w:after="0" w:line="213" w:lineRule="auto"/>
        <w:tabs>
          <w:tab w:leader="none" w:pos="108" w:val="left"/>
        </w:tabs>
        <w:numPr>
          <w:ilvl w:val="0"/>
          <w:numId w:val="2"/>
        </w:numPr>
        <w:rPr>
          <w:rFonts w:ascii="Arial" w:cs="Arial" w:eastAsia="Arial" w:hAnsi="Arial"/>
          <w:sz w:val="25"/>
          <w:szCs w:val="25"/>
          <w:color w:val="auto"/>
          <w:vertAlign w:val="superscript"/>
        </w:rPr>
      </w:pPr>
      <w:r>
        <w:rPr>
          <w:rFonts w:ascii="Arial" w:cs="Arial" w:eastAsia="Arial" w:hAnsi="Arial"/>
          <w:sz w:val="14"/>
          <w:szCs w:val="14"/>
          <w:color w:val="auto"/>
        </w:rPr>
        <w:t>Since our emergence from bankruptcy, our ordinary shares have been quoted on the OTC Pink Marketplace. While our ordinary shares remain registered on the NYSE, the NYSE suspended trading in our ordinary shares in May 2019 and our appeal of that suspension is pending.</w:t>
      </w:r>
    </w:p>
    <w:p>
      <w:pPr>
        <w:sectPr>
          <w:pgSz w:w="11900" w:h="16838" w:orient="portrait"/>
          <w:cols w:equalWidth="0" w:num="1">
            <w:col w:w="11180"/>
          </w:cols>
          <w:pgMar w:left="320" w:top="976" w:right="399" w:bottom="1440" w:gutter="0" w:footer="0" w:header="0"/>
        </w:sectPr>
      </w:pPr>
    </w:p>
    <w:bookmarkStart w:id="1" w:name="page2"/>
    <w:bookmarkEnd w:id="1"/>
    <w:p>
      <w:pPr>
        <w:ind w:left="40"/>
        <w:spacing w:after="0"/>
        <w:tabs>
          <w:tab w:leader="none" w:pos="16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16, 2020, Weatherford International plc (“we” or the “Company”) issued a news release announcing results for the fourth quarter ended December 31, 2019. A copy of the news release is furnished as Exhibit 99.1 and incorporated into this Item 2.02.</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will host a conference call on Monday, March 16, 2020, to discuss the results for the fourth quarter and full year ending December 31, 2019, including adjustments related to the fresh-start accounting process. The conference call is scheduled to begin at 8:30 a.m. Eastern Time (7:30 a.m. Central Time).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Listeners may register in advance for the conference call at </w:t>
      </w:r>
      <w:r>
        <w:rPr>
          <w:rFonts w:ascii="Arial" w:cs="Arial" w:eastAsia="Arial" w:hAnsi="Arial"/>
          <w:sz w:val="18"/>
          <w:szCs w:val="18"/>
          <w:u w:val="single" w:color="auto"/>
          <w:color w:val="0094FF"/>
        </w:rPr>
        <w:t>http://dpregister.com/10139185</w:t>
      </w:r>
      <w:r>
        <w:rPr>
          <w:rFonts w:ascii="Arial" w:cs="Arial" w:eastAsia="Arial" w:hAnsi="Arial"/>
          <w:sz w:val="18"/>
          <w:szCs w:val="18"/>
          <w:color w:val="auto"/>
        </w:rPr>
        <w:t xml:space="preserve"> and will receive an email including a calendar reminder, dial-in number, and a PIN providing immediate access to the call.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Weatherford invites investors to listen to the call live via live webcast on the Company’s website at </w:t>
      </w:r>
      <w:r>
        <w:rPr>
          <w:rFonts w:ascii="Arial" w:cs="Arial" w:eastAsia="Arial" w:hAnsi="Arial"/>
          <w:sz w:val="18"/>
          <w:szCs w:val="18"/>
          <w:u w:val="single" w:color="auto"/>
          <w:color w:val="0094FF"/>
        </w:rPr>
        <w:t>https://www.weatherford.com/en/investor-relations/conference-call-details</w:t>
      </w:r>
      <w:r>
        <w:rPr>
          <w:rFonts w:ascii="Arial" w:cs="Arial" w:eastAsia="Arial" w:hAnsi="Arial"/>
          <w:sz w:val="18"/>
          <w:szCs w:val="18"/>
          <w:color w:val="000000"/>
        </w:rPr>
        <w:t>. Alternatively, listeners can access the conference call by dialing +1 877-328-5344 (within the U.S.) or +1 412-902-6762</w:t>
      </w:r>
      <w:r>
        <w:rPr>
          <w:rFonts w:ascii="Arial" w:cs="Arial" w:eastAsia="Arial" w:hAnsi="Arial"/>
          <w:sz w:val="18"/>
          <w:szCs w:val="18"/>
          <w:color w:val="0094FF"/>
        </w:rPr>
        <w:t xml:space="preserve"> </w:t>
      </w:r>
      <w:r>
        <w:rPr>
          <w:rFonts w:ascii="Arial" w:cs="Arial" w:eastAsia="Arial" w:hAnsi="Arial"/>
          <w:sz w:val="18"/>
          <w:szCs w:val="18"/>
          <w:color w:val="000000"/>
        </w:rPr>
        <w:t>(outside of the U.S.) and asking for the Weatherford conference call. Listeners should log in or dial in approximately 10 minutes prior to the start of the call.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telephonic replay of the conference call will be available until March 26, 2020, at 5:00 p.m. Eastern Time. To access the replay, please dial +1 877-344-7529 (within the U.S.) or +1 412-317-0088 (outside of the U.S.) and reference conference number 10139185.</w:t>
      </w:r>
    </w:p>
    <w:p>
      <w:pPr>
        <w:spacing w:after="0" w:line="200" w:lineRule="exact"/>
        <w:rPr>
          <w:sz w:val="20"/>
          <w:szCs w:val="20"/>
          <w:color w:val="auto"/>
        </w:rPr>
      </w:pPr>
    </w:p>
    <w:p>
      <w:pPr>
        <w:spacing w:after="0" w:line="344" w:lineRule="exact"/>
        <w:rPr>
          <w:sz w:val="20"/>
          <w:szCs w:val="20"/>
          <w:color w:val="auto"/>
        </w:rPr>
      </w:pPr>
    </w:p>
    <w:p>
      <w:pPr>
        <w:ind w:left="40"/>
        <w:spacing w:after="0"/>
        <w:tabs>
          <w:tab w:leader="none" w:pos="16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16, 2020, we issued a news release announcing results for the Company’s fourth quarter ended December 31, 2019. A copy of the news release is furnished as Exhibit 99.1 and incorporated into this Item 7.01.</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4"/>
          </w:tcPr>
          <w:p>
            <w:pPr>
              <w:ind w:left="40"/>
              <w:spacing w:after="0"/>
              <w:rPr>
                <w:sz w:val="20"/>
                <w:szCs w:val="20"/>
                <w:color w:val="auto"/>
              </w:rPr>
            </w:pPr>
            <w:r>
              <w:rPr>
                <w:rFonts w:ascii="Arial" w:cs="Arial" w:eastAsia="Arial" w:hAnsi="Arial"/>
                <w:sz w:val="18"/>
                <w:szCs w:val="18"/>
                <w:b w:val="1"/>
                <w:bCs w:val="1"/>
                <w:color w:val="auto"/>
              </w:rPr>
              <w:t>Item 9.01</w:t>
            </w:r>
          </w:p>
        </w:tc>
        <w:tc>
          <w:tcPr>
            <w:tcW w:w="96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53"/>
        </w:trPr>
        <w:tc>
          <w:tcPr>
            <w:tcW w:w="580" w:type="dxa"/>
            <w:vAlign w:val="bottom"/>
          </w:tcPr>
          <w:p>
            <w:pPr>
              <w:spacing w:after="0"/>
              <w:rPr>
                <w:sz w:val="24"/>
                <w:szCs w:val="24"/>
                <w:color w:val="auto"/>
              </w:rPr>
            </w:pPr>
          </w:p>
        </w:tc>
        <w:tc>
          <w:tcPr>
            <w:tcW w:w="100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(d)</w:t>
            </w:r>
          </w:p>
        </w:tc>
        <w:tc>
          <w:tcPr>
            <w:tcW w:w="9660" w:type="dxa"/>
            <w:vAlign w:val="bottom"/>
          </w:tcPr>
          <w:p>
            <w:pPr>
              <w:ind w:left="40"/>
              <w:spacing w:after="0"/>
              <w:rPr>
                <w:sz w:val="20"/>
                <w:szCs w:val="20"/>
                <w:color w:val="auto"/>
              </w:rPr>
            </w:pPr>
            <w:r>
              <w:rPr>
                <w:rFonts w:ascii="Arial" w:cs="Arial" w:eastAsia="Arial" w:hAnsi="Arial"/>
                <w:sz w:val="18"/>
                <w:szCs w:val="18"/>
                <w:color w:val="auto"/>
              </w:rPr>
              <w:t>Exhibits</w:t>
            </w:r>
          </w:p>
        </w:tc>
      </w:tr>
      <w:tr>
        <w:trPr>
          <w:trHeight w:val="688"/>
        </w:trPr>
        <w:tc>
          <w:tcPr>
            <w:tcW w:w="15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4"/>
              </w:rPr>
              <w:t>Exhibit Number</w:t>
            </w:r>
          </w:p>
        </w:tc>
        <w:tc>
          <w:tcPr>
            <w:tcW w:w="9660" w:type="dxa"/>
            <w:vAlign w:val="bottom"/>
          </w:tcPr>
          <w:p>
            <w:pPr>
              <w:ind w:left="4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r>
        <w:trPr>
          <w:trHeight w:val="196"/>
        </w:trPr>
        <w:tc>
          <w:tcPr>
            <w:tcW w:w="580" w:type="dxa"/>
            <w:vAlign w:val="bottom"/>
          </w:tcPr>
          <w:p>
            <w:pPr>
              <w:spacing w:after="0"/>
              <w:rPr>
                <w:sz w:val="17"/>
                <w:szCs w:val="17"/>
                <w:color w:val="auto"/>
              </w:rPr>
            </w:pPr>
          </w:p>
        </w:tc>
        <w:tc>
          <w:tcPr>
            <w:tcW w:w="900" w:type="dxa"/>
            <w:vAlign w:val="bottom"/>
            <w:gridSpan w:val="2"/>
          </w:tcPr>
          <w:p>
            <w:pPr>
              <w:jc w:val="center"/>
              <w:ind w:right="560"/>
              <w:spacing w:after="0" w:line="196" w:lineRule="exact"/>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100" w:type="dxa"/>
            <w:vAlign w:val="bottom"/>
          </w:tcPr>
          <w:p>
            <w:pPr>
              <w:spacing w:after="0"/>
              <w:rPr>
                <w:sz w:val="17"/>
                <w:szCs w:val="17"/>
                <w:color w:val="auto"/>
              </w:rPr>
            </w:pPr>
          </w:p>
        </w:tc>
        <w:tc>
          <w:tcPr>
            <w:tcW w:w="9660" w:type="dxa"/>
            <w:vAlign w:val="bottom"/>
          </w:tcPr>
          <w:p>
            <w:pPr>
              <w:ind w:left="40"/>
              <w:spacing w:after="0" w:line="196" w:lineRule="exact"/>
              <w:rPr>
                <w:sz w:val="20"/>
                <w:szCs w:val="20"/>
                <w:color w:val="auto"/>
              </w:rPr>
            </w:pPr>
            <w:r>
              <w:rPr>
                <w:rFonts w:ascii="Arial" w:cs="Arial" w:eastAsia="Arial" w:hAnsi="Arial"/>
                <w:sz w:val="18"/>
                <w:szCs w:val="18"/>
                <w:color w:val="auto"/>
              </w:rPr>
              <w:t>News Release dated March 16, 2020, announcing results for the fourth quarter ended December 31, 2019.</w:t>
            </w:r>
          </w:p>
        </w:tc>
      </w:tr>
      <w:tr>
        <w:trPr>
          <w:trHeight w:val="291"/>
        </w:trPr>
        <w:tc>
          <w:tcPr>
            <w:tcW w:w="580" w:type="dxa"/>
            <w:vAlign w:val="bottom"/>
          </w:tcPr>
          <w:p>
            <w:pPr>
              <w:spacing w:after="0"/>
              <w:rPr>
                <w:sz w:val="24"/>
                <w:szCs w:val="24"/>
                <w:color w:val="auto"/>
              </w:rPr>
            </w:pPr>
          </w:p>
        </w:tc>
        <w:tc>
          <w:tcPr>
            <w:tcW w:w="32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auto"/>
                <w:w w:val="93"/>
              </w:rPr>
              <w:t>104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ectPr>
          <w:pgSz w:w="11900" w:h="16838" w:orient="portrait"/>
          <w:cols w:equalWidth="0" w:num="1">
            <w:col w:w="11240"/>
          </w:cols>
          <w:pgMar w:left="320" w:top="71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16, 2020</w:t>
      </w:r>
    </w:p>
    <w:p>
      <w:pPr>
        <w:spacing w:after="0" w:line="63"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/s/ Christian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31750</wp:posOffset>
            </wp:positionV>
            <wp:extent cx="3831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57"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Christian A. Garcia</w:t>
      </w:r>
    </w:p>
    <w:p>
      <w:pPr>
        <w:spacing w:after="0" w:line="63"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00"/>
          </w:cols>
          <w:pgMar w:left="320" w:top="553"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283210</wp:posOffset>
            </wp:positionV>
            <wp:extent cx="1903095"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120"/>
        <w:spacing w:after="0"/>
        <w:rPr>
          <w:sz w:val="20"/>
          <w:szCs w:val="20"/>
          <w:color w:val="auto"/>
        </w:rPr>
      </w:pPr>
      <w:r>
        <w:rPr>
          <w:rFonts w:ascii="Arial" w:cs="Arial" w:eastAsia="Arial" w:hAnsi="Arial"/>
          <w:sz w:val="16"/>
          <w:szCs w:val="16"/>
          <w:b w:val="1"/>
          <w:bCs w:val="1"/>
          <w:color w:val="auto"/>
        </w:rPr>
        <w:t>News Release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Announces Fourth Quarter and Full Year 2019 Results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Houston, March 16, 2020 -- </w:t>
      </w:r>
      <w:r>
        <w:rPr>
          <w:rFonts w:ascii="Arial" w:cs="Arial" w:eastAsia="Arial" w:hAnsi="Arial"/>
          <w:sz w:val="20"/>
          <w:szCs w:val="20"/>
          <w:color w:val="auto"/>
        </w:rPr>
        <w:t>Weatherford International plc announced today its results for the fourth quarter and full year 2019.</w:t>
      </w:r>
    </w:p>
    <w:p>
      <w:pPr>
        <w:spacing w:after="0" w:line="276" w:lineRule="exact"/>
        <w:rPr>
          <w:sz w:val="20"/>
          <w:szCs w:val="20"/>
          <w:color w:val="auto"/>
        </w:rPr>
      </w:pPr>
    </w:p>
    <w:p>
      <w:pPr>
        <w:jc w:val="both"/>
        <w:spacing w:after="0" w:line="375" w:lineRule="auto"/>
        <w:rPr>
          <w:sz w:val="20"/>
          <w:szCs w:val="20"/>
          <w:color w:val="auto"/>
        </w:rPr>
      </w:pPr>
      <w:r>
        <w:rPr>
          <w:rFonts w:ascii="Arial" w:cs="Arial" w:eastAsia="Arial" w:hAnsi="Arial"/>
          <w:sz w:val="19"/>
          <w:szCs w:val="19"/>
          <w:color w:val="auto"/>
        </w:rPr>
        <w:t>Weatherford emerged from Chapter 11 bankruptcy protection pursuant to a prepackaged plan of reorganization on December 13, 2019 and eliminated $6.2 billion of debt as part of its financial restructuring. Upon emergence, Weatherford adopted fresh-start accounting which results in Weatherford becoming a new entity for accounting and financial reporting purposes. As required by GAAP, results for the year must be presented separately as the predecessor period from January 1, 2019 through December 13, 2019 (the “Predecessor” period) and the successor period from December 14, 2019 through December 31, 2019 (the “Successor” period). The results from these Predecessor and Successor periods are not comparable. Nevertheless, the Company has combined the results of the Predecessor and Successor periods as a non-GAAP measure (“combined” results) to compare to prior periods for discussion purposes herein, as we believe it provides the most meaningful basis to analyze our results.</w:t>
      </w:r>
    </w:p>
    <w:p>
      <w:pPr>
        <w:spacing w:after="0" w:line="131" w:lineRule="exact"/>
        <w:rPr>
          <w:sz w:val="20"/>
          <w:szCs w:val="20"/>
          <w:color w:val="auto"/>
        </w:rPr>
      </w:pPr>
    </w:p>
    <w:p>
      <w:pPr>
        <w:jc w:val="both"/>
        <w:spacing w:after="0" w:line="357" w:lineRule="auto"/>
        <w:rPr>
          <w:sz w:val="20"/>
          <w:szCs w:val="20"/>
          <w:color w:val="auto"/>
        </w:rPr>
      </w:pPr>
      <w:r>
        <w:rPr>
          <w:rFonts w:ascii="Arial" w:cs="Arial" w:eastAsia="Arial" w:hAnsi="Arial"/>
          <w:sz w:val="20"/>
          <w:szCs w:val="20"/>
          <w:color w:val="auto"/>
        </w:rPr>
        <w:t>On a GAAP basis, total revenues and net loss in the Successor period from December 14, 2019 to December 31, 2019 were $261 million and $26 million, respectively. Total revenues and net income in the Predecessor period from January 1, 2019 to December 13, 2019 were $5.0 billion and $3.7 billion, respectively. Total revenues and net income in the Predecessor period from October 1, 2019 to December 13, 2019 were $985 million and $5.3 billion, respectively. The Predecessor period includes a net reorganization gain of $5.4 billion from January 1, 2019 to December 13, 2019.</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On a non-GAAP basis:</w:t>
      </w:r>
    </w:p>
    <w:p>
      <w:pPr>
        <w:spacing w:after="0" w:line="21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Full-year 2019 combined revenues of $5.2 billion declined 9% versus 2018 (3% decline excluding divestitures</w:t>
      </w:r>
      <w:r>
        <w:rPr>
          <w:rFonts w:ascii="Arial" w:cs="Arial" w:eastAsia="Arial" w:hAnsi="Arial"/>
          <w:sz w:val="25"/>
          <w:szCs w:val="25"/>
          <w:color w:val="auto"/>
          <w:vertAlign w:val="superscript"/>
        </w:rPr>
        <w:t>[1]</w:t>
      </w:r>
      <w:r>
        <w:rPr>
          <w:rFonts w:ascii="Arial" w:cs="Arial" w:eastAsia="Arial" w:hAnsi="Arial"/>
          <w:sz w:val="20"/>
          <w:szCs w:val="20"/>
          <w:color w:val="auto"/>
        </w:rPr>
        <w:t>)</w:t>
      </w:r>
    </w:p>
    <w:p>
      <w:pPr>
        <w:spacing w:after="0" w:line="263"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International combined revenues declined 4% year-on-year (6% growth excluding divestitures)</w:t>
      </w:r>
    </w:p>
    <w:p>
      <w:pPr>
        <w:spacing w:after="0" w:line="269"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In North America, combined revenues declined 19% year-on-year (17% decline excluding divestitures)</w:t>
      </w:r>
    </w:p>
    <w:p>
      <w:pPr>
        <w:spacing w:after="0" w:line="218"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Full-year 2019 combined adjusted EBITDA</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 $567 million and associated margins of 11%</w:t>
      </w:r>
    </w:p>
    <w:p>
      <w:pPr>
        <w:spacing w:after="0" w:line="263"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Fourth-quarter 2019 combined revenues of $1.2 billion declined 5% sequentially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75" w:right="339" w:bottom="1440" w:gutter="0" w:footer="0" w:header="0"/>
        </w:sectPr>
      </w:pPr>
    </w:p>
    <w:bookmarkStart w:id="4" w:name="page5"/>
    <w:bookmarkEnd w:id="4"/>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Sequential declines in combined revenues of 5% internationally and 7% in North America</w:t>
      </w:r>
    </w:p>
    <w:p>
      <w:pPr>
        <w:spacing w:after="0" w:line="269"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Fourth-quarter 2019 combined adjusted EBITDA of $151 million and associated margins of 12%</w:t>
      </w:r>
    </w:p>
    <w:p>
      <w:pPr>
        <w:spacing w:after="0" w:line="218"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debt of $1.4 billion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as of December 31, 2019 and no significant debt maturities until 2024</w:t>
      </w:r>
    </w:p>
    <w:p>
      <w:pPr>
        <w:spacing w:after="0" w:line="200" w:lineRule="exact"/>
        <w:rPr>
          <w:sz w:val="20"/>
          <w:szCs w:val="20"/>
          <w:color w:val="auto"/>
        </w:rPr>
      </w:pPr>
    </w:p>
    <w:p>
      <w:pPr>
        <w:spacing w:after="0" w:line="239"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Mark A. McCollum, President and Chief Executive Officer, commented, “We are pleased to begin a new chapter for Weatherford, after completing a challenging journey that culminated with our financial restructuring. I would like to thank our stakeholders for their strong support over the past year, and, in particular, our employees for their hard work and dedication.</w:t>
      </w:r>
    </w:p>
    <w:p>
      <w:pPr>
        <w:spacing w:after="0" w:line="134"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“Notably, we significantly reduced our debt levels and increased our liquidity position so that we are better positioned to execute against our strategic objectives going forward. Despite the successes achieved thus far in our operational improvement efforts, we are not satisfied with the current results. We are intently focused on continuing to improve our business and we believe meaningful opportunities remain longer term.</w:t>
      </w:r>
    </w:p>
    <w:p>
      <w:pPr>
        <w:spacing w:after="0" w:line="136"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“The Company’s results for the fourth quarter and the full year were impacted by the challenges our industry faced in 2019. Activity reductions in North America and the impact of the economic crisis in Argentina drove unfavorable sequential top- and bottom-line performance during the fourth quarter.</w:t>
      </w:r>
    </w:p>
    <w:p>
      <w:pPr>
        <w:spacing w:after="0" w:line="82" w:lineRule="exact"/>
        <w:rPr>
          <w:sz w:val="20"/>
          <w:szCs w:val="20"/>
          <w:color w:val="auto"/>
        </w:rPr>
      </w:pPr>
    </w:p>
    <w:p>
      <w:pPr>
        <w:jc w:val="both"/>
        <w:spacing w:after="0" w:line="368" w:lineRule="auto"/>
        <w:rPr>
          <w:sz w:val="20"/>
          <w:szCs w:val="20"/>
          <w:color w:val="auto"/>
        </w:rPr>
      </w:pPr>
      <w:r>
        <w:rPr>
          <w:rFonts w:ascii="Arial" w:cs="Arial" w:eastAsia="Arial" w:hAnsi="Arial"/>
          <w:sz w:val="19"/>
          <w:szCs w:val="19"/>
          <w:color w:val="auto"/>
        </w:rPr>
        <w:t>“Combined fourth-quarter revenues in North America declined by 6% sequentially</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and 24% year-on-year</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as customers’ focus on financial returns and free cash flow generation resulted in budget exhaustion much earlier than we have seen previously. The impact was particularly negative for our business in Canada, where average rig counts declined 30% year-on-year.</w:t>
      </w:r>
    </w:p>
    <w:p>
      <w:pPr>
        <w:spacing w:after="0" w:line="81" w:lineRule="exact"/>
        <w:rPr>
          <w:sz w:val="20"/>
          <w:szCs w:val="20"/>
          <w:color w:val="auto"/>
        </w:rPr>
      </w:pPr>
    </w:p>
    <w:p>
      <w:pPr>
        <w:jc w:val="both"/>
        <w:spacing w:after="0" w:line="340" w:lineRule="auto"/>
        <w:rPr>
          <w:sz w:val="20"/>
          <w:szCs w:val="20"/>
          <w:color w:val="auto"/>
        </w:rPr>
      </w:pPr>
      <w:r>
        <w:rPr>
          <w:rFonts w:ascii="Arial" w:cs="Arial" w:eastAsia="Arial" w:hAnsi="Arial"/>
          <w:sz w:val="19"/>
          <w:szCs w:val="19"/>
          <w:color w:val="auto"/>
        </w:rPr>
        <w:t>“Our international revenues, which accounted for approximately 70% of total combined revenues in 2019, grew 6% year-on-year</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and were bolstered by 10% growth</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in the Middle East. As noted above, the economic crisis and associated activity reductions in Argentina negatively impacted our fourth-quarter results, where we experienced a steep decline in combined revenues.</w:t>
      </w:r>
    </w:p>
    <w:p>
      <w:pPr>
        <w:spacing w:after="0" w:line="134"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“The Company’s combined adjusted EBITDA margins expanded by 350 basis points sequentially during the second half of the year due to a combination of favorable business mix and ongoing cost savings efforts. The improvement in business mix during the second half of the year was concentrated in the Eastern Hemisphere, and was driven by capital sales in Europe, increased drilling and production activity in Russia, and increased sales of Artificial Lift and Completions products in the Middle East.</w:t>
      </w:r>
    </w:p>
    <w:p>
      <w:pPr>
        <w:spacing w:after="0" w:line="136"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“Recent developments have created significant uncertainty on the industry’s trajectory for 2020. The global impacts surrounding the COVID-19 pandemic, including operational and manufacturing disruptions, logistical constraints, and travel restrictions, are rapidly evolving and increasingly dynamic.</w:t>
      </w:r>
    </w:p>
    <w:p>
      <w:pPr>
        <w:spacing w:after="0" w:line="134"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“Further, recent actions by certain members of OPEC and its partners have also disrupted the supply/demand equation, resulting in commodity price weakness and reductions to the capital spending plans of our customers. We were already</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93" w:right="339" w:bottom="1440" w:gutter="0" w:footer="0" w:header="0"/>
        </w:sectPr>
      </w:pPr>
    </w:p>
    <w:bookmarkStart w:id="5" w:name="page6"/>
    <w:bookmarkEnd w:id="5"/>
    <w:p>
      <w:pPr>
        <w:jc w:val="both"/>
        <w:spacing w:after="0" w:line="416" w:lineRule="auto"/>
        <w:rPr>
          <w:sz w:val="20"/>
          <w:szCs w:val="20"/>
          <w:color w:val="auto"/>
        </w:rPr>
      </w:pPr>
      <w:r>
        <w:rPr>
          <w:rFonts w:ascii="Arial" w:cs="Arial" w:eastAsia="Arial" w:hAnsi="Arial"/>
          <w:sz w:val="18"/>
          <w:szCs w:val="18"/>
          <w:color w:val="auto"/>
        </w:rPr>
        <w:t>taking a number of actions which were yielding improvements in our cost structure as we entered the year. However, given current market conditions, we are now implementing more aggressive actions to right-size our business, including further structural reductions in North America, adjustments to our manufacturing capacity, exiting unprofitable geographies, and lowering global support costs.</w:t>
      </w:r>
    </w:p>
    <w:p>
      <w:pPr>
        <w:spacing w:after="0" w:line="98"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“Despite this challenging outlook, we are committed to improving our profitability and free cash flow in 2020. We are embedding a returns-focused mindset into our organization and this, alongside continued cost-reduction efforts and the non-recurrence of costs associated with our financial restructuring, will assist in achieving our profit and cash flow objectives.”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1"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Excludes the impact of Land Drilling Rigs and the Surface Logging Systems and Labs divestitures completed in 2019.</w:t>
      </w:r>
    </w:p>
    <w:p>
      <w:pPr>
        <w:spacing w:after="0" w:line="151" w:lineRule="exact"/>
        <w:rPr>
          <w:rFonts w:ascii="Arial" w:cs="Arial" w:eastAsia="Arial" w:hAnsi="Arial"/>
          <w:sz w:val="9"/>
          <w:szCs w:val="9"/>
          <w:color w:val="auto"/>
        </w:rPr>
      </w:pPr>
    </w:p>
    <w:p>
      <w:pPr>
        <w:ind w:firstLine="8"/>
        <w:spacing w:after="0" w:line="273" w:lineRule="auto"/>
        <w:tabs>
          <w:tab w:leader="none" w:pos="127" w:val="left"/>
        </w:tabs>
        <w:numPr>
          <w:ilvl w:val="0"/>
          <w:numId w:val="5"/>
        </w:numPr>
        <w:rPr>
          <w:rFonts w:ascii="Arial" w:cs="Arial" w:eastAsia="Arial" w:hAnsi="Arial"/>
          <w:sz w:val="9"/>
          <w:szCs w:val="9"/>
          <w:color w:val="auto"/>
        </w:rPr>
      </w:pPr>
      <w:r>
        <w:rPr>
          <w:rFonts w:ascii="Arial" w:cs="Arial" w:eastAsia="Arial" w:hAnsi="Arial"/>
          <w:sz w:val="14"/>
          <w:szCs w:val="14"/>
          <w:color w:val="auto"/>
        </w:rPr>
        <w:t>Net debt calculated as total short- and long-term debt less cash and cash equivalents and restricted cash. Net debt and adjusted EBITDA are a non-GAAP measure. Each measure is defined and reconciled to the most directly comparable GAAP measure in the tables below.</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Operating Segments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Western Hemisphere</w:t>
      </w:r>
    </w:p>
    <w:p>
      <w:pPr>
        <w:spacing w:after="0" w:line="36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29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5"/>
              </w:rPr>
              <w:t>Predecessor</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Period From</w:t>
            </w:r>
          </w:p>
        </w:tc>
        <w:tc>
          <w:tcPr>
            <w:tcW w:w="180" w:type="dxa"/>
            <w:vAlign w:val="bottom"/>
          </w:tcPr>
          <w:p>
            <w:pPr>
              <w:spacing w:after="0"/>
              <w:rPr>
                <w:sz w:val="21"/>
                <w:szCs w:val="21"/>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Non-GAAP</w:t>
            </w:r>
          </w:p>
        </w:tc>
        <w:tc>
          <w:tcPr>
            <w:tcW w:w="24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21"/>
                <w:szCs w:val="21"/>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12/14/19 to</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10/01/19 to</w:t>
            </w:r>
          </w:p>
        </w:tc>
        <w:tc>
          <w:tcPr>
            <w:tcW w:w="180" w:type="dxa"/>
            <w:vAlign w:val="bottom"/>
          </w:tcPr>
          <w:p>
            <w:pPr>
              <w:spacing w:after="0"/>
              <w:rPr>
                <w:sz w:val="23"/>
                <w:szCs w:val="2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Combined</w:t>
            </w:r>
          </w:p>
        </w:tc>
        <w:tc>
          <w:tcPr>
            <w:tcW w:w="240" w:type="dxa"/>
            <w:vAlign w:val="bottom"/>
          </w:tcPr>
          <w:p>
            <w:pPr>
              <w:spacing w:after="0"/>
              <w:rPr>
                <w:sz w:val="23"/>
                <w:szCs w:val="23"/>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220" w:type="dxa"/>
            <w:vAlign w:val="bottom"/>
          </w:tcPr>
          <w:p>
            <w:pPr>
              <w:spacing w:after="0"/>
              <w:rPr>
                <w:sz w:val="23"/>
                <w:szCs w:val="23"/>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70"/>
        </w:trPr>
        <w:tc>
          <w:tcPr>
            <w:tcW w:w="290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3"/>
                <w:szCs w:val="23"/>
                <w:color w:val="auto"/>
              </w:rPr>
            </w:pPr>
          </w:p>
        </w:tc>
        <w:tc>
          <w:tcPr>
            <w:tcW w:w="1220" w:type="dxa"/>
            <w:vAlign w:val="bottom"/>
          </w:tcPr>
          <w:p>
            <w:pPr>
              <w:jc w:val="center"/>
              <w:ind w:right="51"/>
              <w:spacing w:after="0"/>
              <w:rPr>
                <w:sz w:val="20"/>
                <w:szCs w:val="20"/>
                <w:color w:val="auto"/>
              </w:rPr>
            </w:pPr>
            <w:r>
              <w:rPr>
                <w:rFonts w:ascii="Arial" w:cs="Arial" w:eastAsia="Arial" w:hAnsi="Arial"/>
                <w:sz w:val="18"/>
                <w:szCs w:val="18"/>
                <w:b w:val="1"/>
                <w:bCs w:val="1"/>
                <w:color w:val="auto"/>
                <w:w w:val="91"/>
              </w:rPr>
              <w:t>12/31/19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center"/>
              <w:ind w:right="71"/>
              <w:spacing w:after="0"/>
              <w:rPr>
                <w:sz w:val="20"/>
                <w:szCs w:val="20"/>
                <w:color w:val="auto"/>
              </w:rPr>
            </w:pPr>
            <w:r>
              <w:rPr>
                <w:rFonts w:ascii="Arial" w:cs="Arial" w:eastAsia="Arial" w:hAnsi="Arial"/>
                <w:sz w:val="18"/>
                <w:szCs w:val="18"/>
                <w:b w:val="1"/>
                <w:bCs w:val="1"/>
                <w:color w:val="auto"/>
                <w:w w:val="91"/>
              </w:rPr>
              <w:t>12/13/19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Results</w:t>
            </w:r>
          </w:p>
        </w:tc>
        <w:tc>
          <w:tcPr>
            <w:tcW w:w="240" w:type="dxa"/>
            <w:vAlign w:val="bottom"/>
          </w:tcPr>
          <w:p>
            <w:pPr>
              <w:spacing w:after="0"/>
              <w:rPr>
                <w:sz w:val="23"/>
                <w:szCs w:val="23"/>
                <w:color w:val="auto"/>
              </w:rPr>
            </w:pPr>
          </w:p>
        </w:tc>
        <w:tc>
          <w:tcPr>
            <w:tcW w:w="1140" w:type="dxa"/>
            <w:vAlign w:val="bottom"/>
          </w:tcPr>
          <w:p>
            <w:pPr>
              <w:jc w:val="center"/>
              <w:ind w:right="171"/>
              <w:spacing w:after="0"/>
              <w:rPr>
                <w:sz w:val="20"/>
                <w:szCs w:val="20"/>
                <w:color w:val="auto"/>
              </w:rPr>
            </w:pPr>
            <w:r>
              <w:rPr>
                <w:rFonts w:ascii="Arial" w:cs="Arial" w:eastAsia="Arial" w:hAnsi="Arial"/>
                <w:sz w:val="18"/>
                <w:szCs w:val="18"/>
                <w:b w:val="1"/>
                <w:bCs w:val="1"/>
                <w:color w:val="auto"/>
                <w:w w:val="91"/>
              </w:rPr>
              <w:t>09/30/19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center"/>
              <w:ind w:right="131"/>
              <w:spacing w:after="0"/>
              <w:rPr>
                <w:sz w:val="20"/>
                <w:szCs w:val="20"/>
                <w:color w:val="auto"/>
              </w:rPr>
            </w:pPr>
            <w:r>
              <w:rPr>
                <w:rFonts w:ascii="Arial" w:cs="Arial" w:eastAsia="Arial" w:hAnsi="Arial"/>
                <w:sz w:val="18"/>
                <w:szCs w:val="18"/>
                <w:b w:val="1"/>
                <w:bCs w:val="1"/>
                <w:color w:val="auto"/>
                <w:w w:val="91"/>
              </w:rPr>
              <w:t>12/31/18</w:t>
            </w:r>
          </w:p>
        </w:tc>
        <w:tc>
          <w:tcPr>
            <w:tcW w:w="0" w:type="dxa"/>
            <w:vAlign w:val="bottom"/>
          </w:tcPr>
          <w:p>
            <w:pPr>
              <w:spacing w:after="0"/>
              <w:rPr>
                <w:sz w:val="1"/>
                <w:szCs w:val="1"/>
                <w:color w:val="auto"/>
              </w:rPr>
            </w:pPr>
          </w:p>
        </w:tc>
      </w:tr>
      <w:tr>
        <w:trPr>
          <w:trHeight w:val="27"/>
        </w:trPr>
        <w:tc>
          <w:tcPr>
            <w:tcW w:w="2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43"/>
        </w:trPr>
        <w:tc>
          <w:tcPr>
            <w:tcW w:w="290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Segment EBITDA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2900" w:type="dxa"/>
            <w:vAlign w:val="bottom"/>
          </w:tcPr>
          <w:p>
            <w:pPr>
              <w:ind w:left="140"/>
              <w:spacing w:after="0"/>
              <w:rPr>
                <w:sz w:val="20"/>
                <w:szCs w:val="20"/>
                <w:color w:val="auto"/>
              </w:rPr>
            </w:pPr>
            <w:r>
              <w:rPr>
                <w:rFonts w:ascii="Arial" w:cs="Arial" w:eastAsia="Arial" w:hAnsi="Arial"/>
                <w:sz w:val="18"/>
                <w:szCs w:val="18"/>
                <w:i w:val="1"/>
                <w:iCs w:val="1"/>
                <w:color w:val="auto"/>
              </w:rPr>
              <w:t>% Margin</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14%</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spacing w:after="0" w:line="341" w:lineRule="auto"/>
        <w:rPr>
          <w:sz w:val="20"/>
          <w:szCs w:val="20"/>
          <w:color w:val="auto"/>
        </w:rPr>
      </w:pPr>
      <w:r>
        <w:rPr>
          <w:rFonts w:ascii="Arial" w:cs="Arial" w:eastAsia="Arial" w:hAnsi="Arial"/>
          <w:sz w:val="20"/>
          <w:szCs w:val="20"/>
          <w:color w:val="auto"/>
        </w:rPr>
        <w:t>Fourth-quarter combined Western Hemisphere revenues of $621 million decreased 8% sequentially and 20% year-on-year. Excluding the impact of divestitures</w:t>
      </w:r>
      <w:r>
        <w:rPr>
          <w:rFonts w:ascii="Arial" w:cs="Arial" w:eastAsia="Arial" w:hAnsi="Arial"/>
          <w:sz w:val="25"/>
          <w:szCs w:val="25"/>
          <w:color w:val="auto"/>
          <w:vertAlign w:val="superscript"/>
        </w:rPr>
        <w:t>[1]</w:t>
      </w:r>
      <w:r>
        <w:rPr>
          <w:rFonts w:ascii="Arial" w:cs="Arial" w:eastAsia="Arial" w:hAnsi="Arial"/>
          <w:sz w:val="20"/>
          <w:szCs w:val="20"/>
          <w:color w:val="auto"/>
        </w:rPr>
        <w:t>, combined revenues declined 8% sequentially and 17% year-on-year. In North America, fourth-quarter combined revenues of $357 million declined 7% sequentially, primarily within our Completions, Drilling and Evaluation and Well Construction businesses, as operators’ focus on cash flow translated into lower rig counts and less spending in the United States, particularly in the land market. Fourth-quarter combined revenues of $264 million in Latin America declined 10% sequentially, driven primarily by the aforementioned activity reductions in Argentina associated with the economic crisis and the impact of divestitures, which were partially offset by additional offshore activity in Mexico and Brazil.</w:t>
      </w:r>
    </w:p>
    <w:p>
      <w:pPr>
        <w:spacing w:after="0" w:line="155"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Fourth-quarter combined adjusted segment EBITDA of $63 million increased $4 million sequentially and associated margins of 10% increased by 140 basis points. Favorable product mix and reductions in field operating expenses drove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93"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the sequential growth, which were partially offset by activity reductions in Argentina.</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Eastern Hemisphere</w:t>
      </w:r>
    </w:p>
    <w:p>
      <w:pPr>
        <w:spacing w:after="0" w:line="36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2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Period From</w:t>
            </w:r>
          </w:p>
        </w:tc>
        <w:tc>
          <w:tcPr>
            <w:tcW w:w="180" w:type="dxa"/>
            <w:vAlign w:val="bottom"/>
          </w:tcPr>
          <w:p>
            <w:pPr>
              <w:spacing w:after="0"/>
              <w:rPr>
                <w:sz w:val="21"/>
                <w:szCs w:val="21"/>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Non-GAAP</w:t>
            </w:r>
          </w:p>
        </w:tc>
        <w:tc>
          <w:tcPr>
            <w:tcW w:w="24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21"/>
                <w:szCs w:val="21"/>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12/14/19 to</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10/01/19 to</w:t>
            </w:r>
          </w:p>
        </w:tc>
        <w:tc>
          <w:tcPr>
            <w:tcW w:w="180" w:type="dxa"/>
            <w:vAlign w:val="bottom"/>
          </w:tcPr>
          <w:p>
            <w:pPr>
              <w:spacing w:after="0"/>
              <w:rPr>
                <w:sz w:val="23"/>
                <w:szCs w:val="2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Combined</w:t>
            </w:r>
          </w:p>
        </w:tc>
        <w:tc>
          <w:tcPr>
            <w:tcW w:w="240" w:type="dxa"/>
            <w:vAlign w:val="bottom"/>
          </w:tcPr>
          <w:p>
            <w:pPr>
              <w:spacing w:after="0"/>
              <w:rPr>
                <w:sz w:val="23"/>
                <w:szCs w:val="23"/>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220" w:type="dxa"/>
            <w:vAlign w:val="bottom"/>
          </w:tcPr>
          <w:p>
            <w:pPr>
              <w:spacing w:after="0"/>
              <w:rPr>
                <w:sz w:val="23"/>
                <w:szCs w:val="23"/>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70"/>
        </w:trPr>
        <w:tc>
          <w:tcPr>
            <w:tcW w:w="290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3"/>
                <w:szCs w:val="23"/>
                <w:color w:val="auto"/>
              </w:rPr>
            </w:pPr>
          </w:p>
        </w:tc>
        <w:tc>
          <w:tcPr>
            <w:tcW w:w="1220" w:type="dxa"/>
            <w:vAlign w:val="bottom"/>
          </w:tcPr>
          <w:p>
            <w:pPr>
              <w:jc w:val="center"/>
              <w:ind w:right="51"/>
              <w:spacing w:after="0"/>
              <w:rPr>
                <w:sz w:val="20"/>
                <w:szCs w:val="20"/>
                <w:color w:val="auto"/>
              </w:rPr>
            </w:pPr>
            <w:r>
              <w:rPr>
                <w:rFonts w:ascii="Arial" w:cs="Arial" w:eastAsia="Arial" w:hAnsi="Arial"/>
                <w:sz w:val="18"/>
                <w:szCs w:val="18"/>
                <w:b w:val="1"/>
                <w:bCs w:val="1"/>
                <w:color w:val="auto"/>
                <w:w w:val="91"/>
              </w:rPr>
              <w:t>12/31/19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center"/>
              <w:ind w:right="71"/>
              <w:spacing w:after="0"/>
              <w:rPr>
                <w:sz w:val="20"/>
                <w:szCs w:val="20"/>
                <w:color w:val="auto"/>
              </w:rPr>
            </w:pPr>
            <w:r>
              <w:rPr>
                <w:rFonts w:ascii="Arial" w:cs="Arial" w:eastAsia="Arial" w:hAnsi="Arial"/>
                <w:sz w:val="18"/>
                <w:szCs w:val="18"/>
                <w:b w:val="1"/>
                <w:bCs w:val="1"/>
                <w:color w:val="auto"/>
                <w:w w:val="91"/>
              </w:rPr>
              <w:t>12/13/19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Results</w:t>
            </w:r>
          </w:p>
        </w:tc>
        <w:tc>
          <w:tcPr>
            <w:tcW w:w="240" w:type="dxa"/>
            <w:vAlign w:val="bottom"/>
          </w:tcPr>
          <w:p>
            <w:pPr>
              <w:spacing w:after="0"/>
              <w:rPr>
                <w:sz w:val="23"/>
                <w:szCs w:val="23"/>
                <w:color w:val="auto"/>
              </w:rPr>
            </w:pPr>
          </w:p>
        </w:tc>
        <w:tc>
          <w:tcPr>
            <w:tcW w:w="1140" w:type="dxa"/>
            <w:vAlign w:val="bottom"/>
          </w:tcPr>
          <w:p>
            <w:pPr>
              <w:jc w:val="center"/>
              <w:ind w:right="171"/>
              <w:spacing w:after="0"/>
              <w:rPr>
                <w:sz w:val="20"/>
                <w:szCs w:val="20"/>
                <w:color w:val="auto"/>
              </w:rPr>
            </w:pPr>
            <w:r>
              <w:rPr>
                <w:rFonts w:ascii="Arial" w:cs="Arial" w:eastAsia="Arial" w:hAnsi="Arial"/>
                <w:sz w:val="18"/>
                <w:szCs w:val="18"/>
                <w:b w:val="1"/>
                <w:bCs w:val="1"/>
                <w:color w:val="auto"/>
                <w:w w:val="91"/>
              </w:rPr>
              <w:t>09/30/19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center"/>
              <w:ind w:right="131"/>
              <w:spacing w:after="0"/>
              <w:rPr>
                <w:sz w:val="20"/>
                <w:szCs w:val="20"/>
                <w:color w:val="auto"/>
              </w:rPr>
            </w:pPr>
            <w:r>
              <w:rPr>
                <w:rFonts w:ascii="Arial" w:cs="Arial" w:eastAsia="Arial" w:hAnsi="Arial"/>
                <w:sz w:val="18"/>
                <w:szCs w:val="18"/>
                <w:b w:val="1"/>
                <w:bCs w:val="1"/>
                <w:color w:val="auto"/>
                <w:w w:val="91"/>
              </w:rPr>
              <w:t>12/31/18</w:t>
            </w:r>
          </w:p>
        </w:tc>
        <w:tc>
          <w:tcPr>
            <w:tcW w:w="0" w:type="dxa"/>
            <w:vAlign w:val="bottom"/>
          </w:tcPr>
          <w:p>
            <w:pPr>
              <w:spacing w:after="0"/>
              <w:rPr>
                <w:sz w:val="1"/>
                <w:szCs w:val="1"/>
                <w:color w:val="auto"/>
              </w:rPr>
            </w:pPr>
          </w:p>
        </w:tc>
      </w:tr>
      <w:tr>
        <w:trPr>
          <w:trHeight w:val="27"/>
        </w:trPr>
        <w:tc>
          <w:tcPr>
            <w:tcW w:w="2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Middle East, North Africa &amp; Asia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2900" w:type="dxa"/>
            <w:vAlign w:val="bottom"/>
          </w:tcPr>
          <w:p>
            <w:pPr>
              <w:ind w:left="140"/>
              <w:spacing w:after="0"/>
              <w:rPr>
                <w:sz w:val="20"/>
                <w:szCs w:val="20"/>
                <w:color w:val="auto"/>
              </w:rPr>
            </w:pPr>
            <w:r>
              <w:rPr>
                <w:rFonts w:ascii="Arial" w:cs="Arial" w:eastAsia="Arial" w:hAnsi="Arial"/>
                <w:sz w:val="18"/>
                <w:szCs w:val="18"/>
                <w:color w:val="auto"/>
              </w:rPr>
              <w:t>Europe, SSA &amp; Russia</w:t>
            </w: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Segment EBITDA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2900" w:type="dxa"/>
            <w:vAlign w:val="bottom"/>
          </w:tcPr>
          <w:p>
            <w:pPr>
              <w:ind w:left="140"/>
              <w:spacing w:after="0"/>
              <w:rPr>
                <w:sz w:val="20"/>
                <w:szCs w:val="20"/>
                <w:color w:val="auto"/>
              </w:rPr>
            </w:pPr>
            <w:r>
              <w:rPr>
                <w:rFonts w:ascii="Arial" w:cs="Arial" w:eastAsia="Arial" w:hAnsi="Arial"/>
                <w:sz w:val="18"/>
                <w:szCs w:val="18"/>
                <w:i w:val="1"/>
                <w:iCs w:val="1"/>
                <w:color w:val="auto"/>
              </w:rPr>
              <w:t>% Margin</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21%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20%</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spacing w:after="0" w:line="377" w:lineRule="auto"/>
        <w:rPr>
          <w:sz w:val="20"/>
          <w:szCs w:val="20"/>
          <w:color w:val="auto"/>
        </w:rPr>
      </w:pPr>
      <w:r>
        <w:rPr>
          <w:rFonts w:ascii="Arial" w:cs="Arial" w:eastAsia="Arial" w:hAnsi="Arial"/>
          <w:sz w:val="18"/>
          <w:szCs w:val="18"/>
          <w:color w:val="auto"/>
        </w:rPr>
        <w:t>Fourth-quarter combined Eastern Hemisphere revenues of $625 million decreased 2% sequentially and 4% year-on-year. Excluding the impact of divestitures</w:t>
      </w:r>
      <w:r>
        <w:rPr>
          <w:rFonts w:ascii="Arial" w:cs="Arial" w:eastAsia="Arial" w:hAnsi="Arial"/>
          <w:sz w:val="23"/>
          <w:szCs w:val="23"/>
          <w:color w:val="auto"/>
          <w:vertAlign w:val="superscript"/>
        </w:rPr>
        <w:t>[1]</w:t>
      </w:r>
      <w:r>
        <w:rPr>
          <w:rFonts w:ascii="Arial" w:cs="Arial" w:eastAsia="Arial" w:hAnsi="Arial"/>
          <w:sz w:val="18"/>
          <w:szCs w:val="18"/>
          <w:color w:val="auto"/>
        </w:rPr>
        <w:t>, combined revenues declined 2% sequentially and grew 4% year-on-year. Fourth-quarter combined revenues in Middle East, North Africa and Asia of $386 million grew 2% sequentially, due to increased Completions and Production product sales. Fourth-quarter combined revenues in Europe, Sub Saharan Africa, and Russia of $239 million declined 9% sequentially, primarily due to product sales in Europe that did not repeat in the fourth quarter, as well as seasonal activity reductions in Russia.</w:t>
      </w:r>
    </w:p>
    <w:p>
      <w:pPr>
        <w:spacing w:after="0" w:line="133"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Fourth-quarter combined adjusted segment EBITDA of $114 million declined $30 million sequentially and associated margins of 18% declined 430 basis points versus the third quarter of 2019. The sequential decline primarily resulted from the non-recurrence of product sales in Europe, unfavorable fall-through associated with seasonal activity reductions in the North Sea and Russia, and divestiture costs associated with our Land Rigs in the Middle East.</w:t>
      </w:r>
    </w:p>
    <w:p>
      <w:pPr>
        <w:spacing w:after="0" w:line="346"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Customer &amp; Technology Highlights</w:t>
      </w:r>
    </w:p>
    <w:p>
      <w:pPr>
        <w:spacing w:after="0" w:line="288" w:lineRule="exact"/>
        <w:rPr>
          <w:sz w:val="20"/>
          <w:szCs w:val="20"/>
          <w:color w:val="auto"/>
        </w:rPr>
      </w:pPr>
    </w:p>
    <w:p>
      <w:pPr>
        <w:jc w:val="both"/>
        <w:ind w:left="340" w:hanging="332"/>
        <w:spacing w:after="0" w:line="348"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Weatherford was awarded a $220-million contract with ADNOC to deliver directional drilling services with our Magnus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rotary steerable system. We also received awards for fishing services and a five-year award for casing-handling and tubular running services. These contract wins are a testament to our focus on the critical Middle East region and the drilling services award leads us into the next phase of international growth for Magnus.</w:t>
      </w:r>
    </w:p>
    <w:p>
      <w:pPr>
        <w:spacing w:after="0" w:line="92" w:lineRule="exact"/>
        <w:rPr>
          <w:rFonts w:ascii="Arial" w:cs="Arial" w:eastAsia="Arial" w:hAnsi="Arial"/>
          <w:sz w:val="20"/>
          <w:szCs w:val="20"/>
          <w:color w:val="auto"/>
        </w:rPr>
      </w:pPr>
    </w:p>
    <w:p>
      <w:pPr>
        <w:jc w:val="both"/>
        <w:ind w:left="340" w:hanging="332"/>
        <w:spacing w:after="0" w:line="362"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Weatherford secured a $187-million contract extension to provide integrated services for shallow-water operations in Mexico. The operator extended the contract due to the superior performance and value Weatherford delivered through reductions in drilling times and other efficiencies.</w:t>
      </w:r>
    </w:p>
    <w:p>
      <w:pPr>
        <w:spacing w:after="0" w:line="79" w:lineRule="exact"/>
        <w:rPr>
          <w:rFonts w:ascii="Arial" w:cs="Arial" w:eastAsia="Arial" w:hAnsi="Arial"/>
          <w:sz w:val="20"/>
          <w:szCs w:val="20"/>
          <w:color w:val="auto"/>
        </w:rPr>
      </w:pPr>
    </w:p>
    <w:p>
      <w:pPr>
        <w:jc w:val="both"/>
        <w:ind w:left="340" w:hanging="332"/>
        <w:spacing w:after="0" w:line="362"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Weatherford signed its largest-ever contract for ultra-deepwater safety valves with Brazilian-based multinational corporation Petróleo Brasileiro S.A., more commonly known as Petrobras. Weatherford will deliver 24 Optimax™ deep-set safety valves in the next four years.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93" w:right="339" w:bottom="1440" w:gutter="0" w:footer="0" w:header="0"/>
        </w:sectPr>
      </w:pPr>
    </w:p>
    <w:bookmarkStart w:id="7" w:name="page8"/>
    <w:bookmarkEnd w:id="7"/>
    <w:p>
      <w:pPr>
        <w:jc w:val="both"/>
        <w:ind w:left="340" w:hanging="332"/>
        <w:spacing w:after="0" w:line="359"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Weatherford deployed the Vero™ conventional system to run a 300-connection completion for an operator in Oman. The system delivered a 25% overall improvement in operational efficiency, zero rejected joints, and reduced personnel on board the rig. This operation demonstrates how Weatherford is embedding digitization within its market-leading products and services to help customers achieve their goals of increasing safety, reliability, and cash flows.</w:t>
      </w:r>
    </w:p>
    <w:p>
      <w:pPr>
        <w:spacing w:after="0" w:line="30" w:lineRule="exact"/>
        <w:rPr>
          <w:rFonts w:ascii="Arial" w:cs="Arial" w:eastAsia="Arial" w:hAnsi="Arial"/>
          <w:sz w:val="20"/>
          <w:szCs w:val="20"/>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Weatherford introduced the Magnus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950 and Magnus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1100 rotary steerable solution to several international markets. These large-sized</w:t>
      </w:r>
    </w:p>
    <w:p>
      <w:pPr>
        <w:spacing w:after="0" w:line="147" w:lineRule="exact"/>
        <w:rPr>
          <w:rFonts w:ascii="Arial" w:cs="Arial" w:eastAsia="Arial" w:hAnsi="Arial"/>
          <w:sz w:val="17"/>
          <w:szCs w:val="17"/>
          <w:color w:val="auto"/>
        </w:rPr>
      </w:pPr>
    </w:p>
    <w:p>
      <w:pPr>
        <w:jc w:val="both"/>
        <w:ind w:left="340"/>
        <w:spacing w:after="0" w:line="343" w:lineRule="auto"/>
        <w:rPr>
          <w:rFonts w:ascii="Arial" w:cs="Arial" w:eastAsia="Arial" w:hAnsi="Arial"/>
          <w:sz w:val="17"/>
          <w:szCs w:val="17"/>
          <w:color w:val="auto"/>
        </w:rPr>
      </w:pPr>
      <w:r>
        <w:rPr>
          <w:rFonts w:ascii="Arial" w:cs="Arial" w:eastAsia="Arial" w:hAnsi="Arial"/>
          <w:sz w:val="18"/>
          <w:szCs w:val="18"/>
          <w:color w:val="auto"/>
        </w:rPr>
        <w:t>tools are fundamental to expanding our market share in large-diameter drilling in the Middle East as well as offshore markets, important markets for us going forward. For example, Weatherford recently deployed Magnus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1100 in Kuwait for deep drilling operations, where</w:t>
      </w:r>
    </w:p>
    <w:p>
      <w:pPr>
        <w:spacing w:after="0" w:line="1" w:lineRule="exact"/>
        <w:rPr>
          <w:rFonts w:ascii="Arial" w:cs="Arial" w:eastAsia="Arial" w:hAnsi="Arial"/>
          <w:sz w:val="17"/>
          <w:szCs w:val="17"/>
          <w:color w:val="auto"/>
        </w:rPr>
      </w:pPr>
    </w:p>
    <w:p>
      <w:pPr>
        <w:ind w:left="340" w:right="20"/>
        <w:spacing w:after="0" w:line="369" w:lineRule="auto"/>
        <w:rPr>
          <w:rFonts w:ascii="Arial" w:cs="Arial" w:eastAsia="Arial" w:hAnsi="Arial"/>
          <w:sz w:val="17"/>
          <w:szCs w:val="17"/>
          <w:color w:val="auto"/>
        </w:rPr>
      </w:pPr>
      <w:r>
        <w:rPr>
          <w:rFonts w:ascii="Arial" w:cs="Arial" w:eastAsia="Arial" w:hAnsi="Arial"/>
          <w:sz w:val="18"/>
          <w:szCs w:val="18"/>
          <w:color w:val="auto"/>
        </w:rPr>
        <w:t>it completed a section with a record rate of penetration (ROP) and 12 hours faster than the previous record. In another operation, we recently deployed the Magnus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950 offshore in Mexico where we drilled a section 10 days faster than the previous best well in the field.</w:t>
      </w:r>
    </w:p>
    <w:p>
      <w:pPr>
        <w:spacing w:after="0" w:line="6" w:lineRule="exact"/>
        <w:rPr>
          <w:rFonts w:ascii="Arial" w:cs="Arial" w:eastAsia="Arial" w:hAnsi="Arial"/>
          <w:sz w:val="17"/>
          <w:szCs w:val="17"/>
          <w:color w:val="auto"/>
        </w:rPr>
      </w:pPr>
    </w:p>
    <w:p>
      <w:pPr>
        <w:jc w:val="both"/>
        <w:ind w:left="340" w:hanging="332"/>
        <w:spacing w:after="0" w:line="348"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 the U.S., the AlphaST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single-trip openhole cement and sidetrack system saved an operator 29 hours of rig time. After three unsuccessful attempts to sidetrack off a cement plug, the customer called Weatherford to deliver a whipstock system with single-trip openhole sidetrack capabilities to mitigate re-drilling the hole section and complete the well without further delays and incremental well costs.</w:t>
      </w:r>
    </w:p>
    <w:p>
      <w:pPr>
        <w:spacing w:after="0" w:line="92" w:lineRule="exact"/>
        <w:rPr>
          <w:rFonts w:ascii="Arial" w:cs="Arial" w:eastAsia="Arial" w:hAnsi="Arial"/>
          <w:sz w:val="20"/>
          <w:szCs w:val="20"/>
          <w:color w:val="auto"/>
        </w:rPr>
      </w:pPr>
    </w:p>
    <w:p>
      <w:pPr>
        <w:jc w:val="both"/>
        <w:ind w:left="340" w:hanging="332"/>
        <w:spacing w:after="0" w:line="362"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saved a large Middle East operator 18 days of rig time by using managed pressure drilling (MPD) to achieve a high ROP while drilling in tight-gas reservoirs. Bolstered by multiple other MPD successes in the market, this achievement helps enable future growth in this essential market for us.</w:t>
      </w:r>
    </w:p>
    <w:p>
      <w:pPr>
        <w:spacing w:after="0" w:line="79" w:lineRule="exact"/>
        <w:rPr>
          <w:rFonts w:ascii="Arial" w:cs="Arial" w:eastAsia="Arial" w:hAnsi="Arial"/>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Weatherford received multiple awards during the quarter, including three “Best of the Year” awards from </w:t>
      </w:r>
      <w:r>
        <w:rPr>
          <w:rFonts w:ascii="Arial" w:cs="Arial" w:eastAsia="Arial" w:hAnsi="Arial"/>
          <w:sz w:val="18"/>
          <w:szCs w:val="18"/>
          <w:i w:val="1"/>
          <w:iCs w:val="1"/>
          <w:color w:val="auto"/>
        </w:rPr>
        <w:t>World Oil</w:t>
      </w:r>
      <w:r>
        <w:rPr>
          <w:rFonts w:ascii="Arial" w:cs="Arial" w:eastAsia="Arial" w:hAnsi="Arial"/>
          <w:sz w:val="18"/>
          <w:szCs w:val="18"/>
          <w:color w:val="auto"/>
        </w:rPr>
        <w:t xml:space="preserve"> for Best Completion</w:t>
      </w:r>
    </w:p>
    <w:p>
      <w:pPr>
        <w:spacing w:after="0" w:line="79" w:lineRule="exact"/>
        <w:rPr>
          <w:rFonts w:ascii="Arial" w:cs="Arial" w:eastAsia="Arial" w:hAnsi="Arial"/>
          <w:sz w:val="18"/>
          <w:szCs w:val="18"/>
          <w:color w:val="auto"/>
        </w:rPr>
      </w:pPr>
    </w:p>
    <w:p>
      <w:pPr>
        <w:jc w:val="both"/>
        <w:ind w:left="340"/>
        <w:spacing w:after="0" w:line="285" w:lineRule="auto"/>
        <w:rPr>
          <w:rFonts w:ascii="Arial" w:cs="Arial" w:eastAsia="Arial" w:hAnsi="Arial"/>
          <w:sz w:val="18"/>
          <w:szCs w:val="18"/>
          <w:color w:val="auto"/>
        </w:rPr>
      </w:pPr>
      <w:r>
        <w:rPr>
          <w:rFonts w:ascii="Arial" w:cs="Arial" w:eastAsia="Arial" w:hAnsi="Arial"/>
          <w:sz w:val="20"/>
          <w:szCs w:val="20"/>
          <w:color w:val="auto"/>
        </w:rPr>
        <w:t>Technology (TR1P</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single-trip completion system), Best Production Technology (Centrifugal Jet Pumps), and Best Digital Transformation Technology (ForeSite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Edge), two Spotlight on New Technology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awards from </w:t>
      </w:r>
      <w:r>
        <w:rPr>
          <w:rFonts w:ascii="Arial" w:cs="Arial" w:eastAsia="Arial" w:hAnsi="Arial"/>
          <w:sz w:val="20"/>
          <w:szCs w:val="20"/>
          <w:i w:val="1"/>
          <w:iCs w:val="1"/>
          <w:color w:val="auto"/>
        </w:rPr>
        <w:t>OTC Asia</w:t>
      </w:r>
      <w:r>
        <w:rPr>
          <w:rFonts w:ascii="Arial" w:cs="Arial" w:eastAsia="Arial" w:hAnsi="Arial"/>
          <w:sz w:val="20"/>
          <w:szCs w:val="20"/>
          <w:color w:val="auto"/>
        </w:rPr>
        <w:t xml:space="preserve"> (Victus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Intelligent MPD and Magnus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Rotary Steerable System), and multiple </w:t>
      </w:r>
      <w:r>
        <w:rPr>
          <w:rFonts w:ascii="Arial" w:cs="Arial" w:eastAsia="Arial" w:hAnsi="Arial"/>
          <w:sz w:val="20"/>
          <w:szCs w:val="20"/>
          <w:i w:val="1"/>
          <w:iCs w:val="1"/>
          <w:color w:val="auto"/>
        </w:rPr>
        <w:t>Lantern</w:t>
      </w:r>
      <w:r>
        <w:rPr>
          <w:rFonts w:ascii="Arial" w:cs="Arial" w:eastAsia="Arial" w:hAnsi="Arial"/>
          <w:sz w:val="20"/>
          <w:szCs w:val="20"/>
          <w:color w:val="auto"/>
        </w:rPr>
        <w:t xml:space="preserve"> awards including Best in Oil and Gas (Victus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MPD) and numerous business marketing awards.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93"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u w:val="single" w:color="auto"/>
          <w:color w:val="auto"/>
        </w:rPr>
        <w:t>About Weatherford</w:t>
      </w:r>
    </w:p>
    <w:p>
      <w:pPr>
        <w:spacing w:after="0" w:line="200" w:lineRule="exact"/>
        <w:rPr>
          <w:sz w:val="20"/>
          <w:szCs w:val="20"/>
          <w:color w:val="auto"/>
        </w:rPr>
      </w:pPr>
    </w:p>
    <w:p>
      <w:pPr>
        <w:spacing w:after="0" w:line="207"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 xml:space="preserve">Weatherford is the leading wellbore and production solutions company. Operating in more than 80 countries, the Company answers the challenges of the energy industry with its global talent network of 24,000 team members and 610 locations, which include service, research and development, training, and manufacturing facilities. Visit </w:t>
      </w:r>
      <w:r>
        <w:rPr>
          <w:rFonts w:ascii="Arial" w:cs="Arial" w:eastAsia="Arial" w:hAnsi="Arial"/>
          <w:sz w:val="20"/>
          <w:szCs w:val="20"/>
          <w:u w:val="single" w:color="auto"/>
          <w:color w:val="0094FF"/>
        </w:rPr>
        <w:t>https://www.weatherford.com/</w:t>
      </w:r>
      <w:r>
        <w:rPr>
          <w:rFonts w:ascii="Arial" w:cs="Arial" w:eastAsia="Arial" w:hAnsi="Arial"/>
          <w:sz w:val="20"/>
          <w:szCs w:val="20"/>
          <w:color w:val="auto"/>
        </w:rPr>
        <w:t xml:space="preserve"> for more information or connect on LinkedIn, Facebook, Twitter, Instagram, or YouTube.</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Conference Call Details</w:t>
      </w:r>
    </w:p>
    <w:p>
      <w:pPr>
        <w:spacing w:after="0" w:line="200" w:lineRule="exact"/>
        <w:rPr>
          <w:sz w:val="20"/>
          <w:szCs w:val="20"/>
          <w:color w:val="auto"/>
        </w:rPr>
      </w:pPr>
    </w:p>
    <w:p>
      <w:pPr>
        <w:spacing w:after="0" w:line="207"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Weatherford will host a conference call on Monday, March 16, 2020, to discuss the results for the fourth quarter and full year ending December 31, 2019. The conference call is scheduled to begin at 8:30 a.m. Eastern Time (7:30 a.m. Central Time).</w:t>
      </w:r>
    </w:p>
    <w:p>
      <w:pPr>
        <w:spacing w:after="0" w:line="122"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 xml:space="preserve">Listeners can access the conference call at </w:t>
      </w:r>
      <w:r>
        <w:rPr>
          <w:rFonts w:ascii="Arial" w:cs="Arial" w:eastAsia="Arial" w:hAnsi="Arial"/>
          <w:sz w:val="20"/>
          <w:szCs w:val="20"/>
          <w:u w:val="single" w:color="auto"/>
          <w:color w:val="0094FF"/>
        </w:rPr>
        <w:t>https://www.weatherford.com/en/investor-relations/conference-call-details/</w:t>
      </w:r>
      <w:r>
        <w:rPr>
          <w:rFonts w:ascii="Arial" w:cs="Arial" w:eastAsia="Arial" w:hAnsi="Arial"/>
          <w:sz w:val="20"/>
          <w:szCs w:val="20"/>
          <w:color w:val="auto"/>
        </w:rPr>
        <w:t xml:space="preserve"> or by dialing +1 877-328-5344 (within the U.S.) or +1 412-902-6762 (outside of the U.S.) and asking for the Weatherford conference call. Listeners should log in or dial in approximately 10 minutes prior to the start of the call.</w:t>
      </w:r>
    </w:p>
    <w:p>
      <w:pPr>
        <w:spacing w:after="0" w:line="134" w:lineRule="exact"/>
        <w:rPr>
          <w:sz w:val="20"/>
          <w:szCs w:val="20"/>
          <w:color w:val="auto"/>
        </w:rPr>
      </w:pPr>
    </w:p>
    <w:p>
      <w:pPr>
        <w:jc w:val="both"/>
        <w:spacing w:after="0" w:line="405" w:lineRule="auto"/>
        <w:rPr>
          <w:sz w:val="20"/>
          <w:szCs w:val="20"/>
          <w:color w:val="auto"/>
        </w:rPr>
      </w:pPr>
      <w:r>
        <w:rPr>
          <w:rFonts w:ascii="Arial" w:cs="Arial" w:eastAsia="Arial" w:hAnsi="Arial"/>
          <w:sz w:val="19"/>
          <w:szCs w:val="19"/>
          <w:color w:val="auto"/>
        </w:rPr>
        <w:t>A telephonic replay of the conference call will be available until March 26, 2020, at 5:00 p.m. Eastern Time. To access the replay, please dial +1 877-344-7529 (within the U.S.) or +1 412-317-0088 (outside of the U.S.) and reference conference number 10139185.</w:t>
      </w:r>
    </w:p>
    <w:p>
      <w:pPr>
        <w:spacing w:after="0" w:line="377"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Contact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Sebastian Pellizzer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Senior Director, Investor Relations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+1 713-836-6777</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94FF"/>
        </w:rPr>
        <w:t>investor.relations@weatherford.com</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670" w:right="33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u w:val="single" w:color="auto"/>
          <w:color w:val="auto"/>
        </w:rPr>
        <w:t>Forward-Looking Statements</w:t>
      </w:r>
    </w:p>
    <w:p>
      <w:pPr>
        <w:spacing w:after="0" w:line="200" w:lineRule="exact"/>
        <w:rPr>
          <w:sz w:val="20"/>
          <w:szCs w:val="20"/>
          <w:color w:val="auto"/>
        </w:rPr>
      </w:pPr>
    </w:p>
    <w:p>
      <w:pPr>
        <w:spacing w:after="0" w:line="207" w:lineRule="exact"/>
        <w:rPr>
          <w:sz w:val="20"/>
          <w:szCs w:val="20"/>
          <w:color w:val="auto"/>
        </w:rPr>
      </w:pPr>
    </w:p>
    <w:p>
      <w:pPr>
        <w:jc w:val="both"/>
        <w:spacing w:after="0" w:line="373" w:lineRule="auto"/>
        <w:rPr>
          <w:sz w:val="20"/>
          <w:szCs w:val="20"/>
          <w:color w:val="auto"/>
        </w:rPr>
      </w:pPr>
      <w:r>
        <w:rPr>
          <w:rFonts w:ascii="Arial" w:cs="Arial" w:eastAsia="Arial" w:hAnsi="Arial"/>
          <w:sz w:val="19"/>
          <w:szCs w:val="19"/>
          <w:color w:val="auto"/>
        </w:rPr>
        <w:t>This news release contains forward-looking statements concerning, among other things, the Company’s quarterly and full-year non-GAAP earnings (loss) per share, effective tax rate, net debt, forecasts or expectations regarding business outlook,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the macroeconomic outlook for the oil and gas industry, realization of additional cost savings and operational efficiencies and potential logistical issues and business interruptions associated with COVID-19. Forward-looking statements are also affected by the risk factors described in the Company’s Annual Report on Form 10-K for the year ended December 31, 2019,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67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Condensed Consolidated Statements of Operations (Unaudited)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 Except Per Share Amounts)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9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Successor</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Predecessor</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Period From</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 From</w:t>
            </w:r>
          </w:p>
        </w:tc>
        <w:tc>
          <w:tcPr>
            <w:tcW w:w="160" w:type="dxa"/>
            <w:vAlign w:val="bottom"/>
          </w:tcPr>
          <w:p>
            <w:pPr>
              <w:spacing w:after="0"/>
              <w:rPr>
                <w:sz w:val="21"/>
                <w:szCs w:val="21"/>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Non-GAAP</w:t>
            </w:r>
          </w:p>
        </w:tc>
        <w:tc>
          <w:tcPr>
            <w:tcW w:w="20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Quarter</w:t>
            </w:r>
          </w:p>
        </w:tc>
        <w:tc>
          <w:tcPr>
            <w:tcW w:w="200" w:type="dxa"/>
            <w:vAlign w:val="bottom"/>
          </w:tcPr>
          <w:p>
            <w:pPr>
              <w:spacing w:after="0"/>
              <w:rPr>
                <w:sz w:val="21"/>
                <w:szCs w:val="21"/>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12/14/19 to</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10/1/19 to</w:t>
            </w:r>
          </w:p>
        </w:tc>
        <w:tc>
          <w:tcPr>
            <w:tcW w:w="160" w:type="dxa"/>
            <w:vAlign w:val="bottom"/>
          </w:tcPr>
          <w:p>
            <w:pPr>
              <w:spacing w:after="0"/>
              <w:rPr>
                <w:sz w:val="23"/>
                <w:szCs w:val="23"/>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Combined</w:t>
            </w:r>
          </w:p>
        </w:tc>
        <w:tc>
          <w:tcPr>
            <w:tcW w:w="200" w:type="dxa"/>
            <w:vAlign w:val="bottom"/>
          </w:tcPr>
          <w:p>
            <w:pPr>
              <w:spacing w:after="0"/>
              <w:rPr>
                <w:sz w:val="23"/>
                <w:szCs w:val="2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23"/>
                <w:szCs w:val="23"/>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12/31/19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12/13/19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Results</w:t>
            </w:r>
          </w:p>
        </w:tc>
        <w:tc>
          <w:tcPr>
            <w:tcW w:w="200" w:type="dxa"/>
            <w:vAlign w:val="bottom"/>
          </w:tcPr>
          <w:p>
            <w:pPr>
              <w:spacing w:after="0"/>
              <w:rPr>
                <w:sz w:val="23"/>
                <w:szCs w:val="23"/>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09/30/19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12/31/18</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Western Hemisphere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621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776</w:t>
            </w:r>
          </w:p>
        </w:tc>
        <w:tc>
          <w:tcPr>
            <w:tcW w:w="0" w:type="dxa"/>
            <w:vAlign w:val="bottom"/>
          </w:tcPr>
          <w:p>
            <w:pPr>
              <w:spacing w:after="0"/>
              <w:rPr>
                <w:sz w:val="1"/>
                <w:szCs w:val="1"/>
                <w:color w:val="auto"/>
              </w:rPr>
            </w:pPr>
          </w:p>
        </w:tc>
      </w:tr>
      <w:tr>
        <w:trPr>
          <w:trHeight w:val="243"/>
        </w:trPr>
        <w:tc>
          <w:tcPr>
            <w:tcW w:w="3920" w:type="dxa"/>
            <w:vAlign w:val="bottom"/>
          </w:tcPr>
          <w:p>
            <w:pPr>
              <w:ind w:left="160"/>
              <w:spacing w:after="0"/>
              <w:rPr>
                <w:sz w:val="20"/>
                <w:szCs w:val="20"/>
                <w:color w:val="auto"/>
              </w:rPr>
            </w:pPr>
            <w:r>
              <w:rPr>
                <w:rFonts w:ascii="Arial" w:cs="Arial" w:eastAsia="Arial" w:hAnsi="Arial"/>
                <w:sz w:val="18"/>
                <w:szCs w:val="18"/>
                <w:color w:val="auto"/>
              </w:rPr>
              <w:t>Eastern Hemisphere</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2C2C2C"/>
              </w:rPr>
              <w:t>625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2C2C2C"/>
              </w:rPr>
              <w:t>639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2C2C2C"/>
              </w:rPr>
              <w:t>653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97"/>
        </w:trPr>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60"/>
              <w:spacing w:after="0"/>
              <w:rPr>
                <w:sz w:val="20"/>
                <w:szCs w:val="20"/>
                <w:color w:val="auto"/>
              </w:rPr>
            </w:pPr>
            <w:r>
              <w:rPr>
                <w:rFonts w:ascii="Arial" w:cs="Arial" w:eastAsia="Arial" w:hAnsi="Arial"/>
                <w:sz w:val="18"/>
                <w:szCs w:val="18"/>
                <w:color w:val="auto"/>
              </w:rPr>
              <w:t>Western Hemisphere</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Eastern Hemisphere</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392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92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920" w:type="dxa"/>
            <w:vAlign w:val="bottom"/>
          </w:tcPr>
          <w:p>
            <w:pPr>
              <w:ind w:left="160"/>
              <w:spacing w:after="0"/>
              <w:rPr>
                <w:sz w:val="20"/>
                <w:szCs w:val="20"/>
                <w:color w:val="auto"/>
              </w:rPr>
            </w:pPr>
            <w:r>
              <w:rPr>
                <w:rFonts w:ascii="Arial" w:cs="Arial" w:eastAsia="Arial" w:hAnsi="Arial"/>
                <w:sz w:val="18"/>
                <w:szCs w:val="18"/>
                <w:color w:val="auto"/>
              </w:rPr>
              <w:t>Gain on Sale of Operational Assets</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Charges, Net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7"/>
        </w:trPr>
        <w:tc>
          <w:tcPr>
            <w:tcW w:w="3920" w:type="dxa"/>
            <w:vAlign w:val="bottom"/>
          </w:tcPr>
          <w:p>
            <w:pPr>
              <w:ind w:left="280"/>
              <w:spacing w:after="0"/>
              <w:rPr>
                <w:sz w:val="20"/>
                <w:szCs w:val="20"/>
                <w:color w:val="auto"/>
              </w:rPr>
            </w:pPr>
            <w:r>
              <w:rPr>
                <w:rFonts w:ascii="Arial" w:cs="Arial" w:eastAsia="Arial" w:hAnsi="Arial"/>
                <w:sz w:val="18"/>
                <w:szCs w:val="18"/>
                <w:color w:val="auto"/>
              </w:rPr>
              <w:t>Total Operating Income (Loss)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C2C2C"/>
              </w:rPr>
              <w:t>(315)</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C2C2C"/>
              </w:rPr>
              <w:t>(447)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C2C2C"/>
              </w:rPr>
              <w:t>(1,959)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Reorganization Items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Non-Operating Expenses, Net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3920" w:type="dxa"/>
            <w:vAlign w:val="bottom"/>
          </w:tcPr>
          <w:p>
            <w:pPr>
              <w:ind w:left="280"/>
              <w:spacing w:after="0"/>
              <w:rPr>
                <w:sz w:val="20"/>
                <w:szCs w:val="20"/>
                <w:color w:val="auto"/>
              </w:rPr>
            </w:pPr>
            <w:r>
              <w:rPr>
                <w:rFonts w:ascii="Arial" w:cs="Arial" w:eastAsia="Arial" w:hAnsi="Arial"/>
                <w:sz w:val="18"/>
                <w:szCs w:val="18"/>
                <w:color w:val="auto"/>
              </w:rPr>
              <w:t>Net Income (Loss) Before Income Taxes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5,332</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392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5,264</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39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w w:val="98"/>
              </w:rPr>
              <w:t>Net Income (Loss) Attributable to Weatherford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5,279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5,253</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84"/>
        </w:trPr>
        <w:tc>
          <w:tcPr>
            <w:tcW w:w="3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Income (Loss) Per Share Attributable to</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Weatherford:</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97"/>
        </w:trPr>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ind w:left="86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648"/>
        </w:trPr>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8</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715" w:right="359" w:bottom="1440" w:gutter="0" w:footer="0" w:header="0"/>
        </w:sectPr>
      </w:pPr>
    </w:p>
    <w:bookmarkStart w:id="11" w:name="page12"/>
    <w:bookmarkEnd w:id="11"/>
    <w:p>
      <w:pPr>
        <w:jc w:val="center"/>
        <w:ind w:right="-31"/>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Full Year Condensed Consolidated Statements of Operations (Unaudited)</w:t>
      </w:r>
    </w:p>
    <w:p>
      <w:pPr>
        <w:spacing w:after="0" w:line="67" w:lineRule="exact"/>
        <w:rPr>
          <w:sz w:val="20"/>
          <w:szCs w:val="20"/>
          <w:color w:val="auto"/>
        </w:rPr>
      </w:pPr>
    </w:p>
    <w:p>
      <w:pPr>
        <w:jc w:val="center"/>
        <w:ind w:right="-31"/>
        <w:spacing w:after="0"/>
        <w:rPr>
          <w:sz w:val="20"/>
          <w:szCs w:val="20"/>
          <w:color w:val="auto"/>
        </w:rPr>
      </w:pPr>
      <w:r>
        <w:rPr>
          <w:rFonts w:ascii="Arial" w:cs="Arial" w:eastAsia="Arial" w:hAnsi="Arial"/>
          <w:sz w:val="18"/>
          <w:szCs w:val="18"/>
          <w:i w:val="1"/>
          <w:iCs w:val="1"/>
          <w:color w:val="auto"/>
        </w:rPr>
        <w:t>($ in Millions, Except Per Share Amounts)</w:t>
      </w:r>
    </w:p>
    <w:p>
      <w:pPr>
        <w:spacing w:after="0" w:line="388" w:lineRule="exact"/>
        <w:rPr>
          <w:sz w:val="20"/>
          <w:szCs w:val="20"/>
          <w:color w:val="auto"/>
        </w:rPr>
      </w:pPr>
    </w:p>
    <w:tbl>
      <w:tblPr>
        <w:tblLayout w:type="fixed"/>
        <w:tblInd w:w="52" w:type="dxa"/>
        <w:tblCellMar>
          <w:top w:w="0" w:type="dxa"/>
          <w:left w:w="0" w:type="dxa"/>
          <w:bottom w:w="0" w:type="dxa"/>
          <w:right w:w="0" w:type="dxa"/>
        </w:tblCellMar>
      </w:tblPr>
      <w:tr>
        <w:trPr>
          <w:trHeight w:val="263"/>
        </w:trPr>
        <w:tc>
          <w:tcPr>
            <w:tcW w:w="5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Period From</w:t>
            </w: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Non-GAAP</w:t>
            </w:r>
          </w:p>
        </w:tc>
        <w:tc>
          <w:tcPr>
            <w:tcW w:w="160" w:type="dxa"/>
            <w:vAlign w:val="bottom"/>
          </w:tcPr>
          <w:p>
            <w:pPr>
              <w:spacing w:after="0"/>
              <w:rPr>
                <w:sz w:val="21"/>
                <w:szCs w:val="21"/>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12/14/19 to</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01/01/19 to</w:t>
            </w:r>
          </w:p>
        </w:tc>
        <w:tc>
          <w:tcPr>
            <w:tcW w:w="160" w:type="dxa"/>
            <w:vAlign w:val="bottom"/>
          </w:tcPr>
          <w:p>
            <w:pPr>
              <w:spacing w:after="0"/>
              <w:rPr>
                <w:sz w:val="23"/>
                <w:szCs w:val="2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Combined</w:t>
            </w:r>
          </w:p>
        </w:tc>
        <w:tc>
          <w:tcPr>
            <w:tcW w:w="160" w:type="dxa"/>
            <w:vAlign w:val="bottom"/>
          </w:tcPr>
          <w:p>
            <w:pPr>
              <w:spacing w:after="0"/>
              <w:rPr>
                <w:sz w:val="23"/>
                <w:szCs w:val="23"/>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12/31/19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12/13/19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Results</w:t>
            </w:r>
          </w:p>
        </w:tc>
        <w:tc>
          <w:tcPr>
            <w:tcW w:w="160" w:type="dxa"/>
            <w:vAlign w:val="bottom"/>
          </w:tcPr>
          <w:p>
            <w:pPr>
              <w:spacing w:after="0"/>
              <w:rPr>
                <w:sz w:val="23"/>
                <w:szCs w:val="23"/>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12/31/18</w:t>
            </w:r>
          </w:p>
        </w:tc>
        <w:tc>
          <w:tcPr>
            <w:tcW w:w="0" w:type="dxa"/>
            <w:vAlign w:val="bottom"/>
          </w:tcPr>
          <w:p>
            <w:pPr>
              <w:spacing w:after="0"/>
              <w:rPr>
                <w:sz w:val="1"/>
                <w:szCs w:val="1"/>
                <w:color w:val="auto"/>
              </w:rPr>
            </w:pPr>
          </w:p>
        </w:tc>
      </w:tr>
      <w:tr>
        <w:trPr>
          <w:trHeight w:val="27"/>
        </w:trPr>
        <w:tc>
          <w:tcPr>
            <w:tcW w:w="5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Western Hemisphere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2C2C2C"/>
              </w:rPr>
              <w:t>3,063</w:t>
            </w:r>
          </w:p>
        </w:tc>
        <w:tc>
          <w:tcPr>
            <w:tcW w:w="0" w:type="dxa"/>
            <w:vAlign w:val="bottom"/>
          </w:tcPr>
          <w:p>
            <w:pPr>
              <w:spacing w:after="0"/>
              <w:rPr>
                <w:sz w:val="1"/>
                <w:szCs w:val="1"/>
                <w:color w:val="auto"/>
              </w:rPr>
            </w:pP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Eastern Hemisphere</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2C2C2C"/>
              </w:rPr>
              <w:t>2,681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Western Hemisphere</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Eastern Hemisphere</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7"/>
        </w:trPr>
        <w:tc>
          <w:tcPr>
            <w:tcW w:w="534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Prepetition Charges</w:t>
            </w: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Sale of Operational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Other Charges, Net*</w:t>
            </w: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rPr>
              <w:t>(2,084)</w:t>
            </w: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0"/>
              <w:spacing w:after="0"/>
              <w:rPr>
                <w:sz w:val="20"/>
                <w:szCs w:val="20"/>
                <w:color w:val="auto"/>
              </w:rPr>
            </w:pPr>
            <w:r>
              <w:rPr>
                <w:rFonts w:ascii="Arial" w:cs="Arial" w:eastAsia="Arial" w:hAnsi="Arial"/>
                <w:sz w:val="18"/>
                <w:szCs w:val="18"/>
                <w:color w:val="auto"/>
              </w:rPr>
              <w:t>Reorganization Items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5,385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Other Non-operating Expenses, Net</w:t>
            </w: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(Loss) Attributable to Weatherford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 Attributable to Weatherford:</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n/a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5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72" w:right="3840" w:hanging="5572"/>
        <w:spacing w:after="0" w:line="527" w:lineRule="auto"/>
        <w:tabs>
          <w:tab w:leader="none" w:pos="13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gain on sale of businesses for land drilling rigs, reservoir solutions and surface logging. 9</w:t>
      </w:r>
    </w:p>
    <w:p>
      <w:pPr>
        <w:sectPr>
          <w:pgSz w:w="11900" w:h="16838" w:orient="portrait"/>
          <w:cols w:equalWidth="0" w:num="1">
            <w:col w:w="11192"/>
          </w:cols>
          <w:pgMar w:left="328" w:top="715" w:right="379" w:bottom="1440" w:gutter="0" w:footer="0" w:header="0"/>
        </w:sectPr>
      </w:pPr>
    </w:p>
    <w:bookmarkStart w:id="12" w:name="page13"/>
    <w:bookmarkEnd w:id="12"/>
    <w:p>
      <w:pPr>
        <w:jc w:val="center"/>
        <w:ind w:right="80"/>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Selected Balance Sheet Data (Unaudited)</w:t>
      </w:r>
    </w:p>
    <w:p>
      <w:pPr>
        <w:spacing w:after="0" w:line="67"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Successor</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80" w:type="dxa"/>
            <w:vAlign w:val="bottom"/>
            <w:gridSpan w:val="5"/>
          </w:tcPr>
          <w:p>
            <w:pPr>
              <w:ind w:left="600"/>
              <w:spacing w:after="0"/>
              <w:rPr>
                <w:sz w:val="20"/>
                <w:szCs w:val="20"/>
                <w:color w:val="auto"/>
              </w:rPr>
            </w:pPr>
            <w:r>
              <w:rPr>
                <w:rFonts w:ascii="Arial" w:cs="Arial" w:eastAsia="Arial" w:hAnsi="Arial"/>
                <w:sz w:val="18"/>
                <w:szCs w:val="18"/>
                <w:b w:val="1"/>
                <w:bCs w:val="1"/>
                <w:color w:val="auto"/>
              </w:rPr>
              <w:t>Predecessor</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46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12/31/19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09/30/19</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06/30/19</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03/31/19</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12/31/18</w:t>
            </w:r>
          </w:p>
        </w:tc>
      </w:tr>
      <w:tr>
        <w:trPr>
          <w:trHeight w:val="27"/>
        </w:trPr>
        <w:tc>
          <w:tcPr>
            <w:tcW w:w="4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676</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602</w:t>
            </w: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1,241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1,277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1,154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1,130</w:t>
            </w: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r>
      <w:tr>
        <w:trPr>
          <w:trHeight w:val="324"/>
        </w:trPr>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2,086</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713</w:t>
            </w: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Intangibles, Net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324"/>
        </w:trPr>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735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732</w:t>
            </w: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 and Current Portion of Long-term</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1,706</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2,151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7,366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7,606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7,605</w:t>
            </w: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Liabilities Subject to Compromise</w:t>
            </w:r>
          </w:p>
        </w:tc>
        <w:tc>
          <w:tcPr>
            <w:tcW w:w="140" w:type="dxa"/>
            <w:vAlign w:val="bottom"/>
          </w:tcPr>
          <w:p>
            <w:pPr>
              <w:spacing w:after="0"/>
              <w:rPr>
                <w:sz w:val="21"/>
                <w:szCs w:val="21"/>
                <w:color w:val="auto"/>
              </w:rPr>
            </w:pPr>
          </w:p>
        </w:tc>
        <w:tc>
          <w:tcPr>
            <w:tcW w:w="11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7,634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Shareholders’ Equity / (Deficiency):</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Shareholders’ Equity / (Deficiency)</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r>
      <w:tr>
        <w:trPr>
          <w:trHeight w:val="324"/>
        </w:trPr>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46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b w:val="1"/>
                <w:bCs w:val="1"/>
                <w:color w:val="auto"/>
              </w:rPr>
              <w:t>Components of Net Debt</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29"/>
        </w:trPr>
        <w:tc>
          <w:tcPr>
            <w:tcW w:w="4680" w:type="dxa"/>
            <w:vAlign w:val="bottom"/>
          </w:tcPr>
          <w:p>
            <w:pPr>
              <w:ind w:left="160"/>
              <w:spacing w:after="0"/>
              <w:rPr>
                <w:sz w:val="20"/>
                <w:szCs w:val="20"/>
                <w:color w:val="auto"/>
              </w:rPr>
            </w:pPr>
            <w:r>
              <w:rPr>
                <w:rFonts w:ascii="Arial" w:cs="Arial" w:eastAsia="Arial" w:hAnsi="Arial"/>
                <w:sz w:val="18"/>
                <w:szCs w:val="18"/>
                <w:color w:val="auto"/>
              </w:rPr>
              <w:t>Short-term Borrowings and Current Portion of Long-term</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680" w:type="dxa"/>
            <w:vAlign w:val="bottom"/>
          </w:tcPr>
          <w:p>
            <w:pPr>
              <w:ind w:left="160"/>
              <w:spacing w:after="0"/>
              <w:rPr>
                <w:sz w:val="20"/>
                <w:szCs w:val="20"/>
                <w:color w:val="auto"/>
              </w:rPr>
            </w:pPr>
            <w:r>
              <w:rPr>
                <w:rFonts w:ascii="Arial" w:cs="Arial" w:eastAsia="Arial" w:hAnsi="Arial"/>
                <w:sz w:val="18"/>
                <w:szCs w:val="18"/>
                <w:color w:val="auto"/>
              </w:rPr>
              <w:t>Debt</w:t>
            </w:r>
          </w:p>
        </w:tc>
        <w:tc>
          <w:tcPr>
            <w:tcW w:w="1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930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7,605</w:t>
            </w:r>
          </w:p>
        </w:tc>
      </w:tr>
      <w:tr>
        <w:trPr>
          <w:trHeight w:val="229"/>
        </w:trPr>
        <w:tc>
          <w:tcPr>
            <w:tcW w:w="4680" w:type="dxa"/>
            <w:vAlign w:val="bottom"/>
          </w:tcPr>
          <w:p>
            <w:pPr>
              <w:ind w:left="160"/>
              <w:spacing w:after="0"/>
              <w:rPr>
                <w:sz w:val="20"/>
                <w:szCs w:val="20"/>
                <w:color w:val="auto"/>
              </w:rPr>
            </w:pPr>
            <w:r>
              <w:rPr>
                <w:rFonts w:ascii="Arial" w:cs="Arial" w:eastAsia="Arial" w:hAnsi="Arial"/>
                <w:sz w:val="18"/>
                <w:szCs w:val="18"/>
                <w:color w:val="auto"/>
              </w:rPr>
              <w:t>Liabilities Subject to Compromise Excluding Accrued</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7"/>
        </w:trPr>
        <w:tc>
          <w:tcPr>
            <w:tcW w:w="4680" w:type="dxa"/>
            <w:vAlign w:val="bottom"/>
          </w:tcPr>
          <w:p>
            <w:pPr>
              <w:ind w:left="160"/>
              <w:spacing w:after="0" w:line="257" w:lineRule="exact"/>
              <w:rPr>
                <w:sz w:val="20"/>
                <w:szCs w:val="20"/>
                <w:color w:val="auto"/>
              </w:rPr>
            </w:pPr>
            <w:r>
              <w:rPr>
                <w:rFonts w:ascii="Arial" w:cs="Arial" w:eastAsia="Arial" w:hAnsi="Arial"/>
                <w:sz w:val="18"/>
                <w:szCs w:val="18"/>
                <w:color w:val="auto"/>
              </w:rPr>
              <w:t>Interest</w:t>
            </w:r>
            <w:r>
              <w:rPr>
                <w:rFonts w:ascii="Arial" w:cs="Arial" w:eastAsia="Arial" w:hAnsi="Arial"/>
                <w:sz w:val="25"/>
                <w:szCs w:val="25"/>
                <w:color w:val="auto"/>
                <w:vertAlign w:val="superscript"/>
              </w:rPr>
              <w:t>[2]</w:t>
            </w:r>
          </w:p>
        </w:tc>
        <w:tc>
          <w:tcPr>
            <w:tcW w:w="140" w:type="dxa"/>
            <w:vAlign w:val="bottom"/>
          </w:tcPr>
          <w:p>
            <w:pPr>
              <w:spacing w:after="0"/>
              <w:rPr>
                <w:sz w:val="22"/>
                <w:szCs w:val="22"/>
                <w:color w:val="auto"/>
              </w:rPr>
            </w:pPr>
          </w:p>
        </w:tc>
        <w:tc>
          <w:tcPr>
            <w:tcW w:w="11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7,427</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Less: Restricted Cash</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680" w:type="dxa"/>
            <w:vAlign w:val="bottom"/>
          </w:tcPr>
          <w:p>
            <w:pPr>
              <w:ind w:left="260"/>
              <w:spacing w:after="0" w:line="263" w:lineRule="exact"/>
              <w:rPr>
                <w:sz w:val="20"/>
                <w:szCs w:val="20"/>
                <w:color w:val="auto"/>
              </w:rPr>
            </w:pPr>
            <w:r>
              <w:rPr>
                <w:rFonts w:ascii="Arial" w:cs="Arial" w:eastAsia="Arial" w:hAnsi="Arial"/>
                <w:sz w:val="18"/>
                <w:szCs w:val="18"/>
                <w:color w:val="auto"/>
              </w:rPr>
              <w:t>Net Debt</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1,364</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8,142</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7,678</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7,620</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7,386</w:t>
            </w: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firstLine="9"/>
        <w:spacing w:after="0" w:line="250" w:lineRule="auto"/>
        <w:tabs>
          <w:tab w:leader="none" w:pos="127" w:val="left"/>
        </w:tabs>
        <w:numPr>
          <w:ilvl w:val="0"/>
          <w:numId w:val="9"/>
        </w:numPr>
        <w:rPr>
          <w:rFonts w:ascii="Arial" w:cs="Arial" w:eastAsia="Arial" w:hAnsi="Arial"/>
          <w:sz w:val="9"/>
          <w:szCs w:val="9"/>
          <w:color w:val="auto"/>
        </w:rPr>
      </w:pPr>
      <w:r>
        <w:rPr>
          <w:rFonts w:ascii="Arial" w:cs="Arial" w:eastAsia="Arial" w:hAnsi="Arial"/>
          <w:sz w:val="14"/>
          <w:szCs w:val="14"/>
          <w:color w:val="auto"/>
        </w:rPr>
        <w:t>Net debt is a non-GAAP measure calculated as total short- and long-term debt, plus liabilities subject to compromise excluding accrued interest, less cash and cash equivalents and restricted cash.</w:t>
      </w:r>
    </w:p>
    <w:p>
      <w:pPr>
        <w:ind w:firstLine="9"/>
        <w:spacing w:after="0" w:line="255" w:lineRule="auto"/>
        <w:tabs>
          <w:tab w:leader="none" w:pos="141" w:val="left"/>
        </w:tabs>
        <w:numPr>
          <w:ilvl w:val="0"/>
          <w:numId w:val="9"/>
        </w:numPr>
        <w:rPr>
          <w:rFonts w:ascii="Arial" w:cs="Arial" w:eastAsia="Arial" w:hAnsi="Arial"/>
          <w:sz w:val="9"/>
          <w:szCs w:val="9"/>
          <w:color w:val="auto"/>
        </w:rPr>
      </w:pPr>
      <w:r>
        <w:rPr>
          <w:rFonts w:ascii="Arial" w:cs="Arial" w:eastAsia="Arial" w:hAnsi="Arial"/>
          <w:sz w:val="14"/>
          <w:szCs w:val="14"/>
          <w:color w:val="auto"/>
        </w:rPr>
        <w:t>Liabilities subject to compromise excluding accrued interest represents the prepetition principal balance on the Predecessor’s unsecured Senior and Exchangeable Senior Notes minus the related unpaid accrued interest as of the Petition Date.</w:t>
      </w:r>
    </w:p>
    <w:p>
      <w:pPr>
        <w:spacing w:after="0" w:line="200" w:lineRule="exact"/>
        <w:rPr>
          <w:sz w:val="20"/>
          <w:szCs w:val="20"/>
          <w:color w:val="auto"/>
        </w:rPr>
      </w:pPr>
    </w:p>
    <w:p>
      <w:pPr>
        <w:spacing w:after="0" w:line="30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400" w:top="71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Cash Flows Information (Unaudited)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5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1"/>
              </w:rPr>
              <w:t>Successor</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 From</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Non-GAAP</w:t>
            </w:r>
          </w:p>
        </w:tc>
        <w:tc>
          <w:tcPr>
            <w:tcW w:w="140" w:type="dxa"/>
            <w:vAlign w:val="bottom"/>
          </w:tcPr>
          <w:p>
            <w:pPr>
              <w:spacing w:after="0"/>
              <w:rPr>
                <w:sz w:val="21"/>
                <w:szCs w:val="21"/>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9"/>
              </w:rPr>
              <w:t>12/14/19 to</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01/01/2019 to</w:t>
            </w:r>
          </w:p>
        </w:tc>
        <w:tc>
          <w:tcPr>
            <w:tcW w:w="180" w:type="dxa"/>
            <w:vAlign w:val="bottom"/>
          </w:tcPr>
          <w:p>
            <w:pPr>
              <w:spacing w:after="0"/>
              <w:rPr>
                <w:sz w:val="23"/>
                <w:szCs w:val="2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Combined</w:t>
            </w:r>
          </w:p>
        </w:tc>
        <w:tc>
          <w:tcPr>
            <w:tcW w:w="140" w:type="dxa"/>
            <w:vAlign w:val="bottom"/>
          </w:tcPr>
          <w:p>
            <w:pPr>
              <w:spacing w:after="0"/>
              <w:rPr>
                <w:sz w:val="23"/>
                <w:szCs w:val="23"/>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12/31/2019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12/13/2019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Results</w:t>
            </w:r>
          </w:p>
        </w:tc>
        <w:tc>
          <w:tcPr>
            <w:tcW w:w="140" w:type="dxa"/>
            <w:vAlign w:val="bottom"/>
          </w:tcPr>
          <w:p>
            <w:pPr>
              <w:spacing w:after="0"/>
              <w:rPr>
                <w:sz w:val="23"/>
                <w:szCs w:val="23"/>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2C2C2C"/>
                <w:w w:val="91"/>
              </w:rPr>
              <w:t>12/31/18</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Adjustments to Reconcile Net Income (Loss) to Net Cash Used in</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43"/>
        </w:trPr>
        <w:tc>
          <w:tcPr>
            <w:tcW w:w="550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120" w:type="dxa"/>
            <w:vAlign w:val="bottom"/>
          </w:tcPr>
          <w:p>
            <w:pPr>
              <w:spacing w:after="0"/>
              <w:rPr>
                <w:sz w:val="21"/>
                <w:szCs w:val="21"/>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Settlement of Liabilities Subject to Compromise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160"/>
              <w:spacing w:after="0"/>
              <w:rPr>
                <w:sz w:val="20"/>
                <w:szCs w:val="20"/>
                <w:color w:val="auto"/>
              </w:rPr>
            </w:pPr>
            <w:r>
              <w:rPr>
                <w:rFonts w:ascii="Arial" w:cs="Arial" w:eastAsia="Arial" w:hAnsi="Arial"/>
                <w:sz w:val="18"/>
                <w:szCs w:val="18"/>
                <w:color w:val="auto"/>
              </w:rPr>
              <w:t>Reorganization Items</w:t>
            </w:r>
          </w:p>
        </w:tc>
        <w:tc>
          <w:tcPr>
            <w:tcW w:w="120" w:type="dxa"/>
            <w:vAlign w:val="bottom"/>
          </w:tcPr>
          <w:p>
            <w:pPr>
              <w:spacing w:after="0"/>
              <w:rPr>
                <w:sz w:val="21"/>
                <w:szCs w:val="21"/>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Impairments, Write-Downs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0"/>
        </w:trPr>
        <w:tc>
          <w:tcPr>
            <w:tcW w:w="550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(a)</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Activities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color w:val="auto"/>
              </w:rPr>
              <w:t>Total Cash Flows Provided By (Used In) Operating Activities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 for Property, Plant and Equipment (including</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 of Assets Held for Sale)</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5500" w:type="dxa"/>
            <w:vAlign w:val="bottom"/>
          </w:tcPr>
          <w:p>
            <w:pPr>
              <w:ind w:left="160"/>
              <w:spacing w:after="0"/>
              <w:rPr>
                <w:sz w:val="20"/>
                <w:szCs w:val="20"/>
                <w:color w:val="auto"/>
              </w:rPr>
            </w:pPr>
            <w:r>
              <w:rPr>
                <w:rFonts w:ascii="Arial" w:cs="Arial" w:eastAsia="Arial" w:hAnsi="Arial"/>
                <w:sz w:val="18"/>
                <w:szCs w:val="18"/>
                <w:color w:val="auto"/>
              </w:rPr>
              <w:t>Proceeds from Disposition of Assets</w:t>
            </w:r>
          </w:p>
        </w:tc>
        <w:tc>
          <w:tcPr>
            <w:tcW w:w="120" w:type="dxa"/>
            <w:vAlign w:val="bottom"/>
          </w:tcPr>
          <w:p>
            <w:pPr>
              <w:spacing w:after="0"/>
              <w:rPr>
                <w:sz w:val="21"/>
                <w:szCs w:val="21"/>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6"/>
              </w:rPr>
              <w:t>Proceeds (Payment) from Disposition of Businesses and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5500" w:type="dxa"/>
            <w:vAlign w:val="bottom"/>
          </w:tcPr>
          <w:p>
            <w:pPr>
              <w:ind w:left="160"/>
              <w:spacing w:after="0"/>
              <w:rPr>
                <w:sz w:val="20"/>
                <w:szCs w:val="20"/>
                <w:color w:val="auto"/>
              </w:rPr>
            </w:pPr>
            <w:r>
              <w:rPr>
                <w:rFonts w:ascii="Arial" w:cs="Arial" w:eastAsia="Arial" w:hAnsi="Arial"/>
                <w:sz w:val="18"/>
                <w:szCs w:val="18"/>
                <w:color w:val="auto"/>
              </w:rPr>
              <w:t>Other Investing Activities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90"/>
        </w:trPr>
        <w:tc>
          <w:tcPr>
            <w:tcW w:w="5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60"/>
              <w:spacing w:after="0"/>
              <w:rPr>
                <w:sz w:val="20"/>
                <w:szCs w:val="20"/>
                <w:color w:val="auto"/>
              </w:rPr>
            </w:pPr>
            <w:r>
              <w:rPr>
                <w:rFonts w:ascii="Arial" w:cs="Arial" w:eastAsia="Arial" w:hAnsi="Arial"/>
                <w:sz w:val="18"/>
                <w:szCs w:val="18"/>
                <w:color w:val="auto"/>
              </w:rPr>
              <w:t>Borrowings of Long-term Debt</w:t>
            </w:r>
          </w:p>
        </w:tc>
        <w:tc>
          <w:tcPr>
            <w:tcW w:w="120" w:type="dxa"/>
            <w:vAlign w:val="bottom"/>
          </w:tcPr>
          <w:p>
            <w:pPr>
              <w:spacing w:after="0"/>
              <w:rPr>
                <w:sz w:val="21"/>
                <w:szCs w:val="21"/>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5500" w:type="dxa"/>
            <w:vAlign w:val="bottom"/>
          </w:tcPr>
          <w:p>
            <w:pPr>
              <w:ind w:left="160"/>
              <w:spacing w:after="0"/>
              <w:rPr>
                <w:sz w:val="20"/>
                <w:szCs w:val="20"/>
                <w:color w:val="auto"/>
              </w:rPr>
            </w:pPr>
            <w:r>
              <w:rPr>
                <w:rFonts w:ascii="Arial" w:cs="Arial" w:eastAsia="Arial" w:hAnsi="Arial"/>
                <w:sz w:val="18"/>
                <w:szCs w:val="18"/>
                <w:color w:val="auto"/>
              </w:rPr>
              <w:t>Borrowings (Repayments) of Short-term Debt, Net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330E74"/>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Debtor in Possession Financing Fees and Payments on Backstop</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Agreement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160"/>
              <w:spacing w:after="0"/>
              <w:rPr>
                <w:sz w:val="20"/>
                <w:szCs w:val="20"/>
                <w:color w:val="auto"/>
              </w:rPr>
            </w:pPr>
            <w:r>
              <w:rPr>
                <w:rFonts w:ascii="Arial" w:cs="Arial" w:eastAsia="Arial" w:hAnsi="Arial"/>
                <w:sz w:val="18"/>
                <w:szCs w:val="18"/>
                <w:color w:val="auto"/>
              </w:rPr>
              <w:t>Other Financing Activities, Net</w:t>
            </w:r>
          </w:p>
        </w:tc>
        <w:tc>
          <w:tcPr>
            <w:tcW w:w="120" w:type="dxa"/>
            <w:vAlign w:val="bottom"/>
          </w:tcPr>
          <w:p>
            <w:pPr>
              <w:spacing w:after="0"/>
              <w:rPr>
                <w:sz w:val="21"/>
                <w:szCs w:val="21"/>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330E74"/>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30E74"/>
              </w:rPr>
              <w:t>(2)</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0</wp:posOffset>
            </wp:positionV>
            <wp:extent cx="3625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ind w:left="640" w:hanging="32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Working capital is defined as the cash changes in accounts receivable plus inventory less accounts payable.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40" w:top="715"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Selected Statements of Operations Information (Unaudited)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i w:val="1"/>
                <w:iCs w:val="1"/>
                <w:color w:val="auto"/>
              </w:rPr>
              <w:t>($ in Millions)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6"/>
            <w:vMerge w:val="restart"/>
          </w:tcPr>
          <w:p>
            <w:pPr>
              <w:jc w:val="right"/>
              <w:spacing w:after="0"/>
              <w:rPr>
                <w:sz w:val="20"/>
                <w:szCs w:val="20"/>
                <w:color w:val="auto"/>
              </w:rPr>
            </w:pPr>
            <w:r>
              <w:rPr>
                <w:rFonts w:ascii="Arial" w:cs="Arial" w:eastAsia="Arial" w:hAnsi="Arial"/>
                <w:sz w:val="18"/>
                <w:szCs w:val="18"/>
                <w:b w:val="1"/>
                <w:bCs w:val="1"/>
                <w:color w:val="auto"/>
              </w:rPr>
              <w:t>Predecessor Quarters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40" w:type="dxa"/>
            <w:vAlign w:val="bottom"/>
            <w:gridSpan w:val="6"/>
            <w:vMerge w:val="continue"/>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Period From</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Period From</w:t>
            </w:r>
          </w:p>
        </w:tc>
        <w:tc>
          <w:tcPr>
            <w:tcW w:w="16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Non-GAAP</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12/14/19 to</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10/01/19 to</w:t>
            </w:r>
          </w:p>
        </w:tc>
        <w:tc>
          <w:tcPr>
            <w:tcW w:w="160" w:type="dxa"/>
            <w:vAlign w:val="bottom"/>
          </w:tcPr>
          <w:p>
            <w:pPr>
              <w:spacing w:after="0"/>
              <w:rPr>
                <w:sz w:val="23"/>
                <w:szCs w:val="23"/>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Combined</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12/31/19</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12/13/19</w:t>
            </w:r>
          </w:p>
        </w:tc>
        <w:tc>
          <w:tcPr>
            <w:tcW w:w="160" w:type="dxa"/>
            <w:vAlign w:val="bottom"/>
          </w:tcPr>
          <w:p>
            <w:pPr>
              <w:spacing w:after="0"/>
              <w:rPr>
                <w:sz w:val="23"/>
                <w:szCs w:val="23"/>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Results</w:t>
            </w:r>
          </w:p>
        </w:tc>
        <w:tc>
          <w:tcPr>
            <w:tcW w:w="160" w:type="dxa"/>
            <w:vAlign w:val="bottom"/>
          </w:tcPr>
          <w:p>
            <w:pPr>
              <w:spacing w:after="0"/>
              <w:rPr>
                <w:sz w:val="23"/>
                <w:szCs w:val="23"/>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09/30/19</w:t>
            </w:r>
          </w:p>
        </w:tc>
        <w:tc>
          <w:tcPr>
            <w:tcW w:w="160" w:type="dxa"/>
            <w:vAlign w:val="bottom"/>
          </w:tcPr>
          <w:p>
            <w:pPr>
              <w:spacing w:after="0"/>
              <w:rPr>
                <w:sz w:val="23"/>
                <w:szCs w:val="23"/>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06/30/19</w:t>
            </w:r>
          </w:p>
        </w:tc>
        <w:tc>
          <w:tcPr>
            <w:tcW w:w="160" w:type="dxa"/>
            <w:vAlign w:val="bottom"/>
          </w:tcPr>
          <w:p>
            <w:pPr>
              <w:spacing w:after="0"/>
              <w:rPr>
                <w:sz w:val="23"/>
                <w:szCs w:val="23"/>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03/31/19</w:t>
            </w:r>
          </w:p>
        </w:tc>
        <w:tc>
          <w:tcPr>
            <w:tcW w:w="160" w:type="dxa"/>
            <w:vAlign w:val="bottom"/>
          </w:tcPr>
          <w:p>
            <w:pPr>
              <w:spacing w:after="0"/>
              <w:rPr>
                <w:sz w:val="23"/>
                <w:szCs w:val="23"/>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12/31/18</w:t>
            </w:r>
          </w:p>
        </w:tc>
        <w:tc>
          <w:tcPr>
            <w:tcW w:w="0" w:type="dxa"/>
            <w:vAlign w:val="bottom"/>
          </w:tcPr>
          <w:p>
            <w:pPr>
              <w:spacing w:after="0"/>
              <w:rPr>
                <w:sz w:val="1"/>
                <w:szCs w:val="1"/>
                <w:color w:val="auto"/>
              </w:rPr>
            </w:pPr>
          </w:p>
        </w:tc>
      </w:tr>
      <w:tr>
        <w:trPr>
          <w:trHeight w:val="270"/>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621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675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2C2C2C"/>
              </w:rPr>
              <w:t>625</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2C2C2C"/>
              </w:rPr>
              <w:t>639</w:t>
            </w: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620</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Borders>
              <w:right w:val="single" w:sz="8" w:color="auto"/>
            </w:tcBorders>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2C2C2C"/>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2C2C2C"/>
              </w:rPr>
              <w:t>1,246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2C2C2C"/>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2C2C2C"/>
              </w:rPr>
              <w:t>1,314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260"/>
              <w:spacing w:after="0" w:line="263" w:lineRule="exact"/>
              <w:rPr>
                <w:sz w:val="20"/>
                <w:szCs w:val="20"/>
                <w:color w:val="auto"/>
              </w:rPr>
            </w:pPr>
            <w:r>
              <w:rPr>
                <w:rFonts w:ascii="Arial" w:cs="Arial" w:eastAsia="Arial" w:hAnsi="Arial"/>
                <w:sz w:val="18"/>
                <w:szCs w:val="18"/>
                <w:color w:val="auto"/>
              </w:rPr>
              <w:t>Adjusted Segment EBITDA</w:t>
            </w:r>
            <w:r>
              <w:rPr>
                <w:rFonts w:ascii="Arial" w:cs="Arial" w:eastAsia="Arial" w:hAnsi="Arial"/>
                <w:sz w:val="25"/>
                <w:szCs w:val="25"/>
                <w:color w:val="auto"/>
                <w:vertAlign w:val="superscript"/>
              </w:rPr>
              <w:t>(a)</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right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2C2C2C"/>
              </w:rPr>
              <w:t>40</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2C2C2C"/>
              </w:rPr>
              <w:t>56</w:t>
            </w: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55</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71</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C2C2C"/>
              </w:rPr>
              <w:t>(28)</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2C2C2C"/>
              </w:rPr>
              <w:t>(31)</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rPr>
              <w:t>(399)</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C2C2C"/>
              </w:rPr>
              <w:t>(96)</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2C2C2C"/>
              </w:rPr>
              <w:t>(53)</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Prepetition Charges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Gain on Sale of Operational Assets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2C2C2C"/>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2C2C2C"/>
              </w:rPr>
              <w:t>15</w:t>
            </w: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Charges</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rPr>
              <w:t>(246)</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rPr>
              <w:t>(50)</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57"/>
        </w:trPr>
        <w:tc>
          <w:tcPr>
            <w:tcW w:w="3040" w:type="dxa"/>
            <w:vAlign w:val="bottom"/>
          </w:tcPr>
          <w:p>
            <w:pPr>
              <w:ind w:left="280"/>
              <w:spacing w:after="0"/>
              <w:rPr>
                <w:sz w:val="20"/>
                <w:szCs w:val="20"/>
                <w:color w:val="auto"/>
              </w:rPr>
            </w:pPr>
            <w:r>
              <w:rPr>
                <w:rFonts w:ascii="Arial" w:cs="Arial" w:eastAsia="Arial" w:hAnsi="Arial"/>
                <w:sz w:val="18"/>
                <w:szCs w:val="18"/>
                <w:color w:val="auto"/>
              </w:rPr>
              <w:t>Total Operating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C2C2C"/>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C2C2C"/>
              </w:rPr>
              <w:t>(315)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C2C2C"/>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C2C2C"/>
              </w:rPr>
              <w:t>(447)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040" w:type="dxa"/>
            <w:vAlign w:val="bottom"/>
          </w:tcPr>
          <w:p>
            <w:pPr>
              <w:ind w:left="280"/>
              <w:spacing w:after="0"/>
              <w:rPr>
                <w:sz w:val="20"/>
                <w:szCs w:val="20"/>
                <w:color w:val="auto"/>
              </w:rPr>
            </w:pPr>
            <w:r>
              <w:rPr>
                <w:rFonts w:ascii="Arial" w:cs="Arial" w:eastAsia="Arial" w:hAnsi="Arial"/>
                <w:sz w:val="18"/>
                <w:szCs w:val="18"/>
                <w:color w:val="auto"/>
                <w:w w:val="95"/>
              </w:rPr>
              <w:t>Total Depreciation and Amortization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Product Line </w:t>
            </w:r>
            <w:r>
              <w:rPr>
                <w:rFonts w:ascii="Arial" w:cs="Arial" w:eastAsia="Arial" w:hAnsi="Arial"/>
                <w:sz w:val="25"/>
                <w:szCs w:val="25"/>
                <w:b w:val="1"/>
                <w:bCs w:val="1"/>
                <w:color w:val="auto"/>
                <w:vertAlign w:val="superscript"/>
              </w:rPr>
              <w:t>(b</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Revenues</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Completion</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Drilling and Evaluation</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Well Construction</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Product Line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Borders>
              <w:right w:val="single" w:sz="8" w:color="auto"/>
            </w:tcBorders>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the $15 million gain on sale operational asset in the third quarter of 2019.</w:t>
      </w:r>
    </w:p>
    <w:p>
      <w:pPr>
        <w:spacing w:after="0" w:line="55"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Production includes Artificial Lift Systems, Stimulation and Testing and Production Services. Completions includes Completion Systems, Liner Systems and Cementing Products. Drilling and Evaluation includes Drilling Services, Managed Pressure Drilling, Surface Logging Systems, Wireline Services and Reservoir Solutions. Well Construction includes Tubular Running Services, Intervention Services, Drilling Tools and Rental Equipment and Land Drilling Rigs.</w:t>
      </w:r>
    </w:p>
    <w:p>
      <w:pPr>
        <w:sectPr>
          <w:pgSz w:w="11900" w:h="16838" w:orient="portrait"/>
          <w:cols w:equalWidth="0" w:num="1">
            <w:col w:w="11240"/>
          </w:cols>
          <w:pgMar w:left="320" w:top="715"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715"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 Year Selected Statements of Operations Information (Unaudited)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6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Period From</w:t>
            </w:r>
          </w:p>
        </w:tc>
        <w:tc>
          <w:tcPr>
            <w:tcW w:w="180" w:type="dxa"/>
            <w:vAlign w:val="bottom"/>
          </w:tcPr>
          <w:p>
            <w:pPr>
              <w:spacing w:after="0"/>
              <w:rPr>
                <w:sz w:val="21"/>
                <w:szCs w:val="21"/>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Non-GAAP</w:t>
            </w:r>
          </w:p>
        </w:tc>
        <w:tc>
          <w:tcPr>
            <w:tcW w:w="180" w:type="dxa"/>
            <w:vAlign w:val="bottom"/>
          </w:tcPr>
          <w:p>
            <w:pPr>
              <w:spacing w:after="0"/>
              <w:rPr>
                <w:sz w:val="21"/>
                <w:szCs w:val="21"/>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12/14/19 to</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01/01/19 to</w:t>
            </w:r>
          </w:p>
        </w:tc>
        <w:tc>
          <w:tcPr>
            <w:tcW w:w="180" w:type="dxa"/>
            <w:vAlign w:val="bottom"/>
          </w:tcPr>
          <w:p>
            <w:pPr>
              <w:spacing w:after="0"/>
              <w:rPr>
                <w:sz w:val="23"/>
                <w:szCs w:val="23"/>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Combined</w:t>
            </w:r>
          </w:p>
        </w:tc>
        <w:tc>
          <w:tcPr>
            <w:tcW w:w="180" w:type="dxa"/>
            <w:vAlign w:val="bottom"/>
          </w:tcPr>
          <w:p>
            <w:pPr>
              <w:spacing w:after="0"/>
              <w:rPr>
                <w:sz w:val="23"/>
                <w:szCs w:val="23"/>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12/31/19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12/13/19</w:t>
            </w:r>
          </w:p>
        </w:tc>
        <w:tc>
          <w:tcPr>
            <w:tcW w:w="180" w:type="dxa"/>
            <w:vAlign w:val="bottom"/>
          </w:tcPr>
          <w:p>
            <w:pPr>
              <w:spacing w:after="0"/>
              <w:rPr>
                <w:sz w:val="23"/>
                <w:szCs w:val="23"/>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Results</w:t>
            </w:r>
          </w:p>
        </w:tc>
        <w:tc>
          <w:tcPr>
            <w:tcW w:w="180" w:type="dxa"/>
            <w:vAlign w:val="bottom"/>
          </w:tcPr>
          <w:p>
            <w:pPr>
              <w:spacing w:after="0"/>
              <w:rPr>
                <w:sz w:val="23"/>
                <w:szCs w:val="23"/>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12/31/18</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2,741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2,334</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2C2C2C"/>
              </w:rPr>
              <w:t>2,474</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C2C2C"/>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2C2C2C"/>
              </w:rPr>
              <w:t>5,215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CEEFF"/>
          </w:tcPr>
          <w:p>
            <w:pPr>
              <w:ind w:left="280"/>
              <w:spacing w:after="0" w:line="263" w:lineRule="exact"/>
              <w:rPr>
                <w:sz w:val="20"/>
                <w:szCs w:val="20"/>
                <w:color w:val="auto"/>
              </w:rPr>
            </w:pPr>
            <w:r>
              <w:rPr>
                <w:rFonts w:ascii="Arial" w:cs="Arial" w:eastAsia="Arial" w:hAnsi="Arial"/>
                <w:sz w:val="18"/>
                <w:szCs w:val="18"/>
                <w:color w:val="auto"/>
              </w:rPr>
              <w:t xml:space="preserve">Adjusted Segment EBITDA </w:t>
            </w:r>
            <w:r>
              <w:rPr>
                <w:rFonts w:ascii="Arial" w:cs="Arial" w:eastAsia="Arial" w:hAnsi="Arial"/>
                <w:sz w:val="25"/>
                <w:szCs w:val="25"/>
                <w:color w:val="auto"/>
                <w:vertAlign w:val="superscript"/>
              </w:rPr>
              <w:t>(a)</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21"/>
                <w:szCs w:val="21"/>
                <w:color w:val="auto"/>
              </w:rPr>
            </w:pPr>
          </w:p>
        </w:tc>
        <w:tc>
          <w:tcPr>
            <w:tcW w:w="13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Prepetition Charges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Gain on Sale of Operational Assets</w:t>
            </w:r>
          </w:p>
        </w:tc>
        <w:tc>
          <w:tcPr>
            <w:tcW w:w="140" w:type="dxa"/>
            <w:vAlign w:val="bottom"/>
          </w:tcPr>
          <w:p>
            <w:pPr>
              <w:spacing w:after="0"/>
              <w:rPr>
                <w:sz w:val="21"/>
                <w:szCs w:val="21"/>
                <w:color w:val="auto"/>
              </w:rPr>
            </w:pPr>
          </w:p>
        </w:tc>
        <w:tc>
          <w:tcPr>
            <w:tcW w:w="13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Charges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57"/>
        </w:trPr>
        <w:tc>
          <w:tcPr>
            <w:tcW w:w="5620" w:type="dxa"/>
            <w:vAlign w:val="bottom"/>
          </w:tcPr>
          <w:p>
            <w:pPr>
              <w:ind w:left="280"/>
              <w:spacing w:after="0"/>
              <w:rPr>
                <w:sz w:val="20"/>
                <w:szCs w:val="20"/>
                <w:color w:val="auto"/>
              </w:rPr>
            </w:pPr>
            <w:r>
              <w:rPr>
                <w:rFonts w:ascii="Arial" w:cs="Arial" w:eastAsia="Arial" w:hAnsi="Arial"/>
                <w:sz w:val="18"/>
                <w:szCs w:val="18"/>
                <w:color w:val="auto"/>
              </w:rPr>
              <w:t>Total Operating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5620" w:type="dxa"/>
            <w:vAlign w:val="bottom"/>
          </w:tcPr>
          <w:p>
            <w:pPr>
              <w:ind w:left="280"/>
              <w:spacing w:after="0"/>
              <w:rPr>
                <w:sz w:val="20"/>
                <w:szCs w:val="20"/>
                <w:color w:val="auto"/>
              </w:rPr>
            </w:pPr>
            <w:r>
              <w:rPr>
                <w:rFonts w:ascii="Arial" w:cs="Arial" w:eastAsia="Arial" w:hAnsi="Arial"/>
                <w:sz w:val="18"/>
                <w:szCs w:val="18"/>
                <w:color w:val="auto"/>
              </w:rPr>
              <w:t>Total Depreciation and Amortization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Product Line </w:t>
            </w:r>
            <w:r>
              <w:rPr>
                <w:rFonts w:ascii="Arial" w:cs="Arial" w:eastAsia="Arial" w:hAnsi="Arial"/>
                <w:sz w:val="25"/>
                <w:szCs w:val="25"/>
                <w:b w:val="1"/>
                <w:bCs w:val="1"/>
                <w:color w:val="auto"/>
                <w:vertAlign w:val="superscript"/>
              </w:rPr>
              <w:t>(b</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Revenues</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Completion</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1,186</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Drilling and Evaluation</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Well Construction</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1,170</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1,226</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Product Line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the $15 million gain on sale operational asset in the third quarter of 2019.</w:t>
      </w:r>
    </w:p>
    <w:p>
      <w:pPr>
        <w:spacing w:after="0" w:line="55"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Production includes Artificial Lift Systems, Stimulation and Testing and Production Services. Completions includes Completion Systems, Liner Systems and Cementing Products. Drilling and Evaluation includes Drilling Services, Managed Pressure Drilling, Surface Logging Systems, Wireline Services and Reservoir Solutions. Well Construction includes Tubular Running Services, Intervention Services, Drilling Tools and Rental Equipment and Land Drilling Rigs.</w:t>
      </w:r>
    </w:p>
    <w:p>
      <w:pPr>
        <w:sectPr>
          <w:pgSz w:w="11900" w:h="16838" w:orient="portrait"/>
          <w:cols w:equalWidth="0" w:num="1">
            <w:col w:w="11240"/>
          </w:cols>
          <w:pgMar w:left="320" w:top="715"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715" w:right="339" w:bottom="1440" w:gutter="0" w:footer="0" w:header="0"/>
          <w:type w:val="continuous"/>
        </w:sectPr>
      </w:pPr>
    </w:p>
    <w:bookmarkStart w:id="16" w:name="page17"/>
    <w:bookmarkEnd w:id="16"/>
    <w:p>
      <w:pPr>
        <w:jc w:val="both"/>
        <w:spacing w:after="0" w:line="274" w:lineRule="auto"/>
        <w:rPr>
          <w:sz w:val="20"/>
          <w:szCs w:val="20"/>
          <w:color w:val="auto"/>
        </w:rPr>
      </w:pPr>
      <w:r>
        <w:rPr>
          <w:rFonts w:ascii="Arial" w:cs="Arial" w:eastAsia="Arial" w:hAnsi="Arial"/>
          <w:sz w:val="16"/>
          <w:szCs w:val="16"/>
          <w:color w:val="auto"/>
        </w:rPr>
        <w:t>We report our financial results in accordance with U.S. generally accepted accounting principles (GAAP). However, Weatherford’s management believes that certain non-GAAP financial measures and ratios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Weatherford International plc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Reconciliation of GAAP to Non-GAAP Financial Measures (Unaudited)</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109855</wp:posOffset>
            </wp:positionV>
            <wp:extent cx="6951980" cy="6909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1980" cy="6909435"/>
                    </a:xfrm>
                    <a:prstGeom prst="rect">
                      <a:avLst/>
                    </a:prstGeom>
                    <a:noFill/>
                  </pic:spPr>
                </pic:pic>
              </a:graphicData>
            </a:graphic>
          </wp:anchor>
        </w:drawing>
      </w:r>
    </w:p>
    <w:p>
      <w:pPr>
        <w:spacing w:after="0" w:line="172" w:lineRule="exact"/>
        <w:rPr>
          <w:sz w:val="20"/>
          <w:szCs w:val="20"/>
          <w:color w:val="auto"/>
        </w:rPr>
      </w:pPr>
    </w:p>
    <w:tbl>
      <w:tblPr>
        <w:tblLayout w:type="fixed"/>
        <w:tblInd w:w="160" w:type="dxa"/>
        <w:tblCellMar>
          <w:top w:w="0" w:type="dxa"/>
          <w:left w:w="0" w:type="dxa"/>
          <w:bottom w:w="0" w:type="dxa"/>
          <w:right w:w="0" w:type="dxa"/>
        </w:tblCellMar>
      </w:tblPr>
      <w:tr>
        <w:trPr>
          <w:trHeight w:val="220"/>
        </w:trPr>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3"/>
              </w:rPr>
              <w:t>Successor</w:t>
            </w:r>
          </w:p>
        </w:tc>
        <w:tc>
          <w:tcPr>
            <w:tcW w:w="140" w:type="dxa"/>
            <w:vAlign w:val="bottom"/>
          </w:tcPr>
          <w:p>
            <w:pPr>
              <w:spacing w:after="0"/>
              <w:rPr>
                <w:sz w:val="19"/>
                <w:szCs w:val="19"/>
                <w:color w:val="auto"/>
              </w:rPr>
            </w:pPr>
          </w:p>
        </w:tc>
        <w:tc>
          <w:tcPr>
            <w:tcW w:w="1140" w:type="dxa"/>
            <w:vAlign w:val="bottom"/>
          </w:tcPr>
          <w:p>
            <w:pPr>
              <w:jc w:val="center"/>
              <w:ind w:right="94"/>
              <w:spacing w:after="0"/>
              <w:rPr>
                <w:sz w:val="20"/>
                <w:szCs w:val="20"/>
                <w:color w:val="auto"/>
              </w:rPr>
            </w:pPr>
            <w:r>
              <w:rPr>
                <w:rFonts w:ascii="Arial" w:cs="Arial" w:eastAsia="Arial" w:hAnsi="Arial"/>
                <w:sz w:val="17"/>
                <w:szCs w:val="17"/>
                <w:b w:val="1"/>
                <w:bCs w:val="1"/>
                <w:color w:val="auto"/>
                <w:w w:val="86"/>
              </w:rPr>
              <w:t>Predecessor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6"/>
          </w:tcPr>
          <w:p>
            <w:pPr>
              <w:jc w:val="right"/>
              <w:spacing w:after="0"/>
              <w:rPr>
                <w:sz w:val="20"/>
                <w:szCs w:val="20"/>
                <w:color w:val="auto"/>
              </w:rPr>
            </w:pPr>
            <w:r>
              <w:rPr>
                <w:rFonts w:ascii="Arial" w:cs="Arial" w:eastAsia="Arial" w:hAnsi="Arial"/>
                <w:sz w:val="17"/>
                <w:szCs w:val="17"/>
                <w:b w:val="1"/>
                <w:bCs w:val="1"/>
                <w:color w:val="auto"/>
              </w:rPr>
              <w:t>Predecessor Quarters Ended</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1"/>
              </w:rPr>
              <w:t>Period From</w:t>
            </w:r>
          </w:p>
        </w:tc>
        <w:tc>
          <w:tcPr>
            <w:tcW w:w="140" w:type="dxa"/>
            <w:vAlign w:val="bottom"/>
          </w:tcPr>
          <w:p>
            <w:pPr>
              <w:spacing w:after="0"/>
              <w:rPr>
                <w:sz w:val="20"/>
                <w:szCs w:val="20"/>
                <w:color w:val="auto"/>
              </w:rPr>
            </w:pPr>
          </w:p>
        </w:tc>
        <w:tc>
          <w:tcPr>
            <w:tcW w:w="1140" w:type="dxa"/>
            <w:vAlign w:val="bottom"/>
          </w:tcPr>
          <w:p>
            <w:pPr>
              <w:jc w:val="center"/>
              <w:ind w:right="94"/>
              <w:spacing w:after="0"/>
              <w:rPr>
                <w:sz w:val="20"/>
                <w:szCs w:val="20"/>
                <w:color w:val="auto"/>
              </w:rPr>
            </w:pPr>
            <w:r>
              <w:rPr>
                <w:rFonts w:ascii="Arial" w:cs="Arial" w:eastAsia="Arial" w:hAnsi="Arial"/>
                <w:sz w:val="17"/>
                <w:szCs w:val="17"/>
                <w:b w:val="1"/>
                <w:bCs w:val="1"/>
                <w:color w:val="auto"/>
                <w:w w:val="91"/>
              </w:rPr>
              <w:t>Period From</w:t>
            </w:r>
          </w:p>
        </w:tc>
        <w:tc>
          <w:tcPr>
            <w:tcW w:w="120" w:type="dxa"/>
            <w:vAlign w:val="bottom"/>
          </w:tcPr>
          <w:p>
            <w:pPr>
              <w:spacing w:after="0"/>
              <w:rPr>
                <w:sz w:val="20"/>
                <w:szCs w:val="20"/>
                <w:color w:val="auto"/>
              </w:rPr>
            </w:pPr>
          </w:p>
        </w:tc>
        <w:tc>
          <w:tcPr>
            <w:tcW w:w="1060" w:type="dxa"/>
            <w:vAlign w:val="bottom"/>
          </w:tcPr>
          <w:p>
            <w:pPr>
              <w:jc w:val="center"/>
              <w:ind w:right="55"/>
              <w:spacing w:after="0"/>
              <w:rPr>
                <w:sz w:val="20"/>
                <w:szCs w:val="20"/>
                <w:color w:val="auto"/>
              </w:rPr>
            </w:pPr>
            <w:r>
              <w:rPr>
                <w:rFonts w:ascii="Arial" w:cs="Arial" w:eastAsia="Arial" w:hAnsi="Arial"/>
                <w:sz w:val="17"/>
                <w:szCs w:val="17"/>
                <w:b w:val="1"/>
                <w:bCs w:val="1"/>
                <w:color w:val="auto"/>
                <w:w w:val="95"/>
              </w:rPr>
              <w:t>Non-GAAP</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1"/>
              </w:rPr>
              <w:t>12/14/19 to</w:t>
            </w:r>
          </w:p>
        </w:tc>
        <w:tc>
          <w:tcPr>
            <w:tcW w:w="140" w:type="dxa"/>
            <w:vAlign w:val="bottom"/>
          </w:tcPr>
          <w:p>
            <w:pPr>
              <w:spacing w:after="0"/>
              <w:rPr>
                <w:sz w:val="23"/>
                <w:szCs w:val="23"/>
                <w:color w:val="auto"/>
              </w:rPr>
            </w:pPr>
          </w:p>
        </w:tc>
        <w:tc>
          <w:tcPr>
            <w:tcW w:w="1140" w:type="dxa"/>
            <w:vAlign w:val="bottom"/>
          </w:tcPr>
          <w:p>
            <w:pPr>
              <w:jc w:val="center"/>
              <w:ind w:right="94"/>
              <w:spacing w:after="0"/>
              <w:rPr>
                <w:sz w:val="20"/>
                <w:szCs w:val="20"/>
                <w:color w:val="auto"/>
              </w:rPr>
            </w:pPr>
            <w:r>
              <w:rPr>
                <w:rFonts w:ascii="Arial" w:cs="Arial" w:eastAsia="Arial" w:hAnsi="Arial"/>
                <w:sz w:val="17"/>
                <w:szCs w:val="17"/>
                <w:b w:val="1"/>
                <w:bCs w:val="1"/>
                <w:color w:val="auto"/>
                <w:w w:val="92"/>
              </w:rPr>
              <w:t>10/1/19 to</w:t>
            </w:r>
          </w:p>
        </w:tc>
        <w:tc>
          <w:tcPr>
            <w:tcW w:w="120" w:type="dxa"/>
            <w:vAlign w:val="bottom"/>
          </w:tcPr>
          <w:p>
            <w:pPr>
              <w:spacing w:after="0"/>
              <w:rPr>
                <w:sz w:val="23"/>
                <w:szCs w:val="23"/>
                <w:color w:val="auto"/>
              </w:rPr>
            </w:pPr>
          </w:p>
        </w:tc>
        <w:tc>
          <w:tcPr>
            <w:tcW w:w="1060" w:type="dxa"/>
            <w:vAlign w:val="bottom"/>
          </w:tcPr>
          <w:p>
            <w:pPr>
              <w:jc w:val="center"/>
              <w:ind w:right="55"/>
              <w:spacing w:after="0"/>
              <w:rPr>
                <w:sz w:val="20"/>
                <w:szCs w:val="20"/>
                <w:color w:val="auto"/>
              </w:rPr>
            </w:pPr>
            <w:r>
              <w:rPr>
                <w:rFonts w:ascii="Arial" w:cs="Arial" w:eastAsia="Arial" w:hAnsi="Arial"/>
                <w:sz w:val="17"/>
                <w:szCs w:val="17"/>
                <w:b w:val="1"/>
                <w:bCs w:val="1"/>
                <w:color w:val="auto"/>
                <w:w w:val="91"/>
              </w:rPr>
              <w:t>Combined</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center"/>
              <w:ind w:right="75"/>
              <w:spacing w:after="0"/>
              <w:rPr>
                <w:sz w:val="20"/>
                <w:szCs w:val="20"/>
                <w:color w:val="auto"/>
              </w:rPr>
            </w:pPr>
            <w:r>
              <w:rPr>
                <w:rFonts w:ascii="Arial" w:cs="Arial" w:eastAsia="Arial" w:hAnsi="Arial"/>
                <w:sz w:val="17"/>
                <w:szCs w:val="17"/>
                <w:b w:val="1"/>
                <w:bCs w:val="1"/>
                <w:color w:val="auto"/>
                <w:w w:val="90"/>
              </w:rPr>
              <w:t>12/31/19</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center"/>
              <w:ind w:right="94"/>
              <w:spacing w:after="0"/>
              <w:rPr>
                <w:sz w:val="20"/>
                <w:szCs w:val="20"/>
                <w:color w:val="auto"/>
              </w:rPr>
            </w:pPr>
            <w:r>
              <w:rPr>
                <w:rFonts w:ascii="Arial" w:cs="Arial" w:eastAsia="Arial" w:hAnsi="Arial"/>
                <w:sz w:val="17"/>
                <w:szCs w:val="17"/>
                <w:b w:val="1"/>
                <w:bCs w:val="1"/>
                <w:color w:val="auto"/>
                <w:w w:val="90"/>
              </w:rPr>
              <w:t>12/13/19</w:t>
            </w:r>
          </w:p>
        </w:tc>
        <w:tc>
          <w:tcPr>
            <w:tcW w:w="120" w:type="dxa"/>
            <w:vAlign w:val="bottom"/>
          </w:tcPr>
          <w:p>
            <w:pPr>
              <w:spacing w:after="0"/>
              <w:rPr>
                <w:sz w:val="23"/>
                <w:szCs w:val="23"/>
                <w:color w:val="auto"/>
              </w:rPr>
            </w:pPr>
          </w:p>
        </w:tc>
        <w:tc>
          <w:tcPr>
            <w:tcW w:w="1060" w:type="dxa"/>
            <w:vAlign w:val="bottom"/>
          </w:tcPr>
          <w:p>
            <w:pPr>
              <w:jc w:val="center"/>
              <w:ind w:right="55"/>
              <w:spacing w:after="0"/>
              <w:rPr>
                <w:sz w:val="20"/>
                <w:szCs w:val="20"/>
                <w:color w:val="auto"/>
              </w:rPr>
            </w:pPr>
            <w:r>
              <w:rPr>
                <w:rFonts w:ascii="Arial" w:cs="Arial" w:eastAsia="Arial" w:hAnsi="Arial"/>
                <w:sz w:val="17"/>
                <w:szCs w:val="17"/>
                <w:b w:val="1"/>
                <w:bCs w:val="1"/>
                <w:color w:val="auto"/>
                <w:w w:val="84"/>
              </w:rPr>
              <w:t>Results</w:t>
            </w:r>
          </w:p>
        </w:tc>
        <w:tc>
          <w:tcPr>
            <w:tcW w:w="120" w:type="dxa"/>
            <w:vAlign w:val="bottom"/>
          </w:tcPr>
          <w:p>
            <w:pPr>
              <w:spacing w:after="0"/>
              <w:rPr>
                <w:sz w:val="23"/>
                <w:szCs w:val="23"/>
                <w:color w:val="auto"/>
              </w:rPr>
            </w:pPr>
          </w:p>
        </w:tc>
        <w:tc>
          <w:tcPr>
            <w:tcW w:w="800" w:type="dxa"/>
            <w:vAlign w:val="bottom"/>
          </w:tcPr>
          <w:p>
            <w:pPr>
              <w:jc w:val="right"/>
              <w:ind w:right="75"/>
              <w:spacing w:after="0"/>
              <w:rPr>
                <w:sz w:val="20"/>
                <w:szCs w:val="20"/>
                <w:color w:val="auto"/>
              </w:rPr>
            </w:pPr>
            <w:r>
              <w:rPr>
                <w:rFonts w:ascii="Arial" w:cs="Arial" w:eastAsia="Arial" w:hAnsi="Arial"/>
                <w:sz w:val="17"/>
                <w:szCs w:val="17"/>
                <w:b w:val="1"/>
                <w:bCs w:val="1"/>
                <w:color w:val="auto"/>
                <w:w w:val="93"/>
              </w:rPr>
              <w:t>09/30/19</w:t>
            </w:r>
          </w:p>
        </w:tc>
        <w:tc>
          <w:tcPr>
            <w:tcW w:w="160" w:type="dxa"/>
            <w:vAlign w:val="bottom"/>
          </w:tcPr>
          <w:p>
            <w:pPr>
              <w:spacing w:after="0"/>
              <w:rPr>
                <w:sz w:val="23"/>
                <w:szCs w:val="23"/>
                <w:color w:val="auto"/>
              </w:rPr>
            </w:pPr>
          </w:p>
        </w:tc>
        <w:tc>
          <w:tcPr>
            <w:tcW w:w="800" w:type="dxa"/>
            <w:vAlign w:val="bottom"/>
          </w:tcPr>
          <w:p>
            <w:pPr>
              <w:jc w:val="right"/>
              <w:ind w:right="95"/>
              <w:spacing w:after="0"/>
              <w:rPr>
                <w:sz w:val="20"/>
                <w:szCs w:val="20"/>
                <w:color w:val="auto"/>
              </w:rPr>
            </w:pPr>
            <w:r>
              <w:rPr>
                <w:rFonts w:ascii="Arial" w:cs="Arial" w:eastAsia="Arial" w:hAnsi="Arial"/>
                <w:sz w:val="17"/>
                <w:szCs w:val="17"/>
                <w:b w:val="1"/>
                <w:bCs w:val="1"/>
                <w:color w:val="auto"/>
                <w:w w:val="90"/>
              </w:rPr>
              <w:t>06/30/19</w:t>
            </w:r>
          </w:p>
        </w:tc>
        <w:tc>
          <w:tcPr>
            <w:tcW w:w="140" w:type="dxa"/>
            <w:vAlign w:val="bottom"/>
          </w:tcPr>
          <w:p>
            <w:pPr>
              <w:spacing w:after="0"/>
              <w:rPr>
                <w:sz w:val="23"/>
                <w:szCs w:val="23"/>
                <w:color w:val="auto"/>
              </w:rPr>
            </w:pPr>
          </w:p>
        </w:tc>
        <w:tc>
          <w:tcPr>
            <w:tcW w:w="800" w:type="dxa"/>
            <w:vAlign w:val="bottom"/>
          </w:tcPr>
          <w:p>
            <w:pPr>
              <w:jc w:val="right"/>
              <w:ind w:right="75"/>
              <w:spacing w:after="0"/>
              <w:rPr>
                <w:sz w:val="20"/>
                <w:szCs w:val="20"/>
                <w:color w:val="auto"/>
              </w:rPr>
            </w:pPr>
            <w:r>
              <w:rPr>
                <w:rFonts w:ascii="Arial" w:cs="Arial" w:eastAsia="Arial" w:hAnsi="Arial"/>
                <w:sz w:val="17"/>
                <w:szCs w:val="17"/>
                <w:b w:val="1"/>
                <w:bCs w:val="1"/>
                <w:color w:val="auto"/>
                <w:w w:val="93"/>
              </w:rPr>
              <w:t>03/31/19</w:t>
            </w:r>
          </w:p>
        </w:tc>
        <w:tc>
          <w:tcPr>
            <w:tcW w:w="140" w:type="dxa"/>
            <w:vAlign w:val="bottom"/>
          </w:tcPr>
          <w:p>
            <w:pPr>
              <w:spacing w:after="0"/>
              <w:rPr>
                <w:sz w:val="23"/>
                <w:szCs w:val="23"/>
                <w:color w:val="auto"/>
              </w:rPr>
            </w:pPr>
          </w:p>
        </w:tc>
        <w:tc>
          <w:tcPr>
            <w:tcW w:w="820" w:type="dxa"/>
            <w:vAlign w:val="bottom"/>
          </w:tcPr>
          <w:p>
            <w:pPr>
              <w:jc w:val="right"/>
              <w:ind w:right="95"/>
              <w:spacing w:after="0"/>
              <w:rPr>
                <w:sz w:val="20"/>
                <w:szCs w:val="20"/>
                <w:color w:val="auto"/>
              </w:rPr>
            </w:pPr>
            <w:r>
              <w:rPr>
                <w:rFonts w:ascii="Arial" w:cs="Arial" w:eastAsia="Arial" w:hAnsi="Arial"/>
                <w:sz w:val="17"/>
                <w:szCs w:val="17"/>
                <w:b w:val="1"/>
                <w:bCs w:val="1"/>
                <w:color w:val="auto"/>
                <w:w w:val="93"/>
              </w:rPr>
              <w:t>12/31/18</w:t>
            </w:r>
          </w:p>
        </w:tc>
        <w:tc>
          <w:tcPr>
            <w:tcW w:w="0" w:type="dxa"/>
            <w:vAlign w:val="bottom"/>
          </w:tcPr>
          <w:p>
            <w:pPr>
              <w:spacing w:after="0"/>
              <w:rPr>
                <w:sz w:val="1"/>
                <w:szCs w:val="1"/>
                <w:color w:val="auto"/>
              </w:rPr>
            </w:pPr>
          </w:p>
        </w:tc>
      </w:tr>
      <w:tr>
        <w:trPr>
          <w:trHeight w:val="31"/>
        </w:trPr>
        <w:tc>
          <w:tcPr>
            <w:tcW w:w="31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Operating Income (Loss):</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GAAP Operating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(316)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(315)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(447)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C2C2C"/>
              </w:rPr>
              <w:t>$</w:t>
            </w:r>
          </w:p>
        </w:tc>
        <w:tc>
          <w:tcPr>
            <w:tcW w:w="8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2C2C2C"/>
              </w:rPr>
              <w:t>(118)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(301)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C2C2C"/>
              </w:rPr>
              <w:t>$</w:t>
            </w:r>
          </w:p>
        </w:tc>
        <w:tc>
          <w:tcPr>
            <w:tcW w:w="8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2C2C2C"/>
              </w:rPr>
              <w:t>(1,959)</w:t>
            </w:r>
          </w:p>
        </w:tc>
        <w:tc>
          <w:tcPr>
            <w:tcW w:w="0" w:type="dxa"/>
            <w:vAlign w:val="bottom"/>
          </w:tcPr>
          <w:p>
            <w:pPr>
              <w:spacing w:after="0"/>
              <w:rPr>
                <w:sz w:val="1"/>
                <w:szCs w:val="1"/>
                <w:color w:val="auto"/>
              </w:rPr>
            </w:pPr>
          </w:p>
        </w:tc>
      </w:tr>
      <w:tr>
        <w:trPr>
          <w:trHeight w:val="270"/>
        </w:trPr>
        <w:tc>
          <w:tcPr>
            <w:tcW w:w="3180" w:type="dxa"/>
            <w:vAlign w:val="bottom"/>
          </w:tcPr>
          <w:p>
            <w:pPr>
              <w:ind w:left="160"/>
              <w:spacing w:after="0" w:line="270" w:lineRule="exact"/>
              <w:rPr>
                <w:sz w:val="20"/>
                <w:szCs w:val="20"/>
                <w:color w:val="auto"/>
              </w:rPr>
            </w:pPr>
            <w:r>
              <w:rPr>
                <w:rFonts w:ascii="Arial" w:cs="Arial" w:eastAsia="Arial" w:hAnsi="Arial"/>
                <w:sz w:val="17"/>
                <w:szCs w:val="17"/>
                <w:color w:val="auto"/>
              </w:rPr>
              <w:t xml:space="preserve">Goodwill Impairment </w:t>
            </w:r>
            <w:r>
              <w:rPr>
                <w:rFonts w:ascii="Arial" w:cs="Arial" w:eastAsia="Arial" w:hAnsi="Arial"/>
                <w:sz w:val="28"/>
                <w:szCs w:val="28"/>
                <w:color w:val="auto"/>
                <w:vertAlign w:val="superscript"/>
              </w:rPr>
              <w:t>(a)</w:t>
            </w:r>
          </w:p>
        </w:tc>
        <w:tc>
          <w:tcPr>
            <w:tcW w:w="140" w:type="dxa"/>
            <w:vAlign w:val="bottom"/>
          </w:tcPr>
          <w:p>
            <w:pPr>
              <w:spacing w:after="0"/>
              <w:rPr>
                <w:sz w:val="23"/>
                <w:szCs w:val="23"/>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3"/>
                <w:szCs w:val="23"/>
                <w:color w:val="auto"/>
              </w:rPr>
            </w:pPr>
          </w:p>
        </w:tc>
        <w:tc>
          <w:tcPr>
            <w:tcW w:w="114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3"/>
                <w:szCs w:val="23"/>
                <w:color w:val="auto"/>
              </w:rPr>
            </w:pPr>
          </w:p>
        </w:tc>
        <w:tc>
          <w:tcPr>
            <w:tcW w:w="10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3"/>
                <w:szCs w:val="23"/>
                <w:color w:val="auto"/>
              </w:rPr>
            </w:pP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399</w:t>
            </w:r>
          </w:p>
        </w:tc>
        <w:tc>
          <w:tcPr>
            <w:tcW w:w="160" w:type="dxa"/>
            <w:vAlign w:val="bottom"/>
          </w:tcPr>
          <w:p>
            <w:pPr>
              <w:spacing w:after="0"/>
              <w:rPr>
                <w:sz w:val="23"/>
                <w:szCs w:val="23"/>
                <w:color w:val="auto"/>
              </w:rPr>
            </w:pPr>
          </w:p>
        </w:tc>
        <w:tc>
          <w:tcPr>
            <w:tcW w:w="800" w:type="dxa"/>
            <w:vAlign w:val="bottom"/>
          </w:tcPr>
          <w:p>
            <w:pPr>
              <w:jc w:val="right"/>
              <w:ind w:right="155"/>
              <w:spacing w:after="0"/>
              <w:rPr>
                <w:sz w:val="20"/>
                <w:szCs w:val="20"/>
                <w:color w:val="auto"/>
              </w:rPr>
            </w:pPr>
            <w:r>
              <w:rPr>
                <w:rFonts w:ascii="Arial" w:cs="Arial" w:eastAsia="Arial" w:hAnsi="Arial"/>
                <w:sz w:val="17"/>
                <w:szCs w:val="17"/>
                <w:color w:val="auto"/>
              </w:rPr>
              <w:t>102</w:t>
            </w:r>
          </w:p>
        </w:tc>
        <w:tc>
          <w:tcPr>
            <w:tcW w:w="140" w:type="dxa"/>
            <w:vAlign w:val="bottom"/>
          </w:tcPr>
          <w:p>
            <w:pPr>
              <w:spacing w:after="0"/>
              <w:rPr>
                <w:sz w:val="23"/>
                <w:szCs w:val="23"/>
                <w:color w:val="auto"/>
              </w:rPr>
            </w:pP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229</w:t>
            </w:r>
          </w:p>
        </w:tc>
        <w:tc>
          <w:tcPr>
            <w:tcW w:w="140" w:type="dxa"/>
            <w:vAlign w:val="bottom"/>
          </w:tcPr>
          <w:p>
            <w:pPr>
              <w:spacing w:after="0"/>
              <w:rPr>
                <w:sz w:val="23"/>
                <w:szCs w:val="23"/>
                <w:color w:val="auto"/>
              </w:rPr>
            </w:pPr>
          </w:p>
        </w:tc>
        <w:tc>
          <w:tcPr>
            <w:tcW w:w="820" w:type="dxa"/>
            <w:vAlign w:val="bottom"/>
          </w:tcPr>
          <w:p>
            <w:pPr>
              <w:jc w:val="right"/>
              <w:ind w:right="155"/>
              <w:spacing w:after="0"/>
              <w:rPr>
                <w:sz w:val="20"/>
                <w:szCs w:val="20"/>
                <w:color w:val="auto"/>
              </w:rPr>
            </w:pPr>
            <w:r>
              <w:rPr>
                <w:rFonts w:ascii="Arial" w:cs="Arial" w:eastAsia="Arial" w:hAnsi="Arial"/>
                <w:sz w:val="17"/>
                <w:szCs w:val="17"/>
                <w:color w:val="auto"/>
              </w:rPr>
              <w:t>1,917</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ind w:left="160"/>
              <w:spacing w:after="0" w:line="270" w:lineRule="exact"/>
              <w:rPr>
                <w:sz w:val="20"/>
                <w:szCs w:val="20"/>
                <w:color w:val="auto"/>
              </w:rPr>
            </w:pPr>
            <w:r>
              <w:rPr>
                <w:rFonts w:ascii="Arial" w:cs="Arial" w:eastAsia="Arial" w:hAnsi="Arial"/>
                <w:sz w:val="17"/>
                <w:szCs w:val="17"/>
                <w:color w:val="auto"/>
              </w:rPr>
              <w:t xml:space="preserve">Restructuring Charges </w:t>
            </w:r>
            <w:r>
              <w:rPr>
                <w:rFonts w:ascii="Arial" w:cs="Arial" w:eastAsia="Arial" w:hAnsi="Arial"/>
                <w:sz w:val="28"/>
                <w:szCs w:val="28"/>
                <w:color w:val="auto"/>
                <w:vertAlign w:val="superscript"/>
              </w:rPr>
              <w:t>(b)</w:t>
            </w:r>
          </w:p>
        </w:tc>
        <w:tc>
          <w:tcPr>
            <w:tcW w:w="140" w:type="dxa"/>
            <w:vAlign w:val="bottom"/>
            <w:shd w:val="clear" w:color="auto" w:fill="CCEEFF"/>
          </w:tcPr>
          <w:p>
            <w:pPr>
              <w:spacing w:after="0"/>
              <w:rPr>
                <w:sz w:val="23"/>
                <w:szCs w:val="23"/>
                <w:color w:val="auto"/>
              </w:rPr>
            </w:pPr>
          </w:p>
        </w:tc>
        <w:tc>
          <w:tcPr>
            <w:tcW w:w="138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96</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96</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53</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70"/>
        </w:trPr>
        <w:tc>
          <w:tcPr>
            <w:tcW w:w="3180" w:type="dxa"/>
            <w:vAlign w:val="bottom"/>
          </w:tcPr>
          <w:p>
            <w:pPr>
              <w:ind w:left="160"/>
              <w:spacing w:after="0" w:line="270" w:lineRule="exact"/>
              <w:rPr>
                <w:sz w:val="20"/>
                <w:szCs w:val="20"/>
                <w:color w:val="auto"/>
              </w:rPr>
            </w:pPr>
            <w:r>
              <w:rPr>
                <w:rFonts w:ascii="Arial" w:cs="Arial" w:eastAsia="Arial" w:hAnsi="Arial"/>
                <w:sz w:val="17"/>
                <w:szCs w:val="17"/>
                <w:color w:val="auto"/>
              </w:rPr>
              <w:t xml:space="preserve">Asset Write-Downs and Other </w:t>
            </w:r>
            <w:r>
              <w:rPr>
                <w:rFonts w:ascii="Arial" w:cs="Arial" w:eastAsia="Arial" w:hAnsi="Arial"/>
                <w:sz w:val="28"/>
                <w:szCs w:val="28"/>
                <w:color w:val="auto"/>
                <w:vertAlign w:val="superscript"/>
              </w:rPr>
              <w:t>(c) (d)</w:t>
            </w:r>
          </w:p>
        </w:tc>
        <w:tc>
          <w:tcPr>
            <w:tcW w:w="140" w:type="dxa"/>
            <w:vAlign w:val="bottom"/>
          </w:tcPr>
          <w:p>
            <w:pPr>
              <w:spacing w:after="0"/>
              <w:rPr>
                <w:sz w:val="23"/>
                <w:szCs w:val="23"/>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3"/>
                <w:szCs w:val="23"/>
                <w:color w:val="auto"/>
              </w:rPr>
            </w:pPr>
          </w:p>
        </w:tc>
        <w:tc>
          <w:tcPr>
            <w:tcW w:w="1140" w:type="dxa"/>
            <w:vAlign w:val="bottom"/>
          </w:tcPr>
          <w:p>
            <w:pPr>
              <w:jc w:val="right"/>
              <w:ind w:right="154"/>
              <w:spacing w:after="0"/>
              <w:rPr>
                <w:sz w:val="20"/>
                <w:szCs w:val="20"/>
                <w:color w:val="auto"/>
              </w:rPr>
            </w:pPr>
            <w:r>
              <w:rPr>
                <w:rFonts w:ascii="Arial" w:cs="Arial" w:eastAsia="Arial" w:hAnsi="Arial"/>
                <w:sz w:val="17"/>
                <w:szCs w:val="17"/>
                <w:color w:val="auto"/>
              </w:rPr>
              <w:t>254</w:t>
            </w:r>
          </w:p>
        </w:tc>
        <w:tc>
          <w:tcPr>
            <w:tcW w:w="120" w:type="dxa"/>
            <w:vAlign w:val="bottom"/>
          </w:tcPr>
          <w:p>
            <w:pPr>
              <w:spacing w:after="0"/>
              <w:rPr>
                <w:sz w:val="23"/>
                <w:szCs w:val="23"/>
                <w:color w:val="auto"/>
              </w:rPr>
            </w:pPr>
          </w:p>
        </w:tc>
        <w:tc>
          <w:tcPr>
            <w:tcW w:w="1060" w:type="dxa"/>
            <w:vAlign w:val="bottom"/>
          </w:tcPr>
          <w:p>
            <w:pPr>
              <w:jc w:val="right"/>
              <w:ind w:right="155"/>
              <w:spacing w:after="0"/>
              <w:rPr>
                <w:sz w:val="20"/>
                <w:szCs w:val="20"/>
                <w:color w:val="auto"/>
              </w:rPr>
            </w:pPr>
            <w:r>
              <w:rPr>
                <w:rFonts w:ascii="Arial" w:cs="Arial" w:eastAsia="Arial" w:hAnsi="Arial"/>
                <w:sz w:val="17"/>
                <w:szCs w:val="17"/>
                <w:color w:val="auto"/>
              </w:rPr>
              <w:t>254</w:t>
            </w:r>
          </w:p>
        </w:tc>
        <w:tc>
          <w:tcPr>
            <w:tcW w:w="120" w:type="dxa"/>
            <w:vAlign w:val="bottom"/>
          </w:tcPr>
          <w:p>
            <w:pPr>
              <w:spacing w:after="0"/>
              <w:rPr>
                <w:sz w:val="23"/>
                <w:szCs w:val="23"/>
                <w:color w:val="auto"/>
              </w:rPr>
            </w:pP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42</w:t>
            </w:r>
          </w:p>
        </w:tc>
        <w:tc>
          <w:tcPr>
            <w:tcW w:w="160" w:type="dxa"/>
            <w:vAlign w:val="bottom"/>
          </w:tcPr>
          <w:p>
            <w:pPr>
              <w:spacing w:after="0"/>
              <w:rPr>
                <w:sz w:val="23"/>
                <w:szCs w:val="23"/>
                <w:color w:val="auto"/>
              </w:rPr>
            </w:pPr>
          </w:p>
        </w:tc>
        <w:tc>
          <w:tcPr>
            <w:tcW w:w="800" w:type="dxa"/>
            <w:vAlign w:val="bottom"/>
          </w:tcPr>
          <w:p>
            <w:pPr>
              <w:jc w:val="right"/>
              <w:ind w:right="155"/>
              <w:spacing w:after="0"/>
              <w:rPr>
                <w:sz w:val="20"/>
                <w:szCs w:val="20"/>
                <w:color w:val="auto"/>
              </w:rPr>
            </w:pPr>
            <w:r>
              <w:rPr>
                <w:rFonts w:ascii="Arial" w:cs="Arial" w:eastAsia="Arial" w:hAnsi="Arial"/>
                <w:sz w:val="17"/>
                <w:szCs w:val="17"/>
                <w:color w:val="2C2C2C"/>
              </w:rPr>
              <w:t>41</w:t>
            </w:r>
          </w:p>
        </w:tc>
        <w:tc>
          <w:tcPr>
            <w:tcW w:w="140" w:type="dxa"/>
            <w:vAlign w:val="bottom"/>
          </w:tcPr>
          <w:p>
            <w:pPr>
              <w:spacing w:after="0"/>
              <w:rPr>
                <w:sz w:val="23"/>
                <w:szCs w:val="23"/>
                <w:color w:val="auto"/>
              </w:rPr>
            </w:pP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37</w:t>
            </w:r>
          </w:p>
        </w:tc>
        <w:tc>
          <w:tcPr>
            <w:tcW w:w="140" w:type="dxa"/>
            <w:vAlign w:val="bottom"/>
          </w:tcPr>
          <w:p>
            <w:pPr>
              <w:spacing w:after="0"/>
              <w:rPr>
                <w:sz w:val="23"/>
                <w:szCs w:val="23"/>
                <w:color w:val="auto"/>
              </w:rPr>
            </w:pPr>
          </w:p>
        </w:tc>
        <w:tc>
          <w:tcPr>
            <w:tcW w:w="820" w:type="dxa"/>
            <w:vAlign w:val="bottom"/>
          </w:tcPr>
          <w:p>
            <w:pPr>
              <w:jc w:val="right"/>
              <w:ind w:right="155"/>
              <w:spacing w:after="0"/>
              <w:rPr>
                <w:sz w:val="20"/>
                <w:szCs w:val="20"/>
                <w:color w:val="auto"/>
              </w:rPr>
            </w:pPr>
            <w:r>
              <w:rPr>
                <w:rFonts w:ascii="Arial" w:cs="Arial" w:eastAsia="Arial" w:hAnsi="Arial"/>
                <w:sz w:val="17"/>
                <w:szCs w:val="17"/>
                <w:color w:val="2C2C2C"/>
              </w:rPr>
              <w:t>79</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Prepetition Charges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2C2C2C"/>
              </w:rPr>
              <w:t>76</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2C2C2C"/>
              </w:rPr>
              <w:t>—</w:t>
            </w:r>
          </w:p>
        </w:tc>
        <w:tc>
          <w:tcPr>
            <w:tcW w:w="0" w:type="dxa"/>
            <w:vAlign w:val="bottom"/>
          </w:tcPr>
          <w:p>
            <w:pPr>
              <w:spacing w:after="0"/>
              <w:rPr>
                <w:sz w:val="1"/>
                <w:szCs w:val="1"/>
                <w:color w:val="auto"/>
              </w:rPr>
            </w:pPr>
          </w:p>
        </w:tc>
      </w:tr>
      <w:tr>
        <w:trPr>
          <w:trHeight w:val="239"/>
        </w:trPr>
        <w:tc>
          <w:tcPr>
            <w:tcW w:w="3180" w:type="dxa"/>
            <w:vAlign w:val="bottom"/>
          </w:tcPr>
          <w:p>
            <w:pPr>
              <w:ind w:left="160"/>
              <w:spacing w:after="0"/>
              <w:rPr>
                <w:sz w:val="20"/>
                <w:szCs w:val="20"/>
                <w:color w:val="auto"/>
              </w:rPr>
            </w:pPr>
            <w:r>
              <w:rPr>
                <w:rFonts w:ascii="Arial" w:cs="Arial" w:eastAsia="Arial" w:hAnsi="Arial"/>
                <w:sz w:val="17"/>
                <w:szCs w:val="17"/>
                <w:color w:val="auto"/>
              </w:rPr>
              <w:t>Gain on Sale of Operational Assets</w:t>
            </w:r>
          </w:p>
        </w:tc>
        <w:tc>
          <w:tcPr>
            <w:tcW w:w="14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14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20"/>
                <w:szCs w:val="20"/>
                <w:color w:val="auto"/>
              </w:rPr>
            </w:pPr>
          </w:p>
        </w:tc>
        <w:tc>
          <w:tcPr>
            <w:tcW w:w="800" w:type="dxa"/>
            <w:vAlign w:val="bottom"/>
          </w:tcPr>
          <w:p>
            <w:pPr>
              <w:jc w:val="right"/>
              <w:ind w:right="155"/>
              <w:spacing w:after="0"/>
              <w:rPr>
                <w:sz w:val="20"/>
                <w:szCs w:val="20"/>
                <w:color w:val="auto"/>
              </w:rPr>
            </w:pPr>
            <w:r>
              <w:rPr>
                <w:rFonts w:ascii="Arial" w:cs="Arial" w:eastAsia="Arial" w:hAnsi="Arial"/>
                <w:sz w:val="17"/>
                <w:szCs w:val="17"/>
                <w:color w:val="2C2C2C"/>
              </w:rPr>
              <w:t>—</w:t>
            </w:r>
          </w:p>
        </w:tc>
        <w:tc>
          <w:tcPr>
            <w:tcW w:w="140" w:type="dxa"/>
            <w:vAlign w:val="bottom"/>
          </w:tcPr>
          <w:p>
            <w:pPr>
              <w:spacing w:after="0"/>
              <w:rPr>
                <w:sz w:val="20"/>
                <w:szCs w:val="20"/>
                <w:color w:val="auto"/>
              </w:rPr>
            </w:pP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20" w:type="dxa"/>
            <w:vAlign w:val="bottom"/>
          </w:tcPr>
          <w:p>
            <w:pPr>
              <w:jc w:val="right"/>
              <w:ind w:right="155"/>
              <w:spacing w:after="0"/>
              <w:rPr>
                <w:sz w:val="20"/>
                <w:szCs w:val="20"/>
                <w:color w:val="auto"/>
              </w:rPr>
            </w:pPr>
            <w:r>
              <w:rPr>
                <w:rFonts w:ascii="Arial" w:cs="Arial" w:eastAsia="Arial" w:hAnsi="Arial"/>
                <w:sz w:val="17"/>
                <w:szCs w:val="17"/>
                <w:color w:val="2C2C2C"/>
              </w:rPr>
              <w:t>—</w:t>
            </w:r>
          </w:p>
        </w:tc>
        <w:tc>
          <w:tcPr>
            <w:tcW w:w="0" w:type="dxa"/>
            <w:vAlign w:val="bottom"/>
          </w:tcPr>
          <w:p>
            <w:pPr>
              <w:spacing w:after="0"/>
              <w:rPr>
                <w:sz w:val="1"/>
                <w:szCs w:val="1"/>
                <w:color w:val="auto"/>
              </w:rPr>
            </w:pPr>
          </w:p>
        </w:tc>
      </w:tr>
      <w:tr>
        <w:trPr>
          <w:trHeight w:val="31"/>
        </w:trPr>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(Gain) Loss on Sale of Business</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8</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2C2C2C"/>
              </w:rPr>
              <w:t>(114)</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2C2C2C"/>
              </w:rPr>
              <w:t>—</w:t>
            </w:r>
          </w:p>
        </w:tc>
        <w:tc>
          <w:tcPr>
            <w:tcW w:w="0" w:type="dxa"/>
            <w:vAlign w:val="bottom"/>
          </w:tcPr>
          <w:p>
            <w:pPr>
              <w:spacing w:after="0"/>
              <w:rPr>
                <w:sz w:val="1"/>
                <w:szCs w:val="1"/>
                <w:color w:val="auto"/>
              </w:rPr>
            </w:pPr>
          </w:p>
        </w:tc>
      </w:tr>
      <w:tr>
        <w:trPr>
          <w:trHeight w:val="219"/>
        </w:trPr>
        <w:tc>
          <w:tcPr>
            <w:tcW w:w="3180" w:type="dxa"/>
            <w:vAlign w:val="bottom"/>
          </w:tcPr>
          <w:p>
            <w:pPr>
              <w:ind w:left="240"/>
              <w:spacing w:after="0"/>
              <w:rPr>
                <w:sz w:val="20"/>
                <w:szCs w:val="20"/>
                <w:color w:val="auto"/>
              </w:rPr>
            </w:pPr>
            <w:r>
              <w:rPr>
                <w:rFonts w:ascii="Arial" w:cs="Arial" w:eastAsia="Arial" w:hAnsi="Arial"/>
                <w:sz w:val="17"/>
                <w:szCs w:val="17"/>
                <w:color w:val="auto"/>
              </w:rPr>
              <w:t>Operating Non-GAAP Adjustments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4"/>
              <w:spacing w:after="0"/>
              <w:rPr>
                <w:sz w:val="20"/>
                <w:szCs w:val="20"/>
                <w:color w:val="auto"/>
              </w:rPr>
            </w:pPr>
            <w:r>
              <w:rPr>
                <w:rFonts w:ascii="Arial" w:cs="Arial" w:eastAsia="Arial" w:hAnsi="Arial"/>
                <w:sz w:val="17"/>
                <w:szCs w:val="17"/>
                <w:color w:val="auto"/>
              </w:rPr>
              <w:t>342</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342</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487</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125</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298</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2,032</w:t>
            </w:r>
          </w:p>
        </w:tc>
        <w:tc>
          <w:tcPr>
            <w:tcW w:w="0" w:type="dxa"/>
            <w:vAlign w:val="bottom"/>
          </w:tcPr>
          <w:p>
            <w:pPr>
              <w:spacing w:after="0"/>
              <w:rPr>
                <w:sz w:val="1"/>
                <w:szCs w:val="1"/>
                <w:color w:val="auto"/>
              </w:rPr>
            </w:pPr>
          </w:p>
        </w:tc>
      </w:tr>
      <w:tr>
        <w:trPr>
          <w:trHeight w:val="31"/>
        </w:trPr>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Adjusted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40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C2C2C"/>
              </w:rPr>
              <w:t>$</w:t>
            </w:r>
          </w:p>
        </w:tc>
        <w:tc>
          <w:tcPr>
            <w:tcW w:w="8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2C2C2C"/>
              </w:rPr>
              <w:t>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C2C2C"/>
              </w:rPr>
              <w:t>$</w:t>
            </w:r>
          </w:p>
        </w:tc>
        <w:tc>
          <w:tcPr>
            <w:tcW w:w="8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2C2C2C"/>
              </w:rPr>
              <w:t>73</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80" w:type="dxa"/>
            <w:vAlign w:val="bottom"/>
          </w:tcPr>
          <w:p>
            <w:pPr>
              <w:ind w:left="20"/>
              <w:spacing w:after="0"/>
              <w:rPr>
                <w:sz w:val="20"/>
                <w:szCs w:val="20"/>
                <w:color w:val="auto"/>
              </w:rPr>
            </w:pPr>
            <w:r>
              <w:rPr>
                <w:rFonts w:ascii="Arial" w:cs="Arial" w:eastAsia="Arial" w:hAnsi="Arial"/>
                <w:sz w:val="17"/>
                <w:szCs w:val="17"/>
                <w:color w:val="auto"/>
                <w:w w:val="96"/>
              </w:rPr>
              <w:t>GAAP Income (Loss) Before Income Taxes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(15)</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54"/>
              <w:spacing w:after="0"/>
              <w:rPr>
                <w:sz w:val="20"/>
                <w:szCs w:val="20"/>
                <w:color w:val="auto"/>
              </w:rPr>
            </w:pPr>
            <w:r>
              <w:rPr>
                <w:rFonts w:ascii="Arial" w:cs="Arial" w:eastAsia="Arial" w:hAnsi="Arial"/>
                <w:sz w:val="17"/>
                <w:szCs w:val="17"/>
                <w:color w:val="auto"/>
              </w:rPr>
              <w:t>5,347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5"/>
              <w:spacing w:after="0"/>
              <w:rPr>
                <w:sz w:val="20"/>
                <w:szCs w:val="20"/>
                <w:color w:val="auto"/>
              </w:rPr>
            </w:pPr>
            <w:r>
              <w:rPr>
                <w:rFonts w:ascii="Arial" w:cs="Arial" w:eastAsia="Arial" w:hAnsi="Arial"/>
                <w:sz w:val="17"/>
                <w:szCs w:val="17"/>
                <w:color w:val="auto"/>
              </w:rPr>
              <w:t>5,332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(784)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95"/>
              <w:spacing w:after="0"/>
              <w:rPr>
                <w:sz w:val="20"/>
                <w:szCs w:val="20"/>
                <w:color w:val="auto"/>
              </w:rPr>
            </w:pPr>
            <w:r>
              <w:rPr>
                <w:rFonts w:ascii="Arial" w:cs="Arial" w:eastAsia="Arial" w:hAnsi="Arial"/>
                <w:sz w:val="17"/>
                <w:szCs w:val="17"/>
                <w:color w:val="auto"/>
              </w:rPr>
              <w:t>(279)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95"/>
              <w:spacing w:after="0"/>
              <w:rPr>
                <w:sz w:val="20"/>
                <w:szCs w:val="20"/>
                <w:color w:val="auto"/>
              </w:rPr>
            </w:pPr>
            <w:r>
              <w:rPr>
                <w:rFonts w:ascii="Arial" w:cs="Arial" w:eastAsia="Arial" w:hAnsi="Arial"/>
                <w:sz w:val="17"/>
                <w:szCs w:val="17"/>
                <w:color w:val="auto"/>
              </w:rPr>
              <w:t>(465)</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95"/>
              <w:spacing w:after="0"/>
              <w:rPr>
                <w:sz w:val="20"/>
                <w:szCs w:val="20"/>
                <w:color w:val="auto"/>
              </w:rPr>
            </w:pPr>
            <w:r>
              <w:rPr>
                <w:rFonts w:ascii="Arial" w:cs="Arial" w:eastAsia="Arial" w:hAnsi="Arial"/>
                <w:sz w:val="17"/>
                <w:szCs w:val="17"/>
                <w:color w:val="auto"/>
              </w:rPr>
              <w:t>(2,142)</w:t>
            </w:r>
          </w:p>
        </w:tc>
        <w:tc>
          <w:tcPr>
            <w:tcW w:w="0" w:type="dxa"/>
            <w:vAlign w:val="bottom"/>
          </w:tcPr>
          <w:p>
            <w:pPr>
              <w:spacing w:after="0"/>
              <w:rPr>
                <w:sz w:val="1"/>
                <w:szCs w:val="1"/>
                <w:color w:val="auto"/>
              </w:rPr>
            </w:pPr>
          </w:p>
        </w:tc>
      </w:tr>
      <w:tr>
        <w:trPr>
          <w:trHeight w:val="31"/>
        </w:trPr>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Operating Non-GAAP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487</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2C2C2C"/>
              </w:rPr>
              <w:t>125</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298</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2C2C2C"/>
              </w:rPr>
              <w:t>2,032</w:t>
            </w:r>
          </w:p>
        </w:tc>
        <w:tc>
          <w:tcPr>
            <w:tcW w:w="0" w:type="dxa"/>
            <w:vAlign w:val="bottom"/>
          </w:tcPr>
          <w:p>
            <w:pPr>
              <w:spacing w:after="0"/>
              <w:rPr>
                <w:sz w:val="1"/>
                <w:szCs w:val="1"/>
                <w:color w:val="auto"/>
              </w:rPr>
            </w:pPr>
          </w:p>
        </w:tc>
      </w:tr>
      <w:tr>
        <w:trPr>
          <w:trHeight w:val="270"/>
        </w:trPr>
        <w:tc>
          <w:tcPr>
            <w:tcW w:w="3180" w:type="dxa"/>
            <w:vAlign w:val="bottom"/>
          </w:tcPr>
          <w:p>
            <w:pPr>
              <w:ind w:left="160"/>
              <w:spacing w:after="0" w:line="270" w:lineRule="exact"/>
              <w:rPr>
                <w:sz w:val="20"/>
                <w:szCs w:val="20"/>
                <w:color w:val="auto"/>
              </w:rPr>
            </w:pPr>
            <w:r>
              <w:rPr>
                <w:rFonts w:ascii="Arial" w:cs="Arial" w:eastAsia="Arial" w:hAnsi="Arial"/>
                <w:sz w:val="17"/>
                <w:szCs w:val="17"/>
                <w:color w:val="auto"/>
              </w:rPr>
              <w:t xml:space="preserve">Reorganization Items </w:t>
            </w:r>
            <w:r>
              <w:rPr>
                <w:rFonts w:ascii="Arial" w:cs="Arial" w:eastAsia="Arial" w:hAnsi="Arial"/>
                <w:sz w:val="28"/>
                <w:szCs w:val="28"/>
                <w:color w:val="auto"/>
                <w:vertAlign w:val="superscript"/>
              </w:rPr>
              <w:t>(e)</w:t>
            </w:r>
          </w:p>
        </w:tc>
        <w:tc>
          <w:tcPr>
            <w:tcW w:w="140" w:type="dxa"/>
            <w:vAlign w:val="bottom"/>
          </w:tcPr>
          <w:p>
            <w:pPr>
              <w:spacing w:after="0"/>
              <w:rPr>
                <w:sz w:val="23"/>
                <w:szCs w:val="23"/>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94"/>
              <w:spacing w:after="0"/>
              <w:rPr>
                <w:sz w:val="20"/>
                <w:szCs w:val="20"/>
                <w:color w:val="auto"/>
              </w:rPr>
            </w:pPr>
            <w:r>
              <w:rPr>
                <w:rFonts w:ascii="Arial" w:cs="Arial" w:eastAsia="Arial" w:hAnsi="Arial"/>
                <w:sz w:val="17"/>
                <w:szCs w:val="17"/>
                <w:color w:val="auto"/>
              </w:rPr>
              <w:t>(5,692)</w:t>
            </w:r>
          </w:p>
        </w:tc>
        <w:tc>
          <w:tcPr>
            <w:tcW w:w="120" w:type="dxa"/>
            <w:vAlign w:val="bottom"/>
          </w:tcPr>
          <w:p>
            <w:pPr>
              <w:spacing w:after="0"/>
              <w:rPr>
                <w:sz w:val="23"/>
                <w:szCs w:val="23"/>
                <w:color w:val="auto"/>
              </w:rPr>
            </w:pPr>
          </w:p>
        </w:tc>
        <w:tc>
          <w:tcPr>
            <w:tcW w:w="1060" w:type="dxa"/>
            <w:vAlign w:val="bottom"/>
          </w:tcPr>
          <w:p>
            <w:pPr>
              <w:jc w:val="right"/>
              <w:ind w:right="95"/>
              <w:spacing w:after="0"/>
              <w:rPr>
                <w:sz w:val="20"/>
                <w:szCs w:val="20"/>
                <w:color w:val="auto"/>
              </w:rPr>
            </w:pPr>
            <w:r>
              <w:rPr>
                <w:rFonts w:ascii="Arial" w:cs="Arial" w:eastAsia="Arial" w:hAnsi="Arial"/>
                <w:sz w:val="17"/>
                <w:szCs w:val="17"/>
                <w:color w:val="auto"/>
              </w:rPr>
              <w:t>(5,688)</w:t>
            </w:r>
          </w:p>
        </w:tc>
        <w:tc>
          <w:tcPr>
            <w:tcW w:w="120" w:type="dxa"/>
            <w:vAlign w:val="bottom"/>
          </w:tcPr>
          <w:p>
            <w:pPr>
              <w:spacing w:after="0"/>
              <w:rPr>
                <w:sz w:val="23"/>
                <w:szCs w:val="23"/>
                <w:color w:val="auto"/>
              </w:rPr>
            </w:pP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303</w:t>
            </w:r>
          </w:p>
        </w:tc>
        <w:tc>
          <w:tcPr>
            <w:tcW w:w="160" w:type="dxa"/>
            <w:vAlign w:val="bottom"/>
          </w:tcPr>
          <w:p>
            <w:pPr>
              <w:spacing w:after="0"/>
              <w:rPr>
                <w:sz w:val="23"/>
                <w:szCs w:val="23"/>
                <w:color w:val="auto"/>
              </w:rPr>
            </w:pPr>
          </w:p>
        </w:tc>
        <w:tc>
          <w:tcPr>
            <w:tcW w:w="80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3"/>
                <w:szCs w:val="23"/>
                <w:color w:val="auto"/>
              </w:rPr>
            </w:pP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3"/>
                <w:szCs w:val="23"/>
                <w:color w:val="auto"/>
              </w:rPr>
            </w:pPr>
          </w:p>
        </w:tc>
        <w:tc>
          <w:tcPr>
            <w:tcW w:w="8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ind w:left="160"/>
              <w:spacing w:after="0" w:line="270" w:lineRule="exact"/>
              <w:rPr>
                <w:sz w:val="20"/>
                <w:szCs w:val="20"/>
                <w:color w:val="auto"/>
              </w:rPr>
            </w:pPr>
            <w:r>
              <w:rPr>
                <w:rFonts w:ascii="Arial" w:cs="Arial" w:eastAsia="Arial" w:hAnsi="Arial"/>
                <w:sz w:val="17"/>
                <w:szCs w:val="17"/>
                <w:color w:val="auto"/>
              </w:rPr>
              <w:t xml:space="preserve">Other Non-Operating Expenses </w:t>
            </w:r>
            <w:r>
              <w:rPr>
                <w:rFonts w:ascii="Arial" w:cs="Arial" w:eastAsia="Arial" w:hAnsi="Arial"/>
                <w:sz w:val="28"/>
                <w:szCs w:val="28"/>
                <w:color w:val="auto"/>
                <w:vertAlign w:val="superscript"/>
              </w:rPr>
              <w:t>(f)</w:t>
            </w:r>
          </w:p>
        </w:tc>
        <w:tc>
          <w:tcPr>
            <w:tcW w:w="140" w:type="dxa"/>
            <w:vAlign w:val="bottom"/>
            <w:shd w:val="clear" w:color="auto" w:fill="CCEEFF"/>
          </w:tcPr>
          <w:p>
            <w:pPr>
              <w:spacing w:after="0"/>
              <w:rPr>
                <w:sz w:val="23"/>
                <w:szCs w:val="23"/>
                <w:color w:val="auto"/>
              </w:rPr>
            </w:pPr>
          </w:p>
        </w:tc>
        <w:tc>
          <w:tcPr>
            <w:tcW w:w="138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9"/>
        </w:trPr>
        <w:tc>
          <w:tcPr>
            <w:tcW w:w="3180" w:type="dxa"/>
            <w:vAlign w:val="bottom"/>
          </w:tcPr>
          <w:p>
            <w:pPr>
              <w:ind w:left="240"/>
              <w:spacing w:after="0"/>
              <w:rPr>
                <w:sz w:val="20"/>
                <w:szCs w:val="20"/>
                <w:color w:val="auto"/>
              </w:rPr>
            </w:pPr>
            <w:r>
              <w:rPr>
                <w:rFonts w:ascii="Arial" w:cs="Arial" w:eastAsia="Arial" w:hAnsi="Arial"/>
                <w:sz w:val="17"/>
                <w:szCs w:val="17"/>
                <w:color w:val="auto"/>
              </w:rPr>
              <w:t>Non-GAAP Adjustments Before Taxes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94"/>
              <w:spacing w:after="0"/>
              <w:rPr>
                <w:sz w:val="20"/>
                <w:szCs w:val="20"/>
                <w:color w:val="auto"/>
              </w:rPr>
            </w:pPr>
            <w:r>
              <w:rPr>
                <w:rFonts w:ascii="Arial" w:cs="Arial" w:eastAsia="Arial" w:hAnsi="Arial"/>
                <w:sz w:val="17"/>
                <w:szCs w:val="17"/>
                <w:color w:val="auto"/>
              </w:rPr>
              <w:t>(5,350)</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(5,346)</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790</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125</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298</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2,033</w:t>
            </w:r>
          </w:p>
        </w:tc>
        <w:tc>
          <w:tcPr>
            <w:tcW w:w="0" w:type="dxa"/>
            <w:vAlign w:val="bottom"/>
          </w:tcPr>
          <w:p>
            <w:pPr>
              <w:spacing w:after="0"/>
              <w:rPr>
                <w:sz w:val="1"/>
                <w:szCs w:val="1"/>
                <w:color w:val="auto"/>
              </w:rPr>
            </w:pPr>
          </w:p>
        </w:tc>
      </w:tr>
      <w:tr>
        <w:trPr>
          <w:trHeight w:val="31"/>
        </w:trPr>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Loss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(11)</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(167)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Benefit (Provision)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80" w:type="dxa"/>
            <w:vAlign w:val="bottom"/>
          </w:tcPr>
          <w:p>
            <w:pPr>
              <w:ind w:left="20"/>
              <w:spacing w:after="0"/>
              <w:rPr>
                <w:sz w:val="20"/>
                <w:szCs w:val="20"/>
                <w:color w:val="auto"/>
              </w:rPr>
            </w:pPr>
            <w:r>
              <w:rPr>
                <w:rFonts w:ascii="Arial" w:cs="Arial" w:eastAsia="Arial" w:hAnsi="Arial"/>
                <w:sz w:val="17"/>
                <w:szCs w:val="17"/>
                <w:color w:val="auto"/>
                <w:w w:val="96"/>
              </w:rPr>
              <w:t>GAAP Benefit (Provision) for Income Taxes</w:t>
            </w:r>
          </w:p>
        </w:tc>
        <w:tc>
          <w:tcPr>
            <w:tcW w:w="140" w:type="dxa"/>
            <w:vAlign w:val="bottom"/>
          </w:tcPr>
          <w:p>
            <w:pPr>
              <w:spacing w:after="0"/>
              <w:rPr>
                <w:sz w:val="20"/>
                <w:szCs w:val="20"/>
                <w:color w:val="auto"/>
              </w:rPr>
            </w:pP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(9)</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94"/>
              <w:spacing w:after="0"/>
              <w:rPr>
                <w:sz w:val="20"/>
                <w:szCs w:val="20"/>
                <w:color w:val="auto"/>
              </w:rPr>
            </w:pPr>
            <w:r>
              <w:rPr>
                <w:rFonts w:ascii="Arial" w:cs="Arial" w:eastAsia="Arial" w:hAnsi="Arial"/>
                <w:sz w:val="17"/>
                <w:szCs w:val="17"/>
                <w:color w:val="auto"/>
              </w:rPr>
              <w:t>(59)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95"/>
              <w:spacing w:after="0"/>
              <w:rPr>
                <w:sz w:val="20"/>
                <w:szCs w:val="20"/>
                <w:color w:val="auto"/>
              </w:rPr>
            </w:pPr>
            <w:r>
              <w:rPr>
                <w:rFonts w:ascii="Arial" w:cs="Arial" w:eastAsia="Arial" w:hAnsi="Arial"/>
                <w:sz w:val="17"/>
                <w:szCs w:val="17"/>
                <w:color w:val="auto"/>
              </w:rPr>
              <w:t>(68)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(31)</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95"/>
              <w:spacing w:after="0"/>
              <w:rPr>
                <w:sz w:val="20"/>
                <w:szCs w:val="20"/>
                <w:color w:val="auto"/>
              </w:rPr>
            </w:pPr>
            <w:r>
              <w:rPr>
                <w:rFonts w:ascii="Arial" w:cs="Arial" w:eastAsia="Arial" w:hAnsi="Arial"/>
                <w:sz w:val="17"/>
                <w:szCs w:val="17"/>
                <w:color w:val="auto"/>
              </w:rPr>
              <w:t>(33)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95"/>
              <w:spacing w:after="0"/>
              <w:rPr>
                <w:sz w:val="20"/>
                <w:szCs w:val="20"/>
                <w:color w:val="auto"/>
              </w:rPr>
            </w:pPr>
            <w:r>
              <w:rPr>
                <w:rFonts w:ascii="Arial" w:cs="Arial" w:eastAsia="Arial" w:hAnsi="Arial"/>
                <w:sz w:val="17"/>
                <w:szCs w:val="17"/>
                <w:color w:val="auto"/>
              </w:rPr>
              <w:t>(12)</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5"/>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31"/>
        </w:trPr>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Tax Effect on Non-GAAP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(8)</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97"/>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Non-GAAP Provision for Income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(9)</w:t>
            </w:r>
          </w:p>
        </w:tc>
        <w:tc>
          <w:tcPr>
            <w:tcW w:w="260" w:type="dxa"/>
            <w:vAlign w:val="bottom"/>
            <w:tcBorders>
              <w:bottom w:val="single" w:sz="8" w:color="CCEEFF"/>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(44)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(35)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(31)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Net Income (Loss) Attributable to</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Weatherford: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GAAP 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(26)</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5,279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5,253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(316)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(481)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(2,103)</w:t>
            </w:r>
          </w:p>
        </w:tc>
        <w:tc>
          <w:tcPr>
            <w:tcW w:w="0" w:type="dxa"/>
            <w:vAlign w:val="bottom"/>
          </w:tcPr>
          <w:p>
            <w:pPr>
              <w:spacing w:after="0"/>
              <w:rPr>
                <w:sz w:val="1"/>
                <w:szCs w:val="1"/>
                <w:color w:val="auto"/>
              </w:rPr>
            </w:pPr>
          </w:p>
        </w:tc>
      </w:tr>
      <w:tr>
        <w:trPr>
          <w:trHeight w:val="239"/>
        </w:trPr>
        <w:tc>
          <w:tcPr>
            <w:tcW w:w="3180" w:type="dxa"/>
            <w:vAlign w:val="bottom"/>
          </w:tcPr>
          <w:p>
            <w:pPr>
              <w:ind w:left="160"/>
              <w:spacing w:after="0"/>
              <w:rPr>
                <w:sz w:val="20"/>
                <w:szCs w:val="20"/>
                <w:color w:val="auto"/>
              </w:rPr>
            </w:pPr>
            <w:r>
              <w:rPr>
                <w:rFonts w:ascii="Arial" w:cs="Arial" w:eastAsia="Arial" w:hAnsi="Arial"/>
                <w:sz w:val="17"/>
                <w:szCs w:val="17"/>
                <w:color w:val="auto"/>
              </w:rPr>
              <w:t>Non-GAAP Adjustments, net of tax</w:t>
            </w:r>
          </w:p>
        </w:tc>
        <w:tc>
          <w:tcPr>
            <w:tcW w:w="140" w:type="dxa"/>
            <w:vAlign w:val="bottom"/>
          </w:tcPr>
          <w:p>
            <w:pPr>
              <w:spacing w:after="0"/>
              <w:rPr>
                <w:sz w:val="20"/>
                <w:szCs w:val="20"/>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94"/>
              <w:spacing w:after="0"/>
              <w:rPr>
                <w:sz w:val="20"/>
                <w:szCs w:val="20"/>
                <w:color w:val="auto"/>
              </w:rPr>
            </w:pPr>
            <w:r>
              <w:rPr>
                <w:rFonts w:ascii="Arial" w:cs="Arial" w:eastAsia="Arial" w:hAnsi="Arial"/>
                <w:sz w:val="17"/>
                <w:szCs w:val="17"/>
                <w:color w:val="auto"/>
              </w:rPr>
              <w:t>(5,326)</w:t>
            </w:r>
          </w:p>
        </w:tc>
        <w:tc>
          <w:tcPr>
            <w:tcW w:w="120" w:type="dxa"/>
            <w:vAlign w:val="bottom"/>
          </w:tcPr>
          <w:p>
            <w:pPr>
              <w:spacing w:after="0"/>
              <w:rPr>
                <w:sz w:val="20"/>
                <w:szCs w:val="20"/>
                <w:color w:val="auto"/>
              </w:rPr>
            </w:pPr>
          </w:p>
        </w:tc>
        <w:tc>
          <w:tcPr>
            <w:tcW w:w="1060" w:type="dxa"/>
            <w:vAlign w:val="bottom"/>
          </w:tcPr>
          <w:p>
            <w:pPr>
              <w:jc w:val="right"/>
              <w:ind w:right="95"/>
              <w:spacing w:after="0"/>
              <w:rPr>
                <w:sz w:val="20"/>
                <w:szCs w:val="20"/>
                <w:color w:val="auto"/>
              </w:rPr>
            </w:pPr>
            <w:r>
              <w:rPr>
                <w:rFonts w:ascii="Arial" w:cs="Arial" w:eastAsia="Arial" w:hAnsi="Arial"/>
                <w:sz w:val="17"/>
                <w:szCs w:val="17"/>
                <w:color w:val="auto"/>
              </w:rPr>
              <w:t>(5,322)</w:t>
            </w:r>
          </w:p>
        </w:tc>
        <w:tc>
          <w:tcPr>
            <w:tcW w:w="120" w:type="dxa"/>
            <w:vAlign w:val="bottom"/>
          </w:tcPr>
          <w:p>
            <w:pPr>
              <w:spacing w:after="0"/>
              <w:rPr>
                <w:sz w:val="20"/>
                <w:szCs w:val="20"/>
                <w:color w:val="auto"/>
              </w:rPr>
            </w:pP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786</w:t>
            </w:r>
          </w:p>
        </w:tc>
        <w:tc>
          <w:tcPr>
            <w:tcW w:w="160" w:type="dxa"/>
            <w:vAlign w:val="bottom"/>
          </w:tcPr>
          <w:p>
            <w:pPr>
              <w:spacing w:after="0"/>
              <w:rPr>
                <w:sz w:val="20"/>
                <w:szCs w:val="20"/>
                <w:color w:val="auto"/>
              </w:rPr>
            </w:pPr>
          </w:p>
        </w:tc>
        <w:tc>
          <w:tcPr>
            <w:tcW w:w="800" w:type="dxa"/>
            <w:vAlign w:val="bottom"/>
          </w:tcPr>
          <w:p>
            <w:pPr>
              <w:jc w:val="right"/>
              <w:ind w:right="155"/>
              <w:spacing w:after="0"/>
              <w:rPr>
                <w:sz w:val="20"/>
                <w:szCs w:val="20"/>
                <w:color w:val="auto"/>
              </w:rPr>
            </w:pPr>
            <w:r>
              <w:rPr>
                <w:rFonts w:ascii="Arial" w:cs="Arial" w:eastAsia="Arial" w:hAnsi="Arial"/>
                <w:sz w:val="17"/>
                <w:szCs w:val="17"/>
                <w:color w:val="auto"/>
              </w:rPr>
              <w:t>127</w:t>
            </w:r>
          </w:p>
        </w:tc>
        <w:tc>
          <w:tcPr>
            <w:tcW w:w="140" w:type="dxa"/>
            <w:vAlign w:val="bottom"/>
          </w:tcPr>
          <w:p>
            <w:pPr>
              <w:spacing w:after="0"/>
              <w:rPr>
                <w:sz w:val="20"/>
                <w:szCs w:val="20"/>
                <w:color w:val="auto"/>
              </w:rPr>
            </w:pP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290</w:t>
            </w:r>
          </w:p>
        </w:tc>
        <w:tc>
          <w:tcPr>
            <w:tcW w:w="140" w:type="dxa"/>
            <w:vAlign w:val="bottom"/>
          </w:tcPr>
          <w:p>
            <w:pPr>
              <w:spacing w:after="0"/>
              <w:rPr>
                <w:sz w:val="20"/>
                <w:szCs w:val="20"/>
                <w:color w:val="auto"/>
              </w:rPr>
            </w:pPr>
          </w:p>
        </w:tc>
        <w:tc>
          <w:tcPr>
            <w:tcW w:w="820" w:type="dxa"/>
            <w:vAlign w:val="bottom"/>
          </w:tcPr>
          <w:p>
            <w:pPr>
              <w:jc w:val="right"/>
              <w:ind w:right="155"/>
              <w:spacing w:after="0"/>
              <w:rPr>
                <w:sz w:val="20"/>
                <w:szCs w:val="20"/>
                <w:color w:val="auto"/>
              </w:rPr>
            </w:pPr>
            <w:r>
              <w:rPr>
                <w:rFonts w:ascii="Arial" w:cs="Arial" w:eastAsia="Arial" w:hAnsi="Arial"/>
                <w:sz w:val="17"/>
                <w:szCs w:val="17"/>
                <w:color w:val="auto"/>
              </w:rPr>
              <w:t>1,963</w:t>
            </w:r>
          </w:p>
        </w:tc>
        <w:tc>
          <w:tcPr>
            <w:tcW w:w="0" w:type="dxa"/>
            <w:vAlign w:val="bottom"/>
          </w:tcPr>
          <w:p>
            <w:pPr>
              <w:spacing w:after="0"/>
              <w:rPr>
                <w:sz w:val="1"/>
                <w:szCs w:val="1"/>
                <w:color w:val="auto"/>
              </w:rPr>
            </w:pPr>
          </w:p>
        </w:tc>
      </w:tr>
      <w:tr>
        <w:trPr>
          <w:trHeight w:val="31"/>
        </w:trPr>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(22)</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(69)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(189)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(191)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Diluted Income (Loss) Per Share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Attributable to Weatherford:</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180" w:type="dxa"/>
            <w:vAlign w:val="bottom"/>
          </w:tcPr>
          <w:p>
            <w:pPr>
              <w:ind w:left="20"/>
              <w:spacing w:after="0"/>
              <w:rPr>
                <w:sz w:val="20"/>
                <w:szCs w:val="20"/>
                <w:color w:val="auto"/>
              </w:rPr>
            </w:pPr>
            <w:r>
              <w:rPr>
                <w:rFonts w:ascii="Arial" w:cs="Arial" w:eastAsia="Arial" w:hAnsi="Arial"/>
                <w:sz w:val="17"/>
                <w:szCs w:val="17"/>
                <w:color w:val="auto"/>
              </w:rPr>
              <w:t>GAAP Diluted Income (Loss) per Share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(0.37)</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54"/>
              <w:spacing w:after="0"/>
              <w:rPr>
                <w:sz w:val="20"/>
                <w:szCs w:val="20"/>
                <w:color w:val="auto"/>
              </w:rPr>
            </w:pPr>
            <w:r>
              <w:rPr>
                <w:rFonts w:ascii="Arial" w:cs="Arial" w:eastAsia="Arial" w:hAnsi="Arial"/>
                <w:sz w:val="17"/>
                <w:szCs w:val="17"/>
                <w:color w:val="auto"/>
              </w:rPr>
              <w:t>5.26</w:t>
            </w:r>
          </w:p>
        </w:tc>
        <w:tc>
          <w:tcPr>
            <w:tcW w:w="120" w:type="dxa"/>
            <w:vAlign w:val="bottom"/>
          </w:tcPr>
          <w:p>
            <w:pPr>
              <w:spacing w:after="0"/>
              <w:rPr>
                <w:sz w:val="20"/>
                <w:szCs w:val="20"/>
                <w:color w:val="auto"/>
              </w:rPr>
            </w:pPr>
          </w:p>
        </w:tc>
        <w:tc>
          <w:tcPr>
            <w:tcW w:w="1060" w:type="dxa"/>
            <w:vAlign w:val="bottom"/>
          </w:tcPr>
          <w:p>
            <w:pPr>
              <w:jc w:val="right"/>
              <w:ind w:right="155"/>
              <w:spacing w:after="0"/>
              <w:rPr>
                <w:sz w:val="20"/>
                <w:szCs w:val="20"/>
                <w:color w:val="auto"/>
              </w:rPr>
            </w:pPr>
            <w:r>
              <w:rPr>
                <w:rFonts w:ascii="Arial" w:cs="Arial" w:eastAsia="Arial" w:hAnsi="Arial"/>
                <w:sz w:val="17"/>
                <w:szCs w:val="17"/>
                <w:color w:val="auto"/>
              </w:rPr>
              <w:t>n/a</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(0.82)</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95"/>
              <w:spacing w:after="0"/>
              <w:rPr>
                <w:sz w:val="20"/>
                <w:szCs w:val="20"/>
                <w:color w:val="auto"/>
              </w:rPr>
            </w:pPr>
            <w:r>
              <w:rPr>
                <w:rFonts w:ascii="Arial" w:cs="Arial" w:eastAsia="Arial" w:hAnsi="Arial"/>
                <w:sz w:val="17"/>
                <w:szCs w:val="17"/>
                <w:color w:val="auto"/>
              </w:rPr>
              <w:t>(0.31)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95"/>
              <w:spacing w:after="0"/>
              <w:rPr>
                <w:sz w:val="20"/>
                <w:szCs w:val="20"/>
                <w:color w:val="auto"/>
              </w:rPr>
            </w:pPr>
            <w:r>
              <w:rPr>
                <w:rFonts w:ascii="Arial" w:cs="Arial" w:eastAsia="Arial" w:hAnsi="Arial"/>
                <w:sz w:val="17"/>
                <w:szCs w:val="17"/>
                <w:color w:val="auto"/>
              </w:rPr>
              <w:t>(0.48)</w:t>
            </w:r>
          </w:p>
        </w:tc>
        <w:tc>
          <w:tcPr>
            <w:tcW w:w="140" w:type="dxa"/>
            <w:vAlign w:val="bottom"/>
          </w:tcPr>
          <w:p>
            <w:pPr>
              <w:jc w:val="right"/>
              <w:spacing w:after="0"/>
              <w:rPr>
                <w:sz w:val="20"/>
                <w:szCs w:val="20"/>
                <w:color w:val="auto"/>
              </w:rPr>
            </w:pPr>
            <w:r>
              <w:rPr>
                <w:rFonts w:ascii="Arial" w:cs="Arial" w:eastAsia="Arial" w:hAnsi="Arial"/>
                <w:sz w:val="17"/>
                <w:szCs w:val="17"/>
                <w:color w:val="2C2C2C"/>
              </w:rPr>
              <w:t>$</w:t>
            </w:r>
          </w:p>
        </w:tc>
        <w:tc>
          <w:tcPr>
            <w:tcW w:w="820" w:type="dxa"/>
            <w:vAlign w:val="bottom"/>
          </w:tcPr>
          <w:p>
            <w:pPr>
              <w:jc w:val="right"/>
              <w:ind w:right="95"/>
              <w:spacing w:after="0"/>
              <w:rPr>
                <w:sz w:val="20"/>
                <w:szCs w:val="20"/>
                <w:color w:val="auto"/>
              </w:rPr>
            </w:pPr>
            <w:r>
              <w:rPr>
                <w:rFonts w:ascii="Arial" w:cs="Arial" w:eastAsia="Arial" w:hAnsi="Arial"/>
                <w:sz w:val="17"/>
                <w:szCs w:val="17"/>
                <w:color w:val="2C2C2C"/>
              </w:rPr>
              <w:t>(2.10)</w:t>
            </w:r>
          </w:p>
        </w:tc>
        <w:tc>
          <w:tcPr>
            <w:tcW w:w="0" w:type="dxa"/>
            <w:vAlign w:val="bottom"/>
          </w:tcPr>
          <w:p>
            <w:pPr>
              <w:spacing w:after="0"/>
              <w:rPr>
                <w:sz w:val="1"/>
                <w:szCs w:val="1"/>
                <w:color w:val="auto"/>
              </w:rPr>
            </w:pPr>
          </w:p>
        </w:tc>
      </w:tr>
      <w:tr>
        <w:trPr>
          <w:trHeight w:val="31"/>
        </w:trPr>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Non-GAAP Adjustments,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0.06</w:t>
            </w:r>
          </w:p>
        </w:tc>
        <w:tc>
          <w:tcPr>
            <w:tcW w:w="26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(5.31)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n/a</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0.79</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0.12</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0.29</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84"/>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Non-GAAP Diluted Loss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(0.31)</w:t>
            </w:r>
          </w:p>
        </w:tc>
        <w:tc>
          <w:tcPr>
            <w:tcW w:w="26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rPr>
              <w:t>(0.05)</w:t>
            </w:r>
          </w:p>
        </w:tc>
        <w:tc>
          <w:tcPr>
            <w:tcW w:w="1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rPr>
              <w:t>n/a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(0.03)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163"/>
        </w:trPr>
        <w:tc>
          <w:tcPr>
            <w:tcW w:w="3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3180" w:type="dxa"/>
            <w:vAlign w:val="bottom"/>
          </w:tcPr>
          <w:p>
            <w:pPr>
              <w:ind w:left="20"/>
              <w:spacing w:after="0" w:line="293" w:lineRule="exact"/>
              <w:rPr>
                <w:sz w:val="20"/>
                <w:szCs w:val="20"/>
                <w:color w:val="auto"/>
              </w:rPr>
            </w:pPr>
            <w:r>
              <w:rPr>
                <w:rFonts w:ascii="Arial" w:cs="Arial" w:eastAsia="Arial" w:hAnsi="Arial"/>
                <w:sz w:val="17"/>
                <w:szCs w:val="17"/>
                <w:color w:val="auto"/>
              </w:rPr>
              <w:t xml:space="preserve">GAAP Effective Tax Rate </w:t>
            </w:r>
            <w:r>
              <w:rPr>
                <w:rFonts w:ascii="Arial" w:cs="Arial" w:eastAsia="Arial" w:hAnsi="Arial"/>
                <w:sz w:val="28"/>
                <w:szCs w:val="28"/>
                <w:color w:val="auto"/>
                <w:vertAlign w:val="superscript"/>
              </w:rPr>
              <w:t>(g)</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1 %</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1 %</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line="243" w:lineRule="exact"/>
              <w:rPr>
                <w:sz w:val="20"/>
                <w:szCs w:val="20"/>
                <w:color w:val="auto"/>
              </w:rPr>
            </w:pPr>
            <w:r>
              <w:rPr>
                <w:rFonts w:ascii="Arial" w:cs="Arial" w:eastAsia="Arial" w:hAnsi="Arial"/>
                <w:sz w:val="17"/>
                <w:szCs w:val="17"/>
                <w:color w:val="auto"/>
              </w:rPr>
              <w:t xml:space="preserve">Non-GAAP Effective Tax Rate </w:t>
            </w:r>
            <w:r>
              <w:rPr>
                <w:rFonts w:ascii="Arial" w:cs="Arial" w:eastAsia="Arial" w:hAnsi="Arial"/>
                <w:sz w:val="28"/>
                <w:szCs w:val="28"/>
                <w:color w:val="auto"/>
                <w:vertAlign w:val="superscript"/>
              </w:rPr>
              <w:t>(h)</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(82)%</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(1,167)%</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(314)%</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bl>
    <w:p>
      <w:pPr>
        <w:ind w:left="420" w:hanging="250"/>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goodwill impairment after a fair value assessment of our business and assets for the periods presented.</w:t>
      </w:r>
    </w:p>
    <w:p>
      <w:pPr>
        <w:ind w:left="420" w:hanging="250"/>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restructuring, facility consolidation and severance costs for the periods presented.</w:t>
      </w:r>
    </w:p>
    <w:p>
      <w:pPr>
        <w:ind w:left="420" w:hanging="250"/>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fourth quarter of 2018 primarily included asset write-downs related to land drilling rigs held for sale, partially offset by gains on property sales.</w:t>
      </w:r>
    </w:p>
    <w:p>
      <w:pPr>
        <w:ind w:left="420" w:hanging="250"/>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Primarily included asset write-downs and inventory charges, partially offset by a gain on purchase of a joint venture remaining interest.</w:t>
      </w:r>
    </w:p>
    <w:p>
      <w:pPr>
        <w:ind w:left="420" w:hanging="250"/>
        <w:spacing w:after="0"/>
        <w:tabs>
          <w:tab w:leader="none" w:pos="420" w:val="left"/>
        </w:tabs>
        <w:numPr>
          <w:ilvl w:val="0"/>
          <w:numId w:val="13"/>
        </w:numPr>
        <w:rPr>
          <w:rFonts w:ascii="Arial" w:cs="Arial" w:eastAsia="Arial" w:hAnsi="Arial"/>
          <w:sz w:val="10"/>
          <w:szCs w:val="10"/>
          <w:color w:val="auto"/>
        </w:rPr>
      </w:pPr>
      <w:r>
        <w:rPr>
          <w:rFonts w:ascii="Arial" w:cs="Arial" w:eastAsia="Arial" w:hAnsi="Arial"/>
          <w:sz w:val="10"/>
          <w:szCs w:val="10"/>
          <w:color w:val="auto"/>
        </w:rPr>
        <w:t>Primarily from the gain on settlement of liabilities subject to compromise and fresh start valuation adjustments in the fourth quarter of 2019 and unamortized debt issuance and other fees in the third quarter of 2019.</w:t>
      </w:r>
    </w:p>
    <w:p>
      <w:pPr>
        <w:spacing w:after="0" w:line="33" w:lineRule="exact"/>
        <w:rPr>
          <w:rFonts w:ascii="Arial" w:cs="Arial" w:eastAsia="Arial" w:hAnsi="Arial"/>
          <w:sz w:val="10"/>
          <w:szCs w:val="10"/>
          <w:color w:val="auto"/>
        </w:rPr>
      </w:pPr>
    </w:p>
    <w:p>
      <w:pPr>
        <w:ind w:left="420" w:hanging="250"/>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bond tender premium on redemption of senior notes, currency devaluations on the Angolan kwanza and warrant valuation adjustments.</w:t>
      </w:r>
    </w:p>
    <w:p>
      <w:pPr>
        <w:ind w:left="420" w:hanging="250"/>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GAAP Effective Tax Rate is the GAAP provision for income taxes divided by GAAP income before income taxes and calculated in thousands.</w:t>
      </w:r>
    </w:p>
    <w:p>
      <w:pPr>
        <w:ind w:left="420" w:hanging="250"/>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Non-GAAP Effective Tax Rate is the Non-GAAP provision for income taxes divided by Non-GAAP income before income taxes and calculated in thousands.</w:t>
      </w:r>
    </w:p>
    <w:p>
      <w:pPr>
        <w:sectPr>
          <w:pgSz w:w="11900" w:h="16838" w:orient="portrait"/>
          <w:cols w:equalWidth="0" w:num="1">
            <w:col w:w="11240"/>
          </w:cols>
          <w:pgMar w:left="320" w:top="554" w:right="33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554" w:right="339" w:bottom="1440" w:gutter="0" w:footer="0" w:header="0"/>
          <w:type w:val="continuous"/>
        </w:sectPr>
      </w:pPr>
    </w:p>
    <w:bookmarkStart w:id="17" w:name="page18"/>
    <w:bookmarkEnd w:id="17"/>
    <w:p>
      <w:pPr>
        <w:jc w:val="center"/>
        <w:ind w:right="-51"/>
        <w:spacing w:after="0"/>
        <w:rPr>
          <w:sz w:val="20"/>
          <w:szCs w:val="20"/>
          <w:color w:val="auto"/>
        </w:rPr>
      </w:pPr>
      <w:r>
        <w:rPr>
          <w:rFonts w:ascii="Arial" w:cs="Arial" w:eastAsia="Arial" w:hAnsi="Arial"/>
          <w:sz w:val="17"/>
          <w:szCs w:val="17"/>
          <w:b w:val="1"/>
          <w:bCs w:val="1"/>
          <w:color w:val="auto"/>
        </w:rPr>
        <w:t>Weatherford International plc</w:t>
      </w:r>
    </w:p>
    <w:p>
      <w:pPr>
        <w:spacing w:after="0" w:line="61" w:lineRule="exact"/>
        <w:rPr>
          <w:sz w:val="20"/>
          <w:szCs w:val="20"/>
          <w:color w:val="auto"/>
        </w:rPr>
      </w:pPr>
    </w:p>
    <w:p>
      <w:pPr>
        <w:jc w:val="center"/>
        <w:ind w:right="-51"/>
        <w:spacing w:after="0"/>
        <w:rPr>
          <w:sz w:val="20"/>
          <w:szCs w:val="20"/>
          <w:color w:val="auto"/>
        </w:rPr>
      </w:pPr>
      <w:r>
        <w:rPr>
          <w:rFonts w:ascii="Arial" w:cs="Arial" w:eastAsia="Arial" w:hAnsi="Arial"/>
          <w:sz w:val="17"/>
          <w:szCs w:val="17"/>
          <w:b w:val="1"/>
          <w:bCs w:val="1"/>
          <w:color w:val="auto"/>
        </w:rPr>
        <w:t>Full Year Reconciliation of GAAP to Non-GAAP Financial Measures (Unaudited)</w:t>
      </w:r>
    </w:p>
    <w:p>
      <w:pPr>
        <w:spacing w:after="0" w:line="65" w:lineRule="exact"/>
        <w:rPr>
          <w:sz w:val="20"/>
          <w:szCs w:val="20"/>
          <w:color w:val="auto"/>
        </w:rPr>
      </w:pPr>
    </w:p>
    <w:p>
      <w:pPr>
        <w:jc w:val="center"/>
        <w:ind w:right="-51"/>
        <w:spacing w:after="0"/>
        <w:rPr>
          <w:sz w:val="20"/>
          <w:szCs w:val="20"/>
          <w:color w:val="auto"/>
        </w:rPr>
      </w:pPr>
      <w:r>
        <w:rPr>
          <w:rFonts w:ascii="Arial" w:cs="Arial" w:eastAsia="Arial" w:hAnsi="Arial"/>
          <w:sz w:val="17"/>
          <w:szCs w:val="17"/>
          <w:i w:val="1"/>
          <w:iCs w:val="1"/>
          <w:color w:val="auto"/>
        </w:rPr>
        <w:t>($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109855</wp:posOffset>
            </wp:positionV>
            <wp:extent cx="7063740" cy="6875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63740" cy="6875145"/>
                    </a:xfrm>
                    <a:prstGeom prst="rect">
                      <a:avLst/>
                    </a:prstGeom>
                    <a:noFill/>
                  </pic:spPr>
                </pic:pic>
              </a:graphicData>
            </a:graphic>
          </wp:anchor>
        </w:drawing>
      </w:r>
    </w:p>
    <w:p>
      <w:pPr>
        <w:spacing w:after="0" w:line="172" w:lineRule="exact"/>
        <w:rPr>
          <w:sz w:val="20"/>
          <w:szCs w:val="20"/>
          <w:color w:val="auto"/>
        </w:rPr>
      </w:pPr>
    </w:p>
    <w:tbl>
      <w:tblPr>
        <w:tblLayout w:type="fixed"/>
        <w:tblInd w:w="52"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3"/>
              </w:rPr>
              <w:t>Successor</w:t>
            </w:r>
          </w:p>
        </w:tc>
        <w:tc>
          <w:tcPr>
            <w:tcW w:w="180" w:type="dxa"/>
            <w:vAlign w:val="bottom"/>
          </w:tcPr>
          <w:p>
            <w:pPr>
              <w:spacing w:after="0"/>
              <w:rPr>
                <w:sz w:val="19"/>
                <w:szCs w:val="19"/>
                <w:color w:val="auto"/>
              </w:rPr>
            </w:pPr>
          </w:p>
        </w:tc>
        <w:tc>
          <w:tcPr>
            <w:tcW w:w="1260" w:type="dxa"/>
            <w:vAlign w:val="bottom"/>
          </w:tcPr>
          <w:p>
            <w:pPr>
              <w:jc w:val="center"/>
              <w:ind w:right="114"/>
              <w:spacing w:after="0"/>
              <w:rPr>
                <w:sz w:val="20"/>
                <w:szCs w:val="20"/>
                <w:color w:val="auto"/>
              </w:rPr>
            </w:pPr>
            <w:r>
              <w:rPr>
                <w:rFonts w:ascii="Arial" w:cs="Arial" w:eastAsia="Arial" w:hAnsi="Arial"/>
                <w:sz w:val="17"/>
                <w:szCs w:val="17"/>
                <w:b w:val="1"/>
                <w:bCs w:val="1"/>
                <w:color w:val="auto"/>
                <w:w w:val="84"/>
              </w:rPr>
              <w:t>Predecessor</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center"/>
              <w:ind w:right="75"/>
              <w:spacing w:after="0"/>
              <w:rPr>
                <w:sz w:val="20"/>
                <w:szCs w:val="20"/>
                <w:color w:val="auto"/>
              </w:rPr>
            </w:pPr>
            <w:r>
              <w:rPr>
                <w:rFonts w:ascii="Arial" w:cs="Arial" w:eastAsia="Arial" w:hAnsi="Arial"/>
                <w:sz w:val="17"/>
                <w:szCs w:val="17"/>
                <w:b w:val="1"/>
                <w:bCs w:val="1"/>
                <w:color w:val="auto"/>
                <w:w w:val="86"/>
              </w:rPr>
              <w:t>Predecessor</w:t>
            </w:r>
          </w:p>
        </w:tc>
        <w:tc>
          <w:tcPr>
            <w:tcW w:w="0" w:type="dxa"/>
            <w:vAlign w:val="bottom"/>
          </w:tcPr>
          <w:p>
            <w:pPr>
              <w:spacing w:after="0"/>
              <w:rPr>
                <w:sz w:val="1"/>
                <w:szCs w:val="1"/>
                <w:color w:val="auto"/>
              </w:rPr>
            </w:pPr>
          </w:p>
        </w:tc>
      </w:tr>
      <w:tr>
        <w:trPr>
          <w:trHeight w:val="31"/>
        </w:trPr>
        <w:tc>
          <w:tcPr>
            <w:tcW w:w="5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1"/>
              </w:rPr>
              <w:t>Period From</w:t>
            </w:r>
          </w:p>
        </w:tc>
        <w:tc>
          <w:tcPr>
            <w:tcW w:w="180" w:type="dxa"/>
            <w:vAlign w:val="bottom"/>
          </w:tcPr>
          <w:p>
            <w:pPr>
              <w:spacing w:after="0"/>
              <w:rPr>
                <w:sz w:val="20"/>
                <w:szCs w:val="20"/>
                <w:color w:val="auto"/>
              </w:rPr>
            </w:pPr>
          </w:p>
        </w:tc>
        <w:tc>
          <w:tcPr>
            <w:tcW w:w="1260" w:type="dxa"/>
            <w:vAlign w:val="bottom"/>
          </w:tcPr>
          <w:p>
            <w:pPr>
              <w:jc w:val="center"/>
              <w:ind w:right="114"/>
              <w:spacing w:after="0"/>
              <w:rPr>
                <w:sz w:val="20"/>
                <w:szCs w:val="20"/>
                <w:color w:val="auto"/>
              </w:rPr>
            </w:pPr>
            <w:r>
              <w:rPr>
                <w:rFonts w:ascii="Arial" w:cs="Arial" w:eastAsia="Arial" w:hAnsi="Arial"/>
                <w:sz w:val="17"/>
                <w:szCs w:val="17"/>
                <w:b w:val="1"/>
                <w:bCs w:val="1"/>
                <w:color w:val="auto"/>
                <w:w w:val="93"/>
              </w:rPr>
              <w:t>Period From</w:t>
            </w:r>
          </w:p>
        </w:tc>
        <w:tc>
          <w:tcPr>
            <w:tcW w:w="200" w:type="dxa"/>
            <w:vAlign w:val="bottom"/>
          </w:tcPr>
          <w:p>
            <w:pPr>
              <w:spacing w:after="0"/>
              <w:rPr>
                <w:sz w:val="20"/>
                <w:szCs w:val="20"/>
                <w:color w:val="auto"/>
              </w:rPr>
            </w:pPr>
          </w:p>
        </w:tc>
        <w:tc>
          <w:tcPr>
            <w:tcW w:w="1220" w:type="dxa"/>
            <w:vAlign w:val="bottom"/>
          </w:tcPr>
          <w:p>
            <w:pPr>
              <w:jc w:val="center"/>
              <w:ind w:right="135"/>
              <w:spacing w:after="0"/>
              <w:rPr>
                <w:sz w:val="20"/>
                <w:szCs w:val="20"/>
                <w:color w:val="auto"/>
              </w:rPr>
            </w:pPr>
            <w:r>
              <w:rPr>
                <w:rFonts w:ascii="Arial" w:cs="Arial" w:eastAsia="Arial" w:hAnsi="Arial"/>
                <w:sz w:val="17"/>
                <w:szCs w:val="17"/>
                <w:b w:val="1"/>
                <w:bCs w:val="1"/>
                <w:color w:val="auto"/>
                <w:w w:val="95"/>
              </w:rPr>
              <w:t>Non-GAAP</w:t>
            </w:r>
          </w:p>
        </w:tc>
        <w:tc>
          <w:tcPr>
            <w:tcW w:w="280" w:type="dxa"/>
            <w:vAlign w:val="bottom"/>
          </w:tcPr>
          <w:p>
            <w:pPr>
              <w:spacing w:after="0"/>
              <w:rPr>
                <w:sz w:val="20"/>
                <w:szCs w:val="20"/>
                <w:color w:val="auto"/>
              </w:rPr>
            </w:pPr>
          </w:p>
        </w:tc>
        <w:tc>
          <w:tcPr>
            <w:tcW w:w="1160" w:type="dxa"/>
            <w:vAlign w:val="bottom"/>
          </w:tcPr>
          <w:p>
            <w:pPr>
              <w:jc w:val="center"/>
              <w:ind w:right="95"/>
              <w:spacing w:after="0"/>
              <w:rPr>
                <w:sz w:val="20"/>
                <w:szCs w:val="20"/>
                <w:color w:val="auto"/>
              </w:rPr>
            </w:pPr>
            <w:r>
              <w:rPr>
                <w:rFonts w:ascii="Arial" w:cs="Arial" w:eastAsia="Arial" w:hAnsi="Arial"/>
                <w:sz w:val="17"/>
                <w:szCs w:val="17"/>
                <w:b w:val="1"/>
                <w:bCs w:val="1"/>
                <w:color w:val="auto"/>
                <w:w w:val="92"/>
              </w:rPr>
              <w:t>Year</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1"/>
              </w:rPr>
              <w:t>12/14/19 to</w:t>
            </w:r>
          </w:p>
        </w:tc>
        <w:tc>
          <w:tcPr>
            <w:tcW w:w="180" w:type="dxa"/>
            <w:vAlign w:val="bottom"/>
          </w:tcPr>
          <w:p>
            <w:pPr>
              <w:spacing w:after="0"/>
              <w:rPr>
                <w:sz w:val="23"/>
                <w:szCs w:val="23"/>
                <w:color w:val="auto"/>
              </w:rPr>
            </w:pPr>
          </w:p>
        </w:tc>
        <w:tc>
          <w:tcPr>
            <w:tcW w:w="1260" w:type="dxa"/>
            <w:vAlign w:val="bottom"/>
          </w:tcPr>
          <w:p>
            <w:pPr>
              <w:jc w:val="center"/>
              <w:ind w:right="94"/>
              <w:spacing w:after="0"/>
              <w:rPr>
                <w:sz w:val="20"/>
                <w:szCs w:val="20"/>
                <w:color w:val="auto"/>
              </w:rPr>
            </w:pPr>
            <w:r>
              <w:rPr>
                <w:rFonts w:ascii="Arial" w:cs="Arial" w:eastAsia="Arial" w:hAnsi="Arial"/>
                <w:sz w:val="17"/>
                <w:szCs w:val="17"/>
                <w:b w:val="1"/>
                <w:bCs w:val="1"/>
                <w:color w:val="auto"/>
                <w:w w:val="91"/>
              </w:rPr>
              <w:t>01/01/19 to</w:t>
            </w:r>
          </w:p>
        </w:tc>
        <w:tc>
          <w:tcPr>
            <w:tcW w:w="200" w:type="dxa"/>
            <w:vAlign w:val="bottom"/>
          </w:tcPr>
          <w:p>
            <w:pPr>
              <w:spacing w:after="0"/>
              <w:rPr>
                <w:sz w:val="23"/>
                <w:szCs w:val="23"/>
                <w:color w:val="auto"/>
              </w:rPr>
            </w:pPr>
          </w:p>
        </w:tc>
        <w:tc>
          <w:tcPr>
            <w:tcW w:w="1220" w:type="dxa"/>
            <w:vAlign w:val="bottom"/>
          </w:tcPr>
          <w:p>
            <w:pPr>
              <w:jc w:val="center"/>
              <w:ind w:right="135"/>
              <w:spacing w:after="0"/>
              <w:rPr>
                <w:sz w:val="20"/>
                <w:szCs w:val="20"/>
                <w:color w:val="auto"/>
              </w:rPr>
            </w:pPr>
            <w:r>
              <w:rPr>
                <w:rFonts w:ascii="Arial" w:cs="Arial" w:eastAsia="Arial" w:hAnsi="Arial"/>
                <w:sz w:val="17"/>
                <w:szCs w:val="17"/>
                <w:b w:val="1"/>
                <w:bCs w:val="1"/>
                <w:color w:val="auto"/>
                <w:w w:val="91"/>
              </w:rPr>
              <w:t>Combined</w:t>
            </w:r>
          </w:p>
        </w:tc>
        <w:tc>
          <w:tcPr>
            <w:tcW w:w="280" w:type="dxa"/>
            <w:vAlign w:val="bottom"/>
          </w:tcPr>
          <w:p>
            <w:pPr>
              <w:spacing w:after="0"/>
              <w:rPr>
                <w:sz w:val="23"/>
                <w:szCs w:val="23"/>
                <w:color w:val="auto"/>
              </w:rPr>
            </w:pPr>
          </w:p>
        </w:tc>
        <w:tc>
          <w:tcPr>
            <w:tcW w:w="1160" w:type="dxa"/>
            <w:vAlign w:val="bottom"/>
          </w:tcPr>
          <w:p>
            <w:pPr>
              <w:jc w:val="center"/>
              <w:ind w:right="75"/>
              <w:spacing w:after="0"/>
              <w:rPr>
                <w:sz w:val="20"/>
                <w:szCs w:val="20"/>
                <w:color w:val="auto"/>
              </w:rPr>
            </w:pPr>
            <w:r>
              <w:rPr>
                <w:rFonts w:ascii="Arial" w:cs="Arial" w:eastAsia="Arial" w:hAnsi="Arial"/>
                <w:sz w:val="17"/>
                <w:szCs w:val="17"/>
                <w:b w:val="1"/>
                <w:bCs w:val="1"/>
                <w:color w:val="auto"/>
                <w:w w:val="92"/>
              </w:rPr>
              <w:t>Ended</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center"/>
              <w:ind w:right="95"/>
              <w:spacing w:after="0"/>
              <w:rPr>
                <w:sz w:val="20"/>
                <w:szCs w:val="20"/>
                <w:color w:val="auto"/>
              </w:rPr>
            </w:pPr>
            <w:r>
              <w:rPr>
                <w:rFonts w:ascii="Arial" w:cs="Arial" w:eastAsia="Arial" w:hAnsi="Arial"/>
                <w:sz w:val="17"/>
                <w:szCs w:val="17"/>
                <w:b w:val="1"/>
                <w:bCs w:val="1"/>
                <w:color w:val="auto"/>
                <w:w w:val="90"/>
              </w:rPr>
              <w:t>12/31/19</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center"/>
              <w:ind w:right="94"/>
              <w:spacing w:after="0"/>
              <w:rPr>
                <w:sz w:val="20"/>
                <w:szCs w:val="20"/>
                <w:color w:val="auto"/>
              </w:rPr>
            </w:pPr>
            <w:r>
              <w:rPr>
                <w:rFonts w:ascii="Arial" w:cs="Arial" w:eastAsia="Arial" w:hAnsi="Arial"/>
                <w:sz w:val="17"/>
                <w:szCs w:val="17"/>
                <w:b w:val="1"/>
                <w:bCs w:val="1"/>
                <w:color w:val="auto"/>
                <w:w w:val="90"/>
              </w:rPr>
              <w:t>12/13/19</w:t>
            </w:r>
          </w:p>
        </w:tc>
        <w:tc>
          <w:tcPr>
            <w:tcW w:w="200" w:type="dxa"/>
            <w:vAlign w:val="bottom"/>
          </w:tcPr>
          <w:p>
            <w:pPr>
              <w:spacing w:after="0"/>
              <w:rPr>
                <w:sz w:val="23"/>
                <w:szCs w:val="23"/>
                <w:color w:val="auto"/>
              </w:rPr>
            </w:pPr>
          </w:p>
        </w:tc>
        <w:tc>
          <w:tcPr>
            <w:tcW w:w="1220" w:type="dxa"/>
            <w:vAlign w:val="bottom"/>
          </w:tcPr>
          <w:p>
            <w:pPr>
              <w:jc w:val="center"/>
              <w:ind w:right="115"/>
              <w:spacing w:after="0"/>
              <w:rPr>
                <w:sz w:val="20"/>
                <w:szCs w:val="20"/>
                <w:color w:val="auto"/>
              </w:rPr>
            </w:pPr>
            <w:r>
              <w:rPr>
                <w:rFonts w:ascii="Arial" w:cs="Arial" w:eastAsia="Arial" w:hAnsi="Arial"/>
                <w:sz w:val="17"/>
                <w:szCs w:val="17"/>
                <w:b w:val="1"/>
                <w:bCs w:val="1"/>
                <w:color w:val="auto"/>
                <w:w w:val="87"/>
              </w:rPr>
              <w:t>Results</w:t>
            </w:r>
          </w:p>
        </w:tc>
        <w:tc>
          <w:tcPr>
            <w:tcW w:w="280" w:type="dxa"/>
            <w:vAlign w:val="bottom"/>
          </w:tcPr>
          <w:p>
            <w:pPr>
              <w:spacing w:after="0"/>
              <w:rPr>
                <w:sz w:val="23"/>
                <w:szCs w:val="23"/>
                <w:color w:val="auto"/>
              </w:rPr>
            </w:pPr>
          </w:p>
        </w:tc>
        <w:tc>
          <w:tcPr>
            <w:tcW w:w="1160" w:type="dxa"/>
            <w:vAlign w:val="bottom"/>
          </w:tcPr>
          <w:p>
            <w:pPr>
              <w:jc w:val="center"/>
              <w:ind w:right="75"/>
              <w:spacing w:after="0"/>
              <w:rPr>
                <w:sz w:val="20"/>
                <w:szCs w:val="20"/>
                <w:color w:val="auto"/>
              </w:rPr>
            </w:pPr>
            <w:r>
              <w:rPr>
                <w:rFonts w:ascii="Arial" w:cs="Arial" w:eastAsia="Arial" w:hAnsi="Arial"/>
                <w:sz w:val="17"/>
                <w:szCs w:val="17"/>
                <w:b w:val="1"/>
                <w:bCs w:val="1"/>
                <w:color w:val="auto"/>
                <w:w w:val="90"/>
              </w:rPr>
              <w:t>12/31/18</w:t>
            </w:r>
          </w:p>
        </w:tc>
        <w:tc>
          <w:tcPr>
            <w:tcW w:w="0" w:type="dxa"/>
            <w:vAlign w:val="bottom"/>
          </w:tcPr>
          <w:p>
            <w:pPr>
              <w:spacing w:after="0"/>
              <w:rPr>
                <w:sz w:val="1"/>
                <w:szCs w:val="1"/>
                <w:color w:val="auto"/>
              </w:rPr>
            </w:pPr>
          </w:p>
        </w:tc>
      </w:tr>
      <w:tr>
        <w:trPr>
          <w:trHeight w:val="31"/>
        </w:trPr>
        <w:tc>
          <w:tcPr>
            <w:tcW w:w="51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Operating Income (Loss):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GAAP Operating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(1,182)</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(1,181)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C2C2C"/>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2C2C2C"/>
              </w:rPr>
              <w:t>(2,084)</w:t>
            </w:r>
          </w:p>
        </w:tc>
        <w:tc>
          <w:tcPr>
            <w:tcW w:w="0" w:type="dxa"/>
            <w:vAlign w:val="bottom"/>
          </w:tcPr>
          <w:p>
            <w:pPr>
              <w:spacing w:after="0"/>
              <w:rPr>
                <w:sz w:val="1"/>
                <w:szCs w:val="1"/>
                <w:color w:val="auto"/>
              </w:rPr>
            </w:pPr>
          </w:p>
        </w:tc>
      </w:tr>
      <w:tr>
        <w:trPr>
          <w:trHeight w:val="270"/>
        </w:trPr>
        <w:tc>
          <w:tcPr>
            <w:tcW w:w="5180" w:type="dxa"/>
            <w:vAlign w:val="bottom"/>
          </w:tcPr>
          <w:p>
            <w:pPr>
              <w:ind w:left="160"/>
              <w:spacing w:after="0" w:line="270" w:lineRule="exact"/>
              <w:rPr>
                <w:sz w:val="20"/>
                <w:szCs w:val="20"/>
                <w:color w:val="auto"/>
              </w:rPr>
            </w:pPr>
            <w:r>
              <w:rPr>
                <w:rFonts w:ascii="Arial" w:cs="Arial" w:eastAsia="Arial" w:hAnsi="Arial"/>
                <w:sz w:val="17"/>
                <w:szCs w:val="17"/>
                <w:color w:val="auto"/>
              </w:rPr>
              <w:t xml:space="preserve">Goodwill Impairment </w:t>
            </w:r>
            <w:r>
              <w:rPr>
                <w:rFonts w:ascii="Arial" w:cs="Arial" w:eastAsia="Arial" w:hAnsi="Arial"/>
                <w:sz w:val="28"/>
                <w:szCs w:val="28"/>
                <w:color w:val="auto"/>
                <w:vertAlign w:val="superscript"/>
              </w:rPr>
              <w:t>(a)</w:t>
            </w:r>
          </w:p>
        </w:tc>
        <w:tc>
          <w:tcPr>
            <w:tcW w:w="180" w:type="dxa"/>
            <w:vAlign w:val="bottom"/>
          </w:tcPr>
          <w:p>
            <w:pPr>
              <w:spacing w:after="0"/>
              <w:rPr>
                <w:sz w:val="23"/>
                <w:szCs w:val="23"/>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3"/>
                <w:szCs w:val="23"/>
                <w:color w:val="auto"/>
              </w:rPr>
            </w:pPr>
          </w:p>
        </w:tc>
        <w:tc>
          <w:tcPr>
            <w:tcW w:w="1260" w:type="dxa"/>
            <w:vAlign w:val="bottom"/>
          </w:tcPr>
          <w:p>
            <w:pPr>
              <w:jc w:val="right"/>
              <w:ind w:right="154"/>
              <w:spacing w:after="0"/>
              <w:rPr>
                <w:sz w:val="20"/>
                <w:szCs w:val="20"/>
                <w:color w:val="auto"/>
              </w:rPr>
            </w:pPr>
            <w:r>
              <w:rPr>
                <w:rFonts w:ascii="Arial" w:cs="Arial" w:eastAsia="Arial" w:hAnsi="Arial"/>
                <w:sz w:val="17"/>
                <w:szCs w:val="17"/>
                <w:color w:val="auto"/>
              </w:rPr>
              <w:t>730</w:t>
            </w:r>
          </w:p>
        </w:tc>
        <w:tc>
          <w:tcPr>
            <w:tcW w:w="200" w:type="dxa"/>
            <w:vAlign w:val="bottom"/>
          </w:tcPr>
          <w:p>
            <w:pPr>
              <w:spacing w:after="0"/>
              <w:rPr>
                <w:sz w:val="23"/>
                <w:szCs w:val="23"/>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730</w:t>
            </w:r>
          </w:p>
        </w:tc>
        <w:tc>
          <w:tcPr>
            <w:tcW w:w="280" w:type="dxa"/>
            <w:vAlign w:val="bottom"/>
          </w:tcPr>
          <w:p>
            <w:pPr>
              <w:spacing w:after="0"/>
              <w:rPr>
                <w:sz w:val="23"/>
                <w:szCs w:val="23"/>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1,917</w:t>
            </w: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ind w:left="160"/>
              <w:spacing w:after="0" w:line="270" w:lineRule="exact"/>
              <w:rPr>
                <w:sz w:val="20"/>
                <w:szCs w:val="20"/>
                <w:color w:val="auto"/>
              </w:rPr>
            </w:pPr>
            <w:r>
              <w:rPr>
                <w:rFonts w:ascii="Arial" w:cs="Arial" w:eastAsia="Arial" w:hAnsi="Arial"/>
                <w:sz w:val="17"/>
                <w:szCs w:val="17"/>
                <w:color w:val="auto"/>
              </w:rPr>
              <w:t xml:space="preserve">Restructuring Charges </w:t>
            </w:r>
            <w:r>
              <w:rPr>
                <w:rFonts w:ascii="Arial" w:cs="Arial" w:eastAsia="Arial" w:hAnsi="Arial"/>
                <w:sz w:val="28"/>
                <w:szCs w:val="28"/>
                <w:color w:val="auto"/>
                <w:vertAlign w:val="superscript"/>
              </w:rPr>
              <w:t>(b)</w:t>
            </w:r>
          </w:p>
        </w:tc>
        <w:tc>
          <w:tcPr>
            <w:tcW w:w="18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189</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189</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70"/>
        </w:trPr>
        <w:tc>
          <w:tcPr>
            <w:tcW w:w="5180" w:type="dxa"/>
            <w:vAlign w:val="bottom"/>
          </w:tcPr>
          <w:p>
            <w:pPr>
              <w:ind w:left="160"/>
              <w:spacing w:after="0" w:line="270" w:lineRule="exact"/>
              <w:rPr>
                <w:sz w:val="20"/>
                <w:szCs w:val="20"/>
                <w:color w:val="auto"/>
              </w:rPr>
            </w:pPr>
            <w:r>
              <w:rPr>
                <w:rFonts w:ascii="Arial" w:cs="Arial" w:eastAsia="Arial" w:hAnsi="Arial"/>
                <w:sz w:val="17"/>
                <w:szCs w:val="17"/>
                <w:color w:val="auto"/>
              </w:rPr>
              <w:t xml:space="preserve">Asset Write-Downs and Other </w:t>
            </w:r>
            <w:r>
              <w:rPr>
                <w:rFonts w:ascii="Arial" w:cs="Arial" w:eastAsia="Arial" w:hAnsi="Arial"/>
                <w:sz w:val="28"/>
                <w:szCs w:val="28"/>
                <w:color w:val="auto"/>
                <w:vertAlign w:val="superscript"/>
              </w:rPr>
              <w:t>(c) (d)</w:t>
            </w:r>
          </w:p>
        </w:tc>
        <w:tc>
          <w:tcPr>
            <w:tcW w:w="180" w:type="dxa"/>
            <w:vAlign w:val="bottom"/>
          </w:tcPr>
          <w:p>
            <w:pPr>
              <w:spacing w:after="0"/>
              <w:rPr>
                <w:sz w:val="23"/>
                <w:szCs w:val="23"/>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3"/>
                <w:szCs w:val="23"/>
                <w:color w:val="auto"/>
              </w:rPr>
            </w:pPr>
          </w:p>
        </w:tc>
        <w:tc>
          <w:tcPr>
            <w:tcW w:w="1260" w:type="dxa"/>
            <w:vAlign w:val="bottom"/>
          </w:tcPr>
          <w:p>
            <w:pPr>
              <w:jc w:val="right"/>
              <w:ind w:right="154"/>
              <w:spacing w:after="0"/>
              <w:rPr>
                <w:sz w:val="20"/>
                <w:szCs w:val="20"/>
                <w:color w:val="auto"/>
              </w:rPr>
            </w:pPr>
            <w:r>
              <w:rPr>
                <w:rFonts w:ascii="Arial" w:cs="Arial" w:eastAsia="Arial" w:hAnsi="Arial"/>
                <w:sz w:val="17"/>
                <w:szCs w:val="17"/>
                <w:color w:val="auto"/>
              </w:rPr>
              <w:t>374</w:t>
            </w:r>
          </w:p>
        </w:tc>
        <w:tc>
          <w:tcPr>
            <w:tcW w:w="200" w:type="dxa"/>
            <w:vAlign w:val="bottom"/>
          </w:tcPr>
          <w:p>
            <w:pPr>
              <w:spacing w:after="0"/>
              <w:rPr>
                <w:sz w:val="23"/>
                <w:szCs w:val="23"/>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374</w:t>
            </w:r>
          </w:p>
        </w:tc>
        <w:tc>
          <w:tcPr>
            <w:tcW w:w="280" w:type="dxa"/>
            <w:vAlign w:val="bottom"/>
          </w:tcPr>
          <w:p>
            <w:pPr>
              <w:spacing w:after="0"/>
              <w:rPr>
                <w:sz w:val="23"/>
                <w:szCs w:val="23"/>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2C2C2C"/>
              </w:rPr>
              <w:t>238</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Prepetition Charges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86</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86</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2C2C2C"/>
              </w:rPr>
              <w:t>—</w:t>
            </w:r>
          </w:p>
        </w:tc>
        <w:tc>
          <w:tcPr>
            <w:tcW w:w="0" w:type="dxa"/>
            <w:vAlign w:val="bottom"/>
          </w:tcPr>
          <w:p>
            <w:pPr>
              <w:spacing w:after="0"/>
              <w:rPr>
                <w:sz w:val="1"/>
                <w:szCs w:val="1"/>
                <w:color w:val="auto"/>
              </w:rPr>
            </w:pPr>
          </w:p>
        </w:tc>
      </w:tr>
      <w:tr>
        <w:trPr>
          <w:trHeight w:val="239"/>
        </w:trPr>
        <w:tc>
          <w:tcPr>
            <w:tcW w:w="5180" w:type="dxa"/>
            <w:vAlign w:val="bottom"/>
          </w:tcPr>
          <w:p>
            <w:pPr>
              <w:ind w:left="160"/>
              <w:spacing w:after="0"/>
              <w:rPr>
                <w:sz w:val="20"/>
                <w:szCs w:val="20"/>
                <w:color w:val="auto"/>
              </w:rPr>
            </w:pPr>
            <w:r>
              <w:rPr>
                <w:rFonts w:ascii="Arial" w:cs="Arial" w:eastAsia="Arial" w:hAnsi="Arial"/>
                <w:sz w:val="17"/>
                <w:szCs w:val="17"/>
                <w:color w:val="auto"/>
              </w:rPr>
              <w:t>Gain on Sale of Operational Assets</w:t>
            </w:r>
          </w:p>
        </w:tc>
        <w:tc>
          <w:tcPr>
            <w:tcW w:w="18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(15)</w:t>
            </w:r>
          </w:p>
        </w:tc>
        <w:tc>
          <w:tcPr>
            <w:tcW w:w="200" w:type="dxa"/>
            <w:vAlign w:val="bottom"/>
          </w:tcPr>
          <w:p>
            <w:pPr>
              <w:spacing w:after="0"/>
              <w:rPr>
                <w:sz w:val="20"/>
                <w:szCs w:val="20"/>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(15)</w:t>
            </w:r>
          </w:p>
        </w:tc>
        <w:tc>
          <w:tcPr>
            <w:tcW w:w="280" w:type="dxa"/>
            <w:vAlign w:val="bottom"/>
          </w:tcPr>
          <w:p>
            <w:pPr>
              <w:spacing w:after="0"/>
              <w:rPr>
                <w:sz w:val="20"/>
                <w:szCs w:val="20"/>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2C2C2C"/>
              </w:rPr>
              <w:t>—</w:t>
            </w:r>
          </w:p>
        </w:tc>
        <w:tc>
          <w:tcPr>
            <w:tcW w:w="0" w:type="dxa"/>
            <w:vAlign w:val="bottom"/>
          </w:tcPr>
          <w:p>
            <w:pPr>
              <w:spacing w:after="0"/>
              <w:rPr>
                <w:sz w:val="1"/>
                <w:szCs w:val="1"/>
                <w:color w:val="auto"/>
              </w:rPr>
            </w:pPr>
          </w:p>
        </w:tc>
      </w:tr>
      <w:tr>
        <w:trPr>
          <w:trHeight w:val="31"/>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(Gain) Loss on Sale of Business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(112)</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(112)</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2C2C2C"/>
              </w:rPr>
              <w:t>—</w:t>
            </w:r>
          </w:p>
        </w:tc>
        <w:tc>
          <w:tcPr>
            <w:tcW w:w="0" w:type="dxa"/>
            <w:vAlign w:val="bottom"/>
          </w:tcPr>
          <w:p>
            <w:pPr>
              <w:spacing w:after="0"/>
              <w:rPr>
                <w:sz w:val="1"/>
                <w:szCs w:val="1"/>
                <w:color w:val="auto"/>
              </w:rPr>
            </w:pPr>
          </w:p>
        </w:tc>
      </w:tr>
      <w:tr>
        <w:trPr>
          <w:trHeight w:val="219"/>
        </w:trPr>
        <w:tc>
          <w:tcPr>
            <w:tcW w:w="5180" w:type="dxa"/>
            <w:vAlign w:val="bottom"/>
          </w:tcPr>
          <w:p>
            <w:pPr>
              <w:ind w:left="240"/>
              <w:spacing w:after="0"/>
              <w:rPr>
                <w:sz w:val="20"/>
                <w:szCs w:val="20"/>
                <w:color w:val="auto"/>
              </w:rPr>
            </w:pPr>
            <w:r>
              <w:rPr>
                <w:rFonts w:ascii="Arial" w:cs="Arial" w:eastAsia="Arial" w:hAnsi="Arial"/>
                <w:sz w:val="17"/>
                <w:szCs w:val="17"/>
                <w:color w:val="auto"/>
              </w:rPr>
              <w:t>Operating Non-GAAP Adjustments</w:t>
            </w: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4"/>
              <w:spacing w:after="0"/>
              <w:rPr>
                <w:sz w:val="20"/>
                <w:szCs w:val="20"/>
                <w:color w:val="auto"/>
              </w:rPr>
            </w:pPr>
            <w:r>
              <w:rPr>
                <w:rFonts w:ascii="Arial" w:cs="Arial" w:eastAsia="Arial" w:hAnsi="Arial"/>
                <w:sz w:val="17"/>
                <w:szCs w:val="17"/>
                <w:color w:val="auto"/>
              </w:rPr>
              <w:t>1,252</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1,252</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2,281</w:t>
            </w:r>
          </w:p>
        </w:tc>
        <w:tc>
          <w:tcPr>
            <w:tcW w:w="0" w:type="dxa"/>
            <w:vAlign w:val="bottom"/>
          </w:tcPr>
          <w:p>
            <w:pPr>
              <w:spacing w:after="0"/>
              <w:rPr>
                <w:sz w:val="1"/>
                <w:szCs w:val="1"/>
                <w:color w:val="auto"/>
              </w:rPr>
            </w:pPr>
          </w:p>
        </w:tc>
      </w:tr>
      <w:tr>
        <w:trPr>
          <w:trHeight w:val="31"/>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Adjusted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70</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71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C2C2C"/>
              </w:rPr>
              <w:t>$</w:t>
            </w:r>
          </w:p>
        </w:tc>
        <w:tc>
          <w:tcPr>
            <w:tcW w:w="11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2C2C2C"/>
              </w:rPr>
              <w:t>197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80" w:type="dxa"/>
            <w:vAlign w:val="bottom"/>
          </w:tcPr>
          <w:p>
            <w:pPr>
              <w:ind w:left="20"/>
              <w:spacing w:after="0"/>
              <w:rPr>
                <w:sz w:val="20"/>
                <w:szCs w:val="20"/>
                <w:color w:val="auto"/>
              </w:rPr>
            </w:pPr>
            <w:r>
              <w:rPr>
                <w:rFonts w:ascii="Arial" w:cs="Arial" w:eastAsia="Arial" w:hAnsi="Arial"/>
                <w:sz w:val="17"/>
                <w:szCs w:val="17"/>
                <w:color w:val="auto"/>
              </w:rPr>
              <w:t>GAAP Income (Loss) Before Income Taxes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4"/>
              <w:spacing w:after="0"/>
              <w:rPr>
                <w:sz w:val="20"/>
                <w:szCs w:val="20"/>
                <w:color w:val="auto"/>
              </w:rPr>
            </w:pPr>
            <w:r>
              <w:rPr>
                <w:rFonts w:ascii="Arial" w:cs="Arial" w:eastAsia="Arial" w:hAnsi="Arial"/>
                <w:sz w:val="17"/>
                <w:szCs w:val="17"/>
                <w:color w:val="auto"/>
              </w:rPr>
              <w:t>3,819</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3,804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(2,757)</w:t>
            </w:r>
          </w:p>
        </w:tc>
        <w:tc>
          <w:tcPr>
            <w:tcW w:w="0" w:type="dxa"/>
            <w:vAlign w:val="bottom"/>
          </w:tcPr>
          <w:p>
            <w:pPr>
              <w:spacing w:after="0"/>
              <w:rPr>
                <w:sz w:val="1"/>
                <w:szCs w:val="1"/>
                <w:color w:val="auto"/>
              </w:rPr>
            </w:pPr>
          </w:p>
        </w:tc>
      </w:tr>
      <w:tr>
        <w:trPr>
          <w:trHeight w:val="31"/>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Operating Non-GAAP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1,252</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1,252</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2C2C2C"/>
              </w:rPr>
              <w:t>2,281</w:t>
            </w:r>
          </w:p>
        </w:tc>
        <w:tc>
          <w:tcPr>
            <w:tcW w:w="0" w:type="dxa"/>
            <w:vAlign w:val="bottom"/>
          </w:tcPr>
          <w:p>
            <w:pPr>
              <w:spacing w:after="0"/>
              <w:rPr>
                <w:sz w:val="1"/>
                <w:szCs w:val="1"/>
                <w:color w:val="auto"/>
              </w:rPr>
            </w:pPr>
          </w:p>
        </w:tc>
      </w:tr>
      <w:tr>
        <w:trPr>
          <w:trHeight w:val="270"/>
        </w:trPr>
        <w:tc>
          <w:tcPr>
            <w:tcW w:w="5180" w:type="dxa"/>
            <w:vAlign w:val="bottom"/>
          </w:tcPr>
          <w:p>
            <w:pPr>
              <w:ind w:left="160"/>
              <w:spacing w:after="0" w:line="270" w:lineRule="exact"/>
              <w:rPr>
                <w:sz w:val="20"/>
                <w:szCs w:val="20"/>
                <w:color w:val="auto"/>
              </w:rPr>
            </w:pPr>
            <w:r>
              <w:rPr>
                <w:rFonts w:ascii="Arial" w:cs="Arial" w:eastAsia="Arial" w:hAnsi="Arial"/>
                <w:sz w:val="17"/>
                <w:szCs w:val="17"/>
                <w:color w:val="auto"/>
              </w:rPr>
              <w:t xml:space="preserve">Reorganization Items </w:t>
            </w:r>
            <w:r>
              <w:rPr>
                <w:rFonts w:ascii="Arial" w:cs="Arial" w:eastAsia="Arial" w:hAnsi="Arial"/>
                <w:sz w:val="28"/>
                <w:szCs w:val="28"/>
                <w:color w:val="auto"/>
                <w:vertAlign w:val="superscript"/>
              </w:rPr>
              <w:t>(e)</w:t>
            </w:r>
          </w:p>
        </w:tc>
        <w:tc>
          <w:tcPr>
            <w:tcW w:w="180" w:type="dxa"/>
            <w:vAlign w:val="bottom"/>
          </w:tcPr>
          <w:p>
            <w:pPr>
              <w:spacing w:after="0"/>
              <w:rPr>
                <w:sz w:val="23"/>
                <w:szCs w:val="23"/>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(5,389)</w:t>
            </w:r>
          </w:p>
        </w:tc>
        <w:tc>
          <w:tcPr>
            <w:tcW w:w="200" w:type="dxa"/>
            <w:vAlign w:val="bottom"/>
          </w:tcPr>
          <w:p>
            <w:pPr>
              <w:spacing w:after="0"/>
              <w:rPr>
                <w:sz w:val="23"/>
                <w:szCs w:val="23"/>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(5,385)</w:t>
            </w:r>
          </w:p>
        </w:tc>
        <w:tc>
          <w:tcPr>
            <w:tcW w:w="280" w:type="dxa"/>
            <w:vAlign w:val="bottom"/>
          </w:tcPr>
          <w:p>
            <w:pPr>
              <w:spacing w:after="0"/>
              <w:rPr>
                <w:sz w:val="23"/>
                <w:szCs w:val="23"/>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ind w:left="160"/>
              <w:spacing w:after="0" w:line="270" w:lineRule="exact"/>
              <w:rPr>
                <w:sz w:val="20"/>
                <w:szCs w:val="20"/>
                <w:color w:val="auto"/>
              </w:rPr>
            </w:pPr>
            <w:r>
              <w:rPr>
                <w:rFonts w:ascii="Arial" w:cs="Arial" w:eastAsia="Arial" w:hAnsi="Arial"/>
                <w:sz w:val="17"/>
                <w:szCs w:val="17"/>
                <w:color w:val="auto"/>
              </w:rPr>
              <w:t xml:space="preserve">Other Non-Operating Expenses </w:t>
            </w:r>
            <w:r>
              <w:rPr>
                <w:rFonts w:ascii="Arial" w:cs="Arial" w:eastAsia="Arial" w:hAnsi="Arial"/>
                <w:sz w:val="28"/>
                <w:szCs w:val="28"/>
                <w:color w:val="auto"/>
                <w:vertAlign w:val="superscript"/>
              </w:rPr>
              <w:t>(f)</w:t>
            </w:r>
          </w:p>
        </w:tc>
        <w:tc>
          <w:tcPr>
            <w:tcW w:w="18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9"/>
        </w:trPr>
        <w:tc>
          <w:tcPr>
            <w:tcW w:w="5180" w:type="dxa"/>
            <w:vAlign w:val="bottom"/>
          </w:tcPr>
          <w:p>
            <w:pPr>
              <w:ind w:left="240"/>
              <w:spacing w:after="0"/>
              <w:rPr>
                <w:sz w:val="20"/>
                <w:szCs w:val="20"/>
                <w:color w:val="auto"/>
              </w:rPr>
            </w:pPr>
            <w:r>
              <w:rPr>
                <w:rFonts w:ascii="Arial" w:cs="Arial" w:eastAsia="Arial" w:hAnsi="Arial"/>
                <w:sz w:val="17"/>
                <w:szCs w:val="17"/>
                <w:color w:val="auto"/>
              </w:rPr>
              <w:t>Non-GAAP Adjustments Before Taxes</w:t>
            </w: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94"/>
              <w:spacing w:after="0"/>
              <w:rPr>
                <w:sz w:val="20"/>
                <w:szCs w:val="20"/>
                <w:color w:val="auto"/>
              </w:rPr>
            </w:pPr>
            <w:r>
              <w:rPr>
                <w:rFonts w:ascii="Arial" w:cs="Arial" w:eastAsia="Arial" w:hAnsi="Arial"/>
                <w:sz w:val="17"/>
                <w:szCs w:val="17"/>
                <w:color w:val="auto"/>
              </w:rPr>
              <w:t>(4,137)</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(4,133)</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2,294</w:t>
            </w:r>
          </w:p>
        </w:tc>
        <w:tc>
          <w:tcPr>
            <w:tcW w:w="0" w:type="dxa"/>
            <w:vAlign w:val="bottom"/>
          </w:tcPr>
          <w:p>
            <w:pPr>
              <w:spacing w:after="0"/>
              <w:rPr>
                <w:sz w:val="1"/>
                <w:szCs w:val="1"/>
                <w:color w:val="auto"/>
              </w:rPr>
            </w:pPr>
          </w:p>
        </w:tc>
      </w:tr>
      <w:tr>
        <w:trPr>
          <w:trHeight w:val="31"/>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Loss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(318)</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(329)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80" w:type="dxa"/>
            <w:vAlign w:val="bottom"/>
          </w:tcPr>
          <w:p>
            <w:pPr>
              <w:ind w:left="20"/>
              <w:spacing w:after="0"/>
              <w:rPr>
                <w:sz w:val="20"/>
                <w:szCs w:val="20"/>
                <w:color w:val="auto"/>
              </w:rPr>
            </w:pPr>
            <w:r>
              <w:rPr>
                <w:rFonts w:ascii="Arial" w:cs="Arial" w:eastAsia="Arial" w:hAnsi="Arial"/>
                <w:sz w:val="17"/>
                <w:szCs w:val="17"/>
                <w:color w:val="auto"/>
              </w:rPr>
              <w:t>GAAP Provision for Income Taxes</w:t>
            </w:r>
          </w:p>
        </w:tc>
        <w:tc>
          <w:tcPr>
            <w:tcW w:w="180" w:type="dxa"/>
            <w:vAlign w:val="bottom"/>
          </w:tcPr>
          <w:p>
            <w:pPr>
              <w:spacing w:after="0"/>
              <w:rPr>
                <w:sz w:val="20"/>
                <w:szCs w:val="20"/>
                <w:color w:val="auto"/>
              </w:rPr>
            </w:pP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(135)</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(144)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31"/>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Tax Effect on Non-GAAP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14</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97"/>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Non-GAAP Provision for Income Taxes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(9)</w:t>
            </w:r>
          </w:p>
        </w:tc>
        <w:tc>
          <w:tcPr>
            <w:tcW w:w="2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(121)</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(130)</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80" w:type="dxa"/>
            <w:vAlign w:val="bottom"/>
          </w:tcPr>
          <w:p>
            <w:pPr>
              <w:ind w:left="20"/>
              <w:spacing w:after="0"/>
              <w:rPr>
                <w:sz w:val="20"/>
                <w:szCs w:val="20"/>
                <w:color w:val="auto"/>
              </w:rPr>
            </w:pPr>
            <w:r>
              <w:rPr>
                <w:rFonts w:ascii="Arial" w:cs="Arial" w:eastAsia="Arial" w:hAnsi="Arial"/>
                <w:sz w:val="17"/>
                <w:szCs w:val="17"/>
                <w:b w:val="1"/>
                <w:bCs w:val="1"/>
                <w:color w:val="auto"/>
              </w:rPr>
              <w:t>Net Income (Loss) Attributable to Weatherford:</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GAAP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(26)</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3,661</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3,635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(2,811)</w:t>
            </w:r>
          </w:p>
        </w:tc>
        <w:tc>
          <w:tcPr>
            <w:tcW w:w="0" w:type="dxa"/>
            <w:vAlign w:val="bottom"/>
          </w:tcPr>
          <w:p>
            <w:pPr>
              <w:spacing w:after="0"/>
              <w:rPr>
                <w:sz w:val="1"/>
                <w:szCs w:val="1"/>
                <w:color w:val="auto"/>
              </w:rPr>
            </w:pPr>
          </w:p>
        </w:tc>
      </w:tr>
      <w:tr>
        <w:trPr>
          <w:trHeight w:val="239"/>
        </w:trPr>
        <w:tc>
          <w:tcPr>
            <w:tcW w:w="5180" w:type="dxa"/>
            <w:vAlign w:val="bottom"/>
          </w:tcPr>
          <w:p>
            <w:pPr>
              <w:ind w:left="160"/>
              <w:spacing w:after="0"/>
              <w:rPr>
                <w:sz w:val="20"/>
                <w:szCs w:val="20"/>
                <w:color w:val="auto"/>
              </w:rPr>
            </w:pPr>
            <w:r>
              <w:rPr>
                <w:rFonts w:ascii="Arial" w:cs="Arial" w:eastAsia="Arial" w:hAnsi="Arial"/>
                <w:sz w:val="17"/>
                <w:szCs w:val="17"/>
                <w:color w:val="auto"/>
              </w:rPr>
              <w:t>Non-GAAP Adjustments, net of tax</w:t>
            </w:r>
          </w:p>
        </w:tc>
        <w:tc>
          <w:tcPr>
            <w:tcW w:w="180" w:type="dxa"/>
            <w:vAlign w:val="bottom"/>
          </w:tcPr>
          <w:p>
            <w:pPr>
              <w:spacing w:after="0"/>
              <w:rPr>
                <w:sz w:val="20"/>
                <w:szCs w:val="20"/>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(4,123)</w:t>
            </w:r>
          </w:p>
        </w:tc>
        <w:tc>
          <w:tcPr>
            <w:tcW w:w="200" w:type="dxa"/>
            <w:vAlign w:val="bottom"/>
          </w:tcPr>
          <w:p>
            <w:pPr>
              <w:spacing w:after="0"/>
              <w:rPr>
                <w:sz w:val="20"/>
                <w:szCs w:val="20"/>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(4,119)</w:t>
            </w:r>
          </w:p>
        </w:tc>
        <w:tc>
          <w:tcPr>
            <w:tcW w:w="280" w:type="dxa"/>
            <w:vAlign w:val="bottom"/>
          </w:tcPr>
          <w:p>
            <w:pPr>
              <w:spacing w:after="0"/>
              <w:rPr>
                <w:sz w:val="20"/>
                <w:szCs w:val="20"/>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2,224</w:t>
            </w:r>
          </w:p>
        </w:tc>
        <w:tc>
          <w:tcPr>
            <w:tcW w:w="0" w:type="dxa"/>
            <w:vAlign w:val="bottom"/>
          </w:tcPr>
          <w:p>
            <w:pPr>
              <w:spacing w:after="0"/>
              <w:rPr>
                <w:sz w:val="1"/>
                <w:szCs w:val="1"/>
                <w:color w:val="auto"/>
              </w:rPr>
            </w:pPr>
          </w:p>
        </w:tc>
      </w:tr>
      <w:tr>
        <w:trPr>
          <w:trHeight w:val="31"/>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(22)</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(462)</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(484)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(587)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Diluted Income (Loss) Per Share Attributable to Weatherford:</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80" w:type="dxa"/>
            <w:vAlign w:val="bottom"/>
          </w:tcPr>
          <w:p>
            <w:pPr>
              <w:ind w:left="20"/>
              <w:spacing w:after="0"/>
              <w:rPr>
                <w:sz w:val="20"/>
                <w:szCs w:val="20"/>
                <w:color w:val="auto"/>
              </w:rPr>
            </w:pPr>
            <w:r>
              <w:rPr>
                <w:rFonts w:ascii="Arial" w:cs="Arial" w:eastAsia="Arial" w:hAnsi="Arial"/>
                <w:sz w:val="17"/>
                <w:szCs w:val="17"/>
                <w:color w:val="auto"/>
              </w:rPr>
              <w:t>GAAP Diluted Income (Loss) per Share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(0.37)</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4"/>
              <w:spacing w:after="0"/>
              <w:rPr>
                <w:sz w:val="20"/>
                <w:szCs w:val="20"/>
                <w:color w:val="auto"/>
              </w:rPr>
            </w:pPr>
            <w:r>
              <w:rPr>
                <w:rFonts w:ascii="Arial" w:cs="Arial" w:eastAsia="Arial" w:hAnsi="Arial"/>
                <w:sz w:val="17"/>
                <w:szCs w:val="17"/>
                <w:color w:val="auto"/>
              </w:rPr>
              <w:t>3.65</w:t>
            </w:r>
          </w:p>
        </w:tc>
        <w:tc>
          <w:tcPr>
            <w:tcW w:w="200" w:type="dxa"/>
            <w:vAlign w:val="bottom"/>
          </w:tcPr>
          <w:p>
            <w:pPr>
              <w:spacing w:after="0"/>
              <w:rPr>
                <w:sz w:val="20"/>
                <w:szCs w:val="20"/>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n/a</w:t>
            </w:r>
          </w:p>
        </w:tc>
        <w:tc>
          <w:tcPr>
            <w:tcW w:w="280" w:type="dxa"/>
            <w:vAlign w:val="bottom"/>
          </w:tcPr>
          <w:p>
            <w:pPr>
              <w:jc w:val="right"/>
              <w:spacing w:after="0"/>
              <w:rPr>
                <w:sz w:val="20"/>
                <w:szCs w:val="20"/>
                <w:color w:val="auto"/>
              </w:rPr>
            </w:pPr>
            <w:r>
              <w:rPr>
                <w:rFonts w:ascii="Arial" w:cs="Arial" w:eastAsia="Arial" w:hAnsi="Arial"/>
                <w:sz w:val="17"/>
                <w:szCs w:val="17"/>
                <w:color w:val="2C2C2C"/>
              </w:rPr>
              <w:t>$</w:t>
            </w:r>
          </w:p>
        </w:tc>
        <w:tc>
          <w:tcPr>
            <w:tcW w:w="1160" w:type="dxa"/>
            <w:vAlign w:val="bottom"/>
          </w:tcPr>
          <w:p>
            <w:pPr>
              <w:jc w:val="right"/>
              <w:ind w:right="75"/>
              <w:spacing w:after="0"/>
              <w:rPr>
                <w:sz w:val="20"/>
                <w:szCs w:val="20"/>
                <w:color w:val="auto"/>
              </w:rPr>
            </w:pPr>
            <w:r>
              <w:rPr>
                <w:rFonts w:ascii="Arial" w:cs="Arial" w:eastAsia="Arial" w:hAnsi="Arial"/>
                <w:sz w:val="17"/>
                <w:szCs w:val="17"/>
                <w:color w:val="2C2C2C"/>
              </w:rPr>
              <w:t>(2.82)</w:t>
            </w:r>
          </w:p>
        </w:tc>
        <w:tc>
          <w:tcPr>
            <w:tcW w:w="0" w:type="dxa"/>
            <w:vAlign w:val="bottom"/>
          </w:tcPr>
          <w:p>
            <w:pPr>
              <w:spacing w:after="0"/>
              <w:rPr>
                <w:sz w:val="1"/>
                <w:szCs w:val="1"/>
                <w:color w:val="auto"/>
              </w:rPr>
            </w:pPr>
          </w:p>
        </w:tc>
      </w:tr>
      <w:tr>
        <w:trPr>
          <w:trHeight w:val="31"/>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Non-GAAP Adjustments,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0.06</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(4.11)</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97"/>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Non-GAAP Diluted Loss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(0.31)</w:t>
            </w:r>
          </w:p>
        </w:tc>
        <w:tc>
          <w:tcPr>
            <w:tcW w:w="2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rPr>
              <w:t>(0.46)</w:t>
            </w:r>
          </w:p>
        </w:tc>
        <w:tc>
          <w:tcPr>
            <w:tcW w:w="20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n/a</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(0.59)</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5180" w:type="dxa"/>
            <w:vAlign w:val="bottom"/>
          </w:tcPr>
          <w:p>
            <w:pPr>
              <w:ind w:left="20"/>
              <w:spacing w:after="0" w:line="293" w:lineRule="exact"/>
              <w:rPr>
                <w:sz w:val="20"/>
                <w:szCs w:val="20"/>
                <w:color w:val="auto"/>
              </w:rPr>
            </w:pPr>
            <w:r>
              <w:rPr>
                <w:rFonts w:ascii="Arial" w:cs="Arial" w:eastAsia="Arial" w:hAnsi="Arial"/>
                <w:sz w:val="17"/>
                <w:szCs w:val="17"/>
                <w:color w:val="auto"/>
              </w:rPr>
              <w:t xml:space="preserve">GAAP Effective Tax Rate </w:t>
            </w:r>
            <w:r>
              <w:rPr>
                <w:rFonts w:ascii="Arial" w:cs="Arial" w:eastAsia="Arial" w:hAnsi="Arial"/>
                <w:sz w:val="28"/>
                <w:szCs w:val="28"/>
                <w:color w:val="auto"/>
                <w:vertAlign w:val="superscript"/>
              </w:rPr>
              <w:t>(g)</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3 %</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3 %</w:t>
            </w: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1"/>
        </w:trPr>
        <w:tc>
          <w:tcPr>
            <w:tcW w:w="5180" w:type="dxa"/>
            <w:vAlign w:val="bottom"/>
          </w:tcPr>
          <w:p>
            <w:pPr>
              <w:ind w:left="20"/>
              <w:spacing w:after="0" w:line="240" w:lineRule="exact"/>
              <w:rPr>
                <w:sz w:val="20"/>
                <w:szCs w:val="20"/>
                <w:color w:val="auto"/>
              </w:rPr>
            </w:pPr>
            <w:r>
              <w:rPr>
                <w:rFonts w:ascii="Arial" w:cs="Arial" w:eastAsia="Arial" w:hAnsi="Arial"/>
                <w:sz w:val="17"/>
                <w:szCs w:val="17"/>
                <w:color w:val="auto"/>
              </w:rPr>
              <w:t xml:space="preserve">Non-GAAP Effective Tax Rate </w:t>
            </w:r>
            <w:r>
              <w:rPr>
                <w:rFonts w:ascii="Arial" w:cs="Arial" w:eastAsia="Arial" w:hAnsi="Arial"/>
                <w:sz w:val="27"/>
                <w:szCs w:val="27"/>
                <w:color w:val="auto"/>
                <w:vertAlign w:val="superscript"/>
              </w:rPr>
              <w:t>(h)</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bl>
    <w:p>
      <w:pPr>
        <w:ind w:left="252" w:hanging="252"/>
        <w:spacing w:after="0"/>
        <w:tabs>
          <w:tab w:leader="none" w:pos="252"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goodwill impairment after a fair value assessment of our business and assets for the periods presented.</w:t>
      </w:r>
    </w:p>
    <w:p>
      <w:pPr>
        <w:spacing w:after="0" w:line="1" w:lineRule="exact"/>
        <w:rPr>
          <w:rFonts w:ascii="Arial" w:cs="Arial" w:eastAsia="Arial" w:hAnsi="Arial"/>
          <w:sz w:val="14"/>
          <w:szCs w:val="14"/>
          <w:color w:val="auto"/>
        </w:rPr>
      </w:pPr>
    </w:p>
    <w:p>
      <w:pPr>
        <w:ind w:left="252" w:hanging="252"/>
        <w:spacing w:after="0"/>
        <w:tabs>
          <w:tab w:leader="none" w:pos="252"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restructuring, facility consolidation and severance costs for the periods presented.</w:t>
      </w:r>
    </w:p>
    <w:p>
      <w:pPr>
        <w:spacing w:after="0" w:line="1" w:lineRule="exact"/>
        <w:rPr>
          <w:rFonts w:ascii="Arial" w:cs="Arial" w:eastAsia="Arial" w:hAnsi="Arial"/>
          <w:sz w:val="14"/>
          <w:szCs w:val="14"/>
          <w:color w:val="auto"/>
        </w:rPr>
      </w:pPr>
    </w:p>
    <w:p>
      <w:pPr>
        <w:ind w:left="252" w:hanging="252"/>
        <w:spacing w:after="0"/>
        <w:tabs>
          <w:tab w:leader="none" w:pos="252"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fourth quarter of 2018 primarily included asset write-downs related to land drilling rigs held for sale, partially offset by gains on property sales.</w:t>
      </w:r>
    </w:p>
    <w:p>
      <w:pPr>
        <w:spacing w:after="0" w:line="1" w:lineRule="exact"/>
        <w:rPr>
          <w:rFonts w:ascii="Arial" w:cs="Arial" w:eastAsia="Arial" w:hAnsi="Arial"/>
          <w:sz w:val="14"/>
          <w:szCs w:val="14"/>
          <w:color w:val="auto"/>
        </w:rPr>
      </w:pPr>
    </w:p>
    <w:p>
      <w:pPr>
        <w:ind w:left="252" w:hanging="252"/>
        <w:spacing w:after="0"/>
        <w:tabs>
          <w:tab w:leader="none" w:pos="252"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included asset write-downs and inventory charges, partially offset by a gain on purchase of a joint venture remaining interest.</w:t>
      </w:r>
    </w:p>
    <w:p>
      <w:pPr>
        <w:spacing w:after="0" w:line="9" w:lineRule="exact"/>
        <w:rPr>
          <w:rFonts w:ascii="Arial" w:cs="Arial" w:eastAsia="Arial" w:hAnsi="Arial"/>
          <w:sz w:val="14"/>
          <w:szCs w:val="14"/>
          <w:color w:val="auto"/>
        </w:rPr>
      </w:pPr>
    </w:p>
    <w:p>
      <w:pPr>
        <w:ind w:left="252" w:hanging="252"/>
        <w:spacing w:after="0"/>
        <w:tabs>
          <w:tab w:leader="none" w:pos="252" w:val="left"/>
        </w:tabs>
        <w:numPr>
          <w:ilvl w:val="0"/>
          <w:numId w:val="14"/>
        </w:numPr>
        <w:rPr>
          <w:rFonts w:ascii="Arial" w:cs="Arial" w:eastAsia="Arial" w:hAnsi="Arial"/>
          <w:sz w:val="12"/>
          <w:szCs w:val="12"/>
          <w:color w:val="auto"/>
        </w:rPr>
      </w:pPr>
      <w:r>
        <w:rPr>
          <w:rFonts w:ascii="Arial" w:cs="Arial" w:eastAsia="Arial" w:hAnsi="Arial"/>
          <w:sz w:val="11"/>
          <w:szCs w:val="11"/>
          <w:color w:val="auto"/>
        </w:rPr>
        <w:t>Primarily from the gain on settlement of liabilities subject to compromise and fresh start valuation adjustments in the fourth quarter of 2019 and unamortized debt issuance and other fees in the third quarter of 2019.</w:t>
      </w:r>
    </w:p>
    <w:p>
      <w:pPr>
        <w:spacing w:after="0" w:line="15" w:lineRule="exact"/>
        <w:rPr>
          <w:rFonts w:ascii="Arial" w:cs="Arial" w:eastAsia="Arial" w:hAnsi="Arial"/>
          <w:sz w:val="12"/>
          <w:szCs w:val="12"/>
          <w:color w:val="auto"/>
        </w:rPr>
      </w:pPr>
    </w:p>
    <w:p>
      <w:pPr>
        <w:ind w:left="252" w:hanging="252"/>
        <w:spacing w:after="0"/>
        <w:tabs>
          <w:tab w:leader="none" w:pos="252"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bond tender premium on redemption of senior notes, currency devaluations on the Angolan kwanza and warrant valuation adjustments.</w:t>
      </w:r>
    </w:p>
    <w:p>
      <w:pPr>
        <w:spacing w:after="0" w:line="1" w:lineRule="exact"/>
        <w:rPr>
          <w:rFonts w:ascii="Arial" w:cs="Arial" w:eastAsia="Arial" w:hAnsi="Arial"/>
          <w:sz w:val="14"/>
          <w:szCs w:val="14"/>
          <w:color w:val="auto"/>
        </w:rPr>
      </w:pPr>
    </w:p>
    <w:p>
      <w:pPr>
        <w:ind w:left="252" w:hanging="252"/>
        <w:spacing w:after="0"/>
        <w:tabs>
          <w:tab w:leader="none" w:pos="252" w:val="left"/>
        </w:tabs>
        <w:numPr>
          <w:ilvl w:val="0"/>
          <w:numId w:val="14"/>
        </w:numPr>
        <w:rPr>
          <w:rFonts w:ascii="Arial" w:cs="Arial" w:eastAsia="Arial" w:hAnsi="Arial"/>
          <w:sz w:val="14"/>
          <w:szCs w:val="14"/>
          <w:color w:val="auto"/>
        </w:rPr>
      </w:pPr>
      <w:r>
        <w:rPr>
          <w:rFonts w:ascii="Arial" w:cs="Arial" w:eastAsia="Arial" w:hAnsi="Arial"/>
          <w:sz w:val="14"/>
          <w:szCs w:val="14"/>
          <w:color w:val="auto"/>
        </w:rPr>
        <w:t>GAAP Effective Tax Rate is the GAAP provision for income taxes divided by GAAP income before income taxes and calculated in thousands.</w:t>
      </w:r>
    </w:p>
    <w:p>
      <w:pPr>
        <w:spacing w:after="0" w:line="1" w:lineRule="exact"/>
        <w:rPr>
          <w:rFonts w:ascii="Arial" w:cs="Arial" w:eastAsia="Arial" w:hAnsi="Arial"/>
          <w:sz w:val="14"/>
          <w:szCs w:val="14"/>
          <w:color w:val="auto"/>
        </w:rPr>
      </w:pPr>
    </w:p>
    <w:p>
      <w:pPr>
        <w:ind w:left="252" w:hanging="252"/>
        <w:spacing w:after="0"/>
        <w:tabs>
          <w:tab w:leader="none" w:pos="252"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Non-GAAP Effective Tax Rate is the Non-GAAP provision for income taxes divided by Non-GAAP income before income taxes and calculated in thousands.</w:t>
      </w:r>
    </w:p>
    <w:p>
      <w:pPr>
        <w:sectPr>
          <w:pgSz w:w="11900" w:h="16838" w:orient="portrait"/>
          <w:cols w:equalWidth="0" w:num="1">
            <w:col w:w="11172"/>
          </w:cols>
          <w:pgMar w:left="328" w:top="712" w:right="39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72"/>
          </w:cols>
          <w:pgMar w:left="328" w:top="712" w:right="39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Weatherford International plc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Reconciliation of GAAP to Non-GAAP Financial Measures - EBITDA (Unaudited)</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 in Millions)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83"/>
              </w:rPr>
              <w:t>Successor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ind w:right="75"/>
              <w:spacing w:after="0"/>
              <w:rPr>
                <w:sz w:val="20"/>
                <w:szCs w:val="20"/>
                <w:color w:val="auto"/>
              </w:rPr>
            </w:pPr>
            <w:r>
              <w:rPr>
                <w:rFonts w:ascii="Arial" w:cs="Arial" w:eastAsia="Arial" w:hAnsi="Arial"/>
                <w:sz w:val="17"/>
                <w:szCs w:val="17"/>
                <w:b w:val="1"/>
                <w:bCs w:val="1"/>
                <w:color w:val="auto"/>
                <w:w w:val="84"/>
              </w:rPr>
              <w:t>Predecessor</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7"/>
          </w:tcPr>
          <w:p>
            <w:pPr>
              <w:jc w:val="right"/>
              <w:ind w:right="615"/>
              <w:spacing w:after="0"/>
              <w:rPr>
                <w:sz w:val="20"/>
                <w:szCs w:val="20"/>
                <w:color w:val="auto"/>
              </w:rPr>
            </w:pPr>
            <w:r>
              <w:rPr>
                <w:rFonts w:ascii="Arial" w:cs="Arial" w:eastAsia="Arial" w:hAnsi="Arial"/>
                <w:sz w:val="17"/>
                <w:szCs w:val="17"/>
                <w:b w:val="1"/>
                <w:bCs w:val="1"/>
                <w:color w:val="auto"/>
              </w:rPr>
              <w:t>Predecessor Quarters Ended</w:t>
            </w:r>
          </w:p>
        </w:tc>
      </w:tr>
      <w:tr>
        <w:trPr>
          <w:trHeight w:val="30"/>
        </w:trPr>
        <w:tc>
          <w:tcPr>
            <w:tcW w:w="3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3"/>
        </w:trPr>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91"/>
              </w:rPr>
              <w:t>Period From</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ind w:right="75"/>
              <w:spacing w:after="0"/>
              <w:rPr>
                <w:sz w:val="20"/>
                <w:szCs w:val="20"/>
                <w:color w:val="auto"/>
              </w:rPr>
            </w:pPr>
            <w:r>
              <w:rPr>
                <w:rFonts w:ascii="Arial" w:cs="Arial" w:eastAsia="Arial" w:hAnsi="Arial"/>
                <w:sz w:val="17"/>
                <w:szCs w:val="17"/>
                <w:b w:val="1"/>
                <w:bCs w:val="1"/>
                <w:color w:val="auto"/>
                <w:w w:val="93"/>
              </w:rPr>
              <w:t>Period From</w:t>
            </w:r>
          </w:p>
        </w:tc>
        <w:tc>
          <w:tcPr>
            <w:tcW w:w="140" w:type="dxa"/>
            <w:vAlign w:val="bottom"/>
          </w:tcPr>
          <w:p>
            <w:pPr>
              <w:spacing w:after="0"/>
              <w:rPr>
                <w:sz w:val="20"/>
                <w:szCs w:val="20"/>
                <w:color w:val="auto"/>
              </w:rPr>
            </w:pPr>
          </w:p>
        </w:tc>
        <w:tc>
          <w:tcPr>
            <w:tcW w:w="1060" w:type="dxa"/>
            <w:vAlign w:val="bottom"/>
          </w:tcPr>
          <w:p>
            <w:pPr>
              <w:jc w:val="center"/>
              <w:ind w:right="55"/>
              <w:spacing w:after="0"/>
              <w:rPr>
                <w:sz w:val="20"/>
                <w:szCs w:val="20"/>
                <w:color w:val="auto"/>
              </w:rPr>
            </w:pPr>
            <w:r>
              <w:rPr>
                <w:rFonts w:ascii="Arial" w:cs="Arial" w:eastAsia="Arial" w:hAnsi="Arial"/>
                <w:sz w:val="17"/>
                <w:szCs w:val="17"/>
                <w:b w:val="1"/>
                <w:bCs w:val="1"/>
                <w:color w:val="auto"/>
                <w:w w:val="95"/>
              </w:rPr>
              <w:t>Non-GAAP</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0"/>
        </w:trPr>
        <w:tc>
          <w:tcPr>
            <w:tcW w:w="3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91"/>
              </w:rPr>
              <w:t>12/14/19 to</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center"/>
              <w:ind w:right="75"/>
              <w:spacing w:after="0"/>
              <w:rPr>
                <w:sz w:val="20"/>
                <w:szCs w:val="20"/>
                <w:color w:val="auto"/>
              </w:rPr>
            </w:pPr>
            <w:r>
              <w:rPr>
                <w:rFonts w:ascii="Arial" w:cs="Arial" w:eastAsia="Arial" w:hAnsi="Arial"/>
                <w:sz w:val="17"/>
                <w:szCs w:val="17"/>
                <w:b w:val="1"/>
                <w:bCs w:val="1"/>
                <w:color w:val="auto"/>
                <w:w w:val="90"/>
              </w:rPr>
              <w:t>10/1/19 to</w:t>
            </w:r>
          </w:p>
        </w:tc>
        <w:tc>
          <w:tcPr>
            <w:tcW w:w="140" w:type="dxa"/>
            <w:vAlign w:val="bottom"/>
          </w:tcPr>
          <w:p>
            <w:pPr>
              <w:spacing w:after="0"/>
              <w:rPr>
                <w:sz w:val="23"/>
                <w:szCs w:val="23"/>
                <w:color w:val="auto"/>
              </w:rPr>
            </w:pPr>
          </w:p>
        </w:tc>
        <w:tc>
          <w:tcPr>
            <w:tcW w:w="1060" w:type="dxa"/>
            <w:vAlign w:val="bottom"/>
          </w:tcPr>
          <w:p>
            <w:pPr>
              <w:jc w:val="center"/>
              <w:ind w:right="55"/>
              <w:spacing w:after="0"/>
              <w:rPr>
                <w:sz w:val="20"/>
                <w:szCs w:val="20"/>
                <w:color w:val="auto"/>
              </w:rPr>
            </w:pPr>
            <w:r>
              <w:rPr>
                <w:rFonts w:ascii="Arial" w:cs="Arial" w:eastAsia="Arial" w:hAnsi="Arial"/>
                <w:sz w:val="17"/>
                <w:szCs w:val="17"/>
                <w:b w:val="1"/>
                <w:bCs w:val="1"/>
                <w:color w:val="auto"/>
                <w:w w:val="91"/>
              </w:rPr>
              <w:t>Combined</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3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center"/>
              <w:ind w:right="75"/>
              <w:spacing w:after="0"/>
              <w:rPr>
                <w:sz w:val="20"/>
                <w:szCs w:val="20"/>
                <w:color w:val="auto"/>
              </w:rPr>
            </w:pPr>
            <w:r>
              <w:rPr>
                <w:rFonts w:ascii="Arial" w:cs="Arial" w:eastAsia="Arial" w:hAnsi="Arial"/>
                <w:sz w:val="17"/>
                <w:szCs w:val="17"/>
                <w:b w:val="1"/>
                <w:bCs w:val="1"/>
                <w:color w:val="auto"/>
                <w:w w:val="90"/>
              </w:rPr>
              <w:t>12/31/19</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center"/>
              <w:ind w:right="75"/>
              <w:spacing w:after="0"/>
              <w:rPr>
                <w:sz w:val="20"/>
                <w:szCs w:val="20"/>
                <w:color w:val="auto"/>
              </w:rPr>
            </w:pPr>
            <w:r>
              <w:rPr>
                <w:rFonts w:ascii="Arial" w:cs="Arial" w:eastAsia="Arial" w:hAnsi="Arial"/>
                <w:sz w:val="17"/>
                <w:szCs w:val="17"/>
                <w:b w:val="1"/>
                <w:bCs w:val="1"/>
                <w:color w:val="auto"/>
                <w:w w:val="93"/>
              </w:rPr>
              <w:t>12/13/19</w:t>
            </w:r>
          </w:p>
        </w:tc>
        <w:tc>
          <w:tcPr>
            <w:tcW w:w="140" w:type="dxa"/>
            <w:vAlign w:val="bottom"/>
          </w:tcPr>
          <w:p>
            <w:pPr>
              <w:spacing w:after="0"/>
              <w:rPr>
                <w:sz w:val="23"/>
                <w:szCs w:val="23"/>
                <w:color w:val="auto"/>
              </w:rPr>
            </w:pPr>
          </w:p>
        </w:tc>
        <w:tc>
          <w:tcPr>
            <w:tcW w:w="1060" w:type="dxa"/>
            <w:vAlign w:val="bottom"/>
          </w:tcPr>
          <w:p>
            <w:pPr>
              <w:jc w:val="center"/>
              <w:ind w:right="55"/>
              <w:spacing w:after="0"/>
              <w:rPr>
                <w:sz w:val="20"/>
                <w:szCs w:val="20"/>
                <w:color w:val="auto"/>
              </w:rPr>
            </w:pPr>
            <w:r>
              <w:rPr>
                <w:rFonts w:ascii="Arial" w:cs="Arial" w:eastAsia="Arial" w:hAnsi="Arial"/>
                <w:sz w:val="17"/>
                <w:szCs w:val="17"/>
                <w:b w:val="1"/>
                <w:bCs w:val="1"/>
                <w:color w:val="auto"/>
                <w:w w:val="84"/>
              </w:rPr>
              <w:t>Results</w:t>
            </w:r>
          </w:p>
        </w:tc>
        <w:tc>
          <w:tcPr>
            <w:tcW w:w="140" w:type="dxa"/>
            <w:vAlign w:val="bottom"/>
          </w:tcPr>
          <w:p>
            <w:pPr>
              <w:spacing w:after="0"/>
              <w:rPr>
                <w:sz w:val="23"/>
                <w:szCs w:val="23"/>
                <w:color w:val="auto"/>
              </w:rPr>
            </w:pPr>
          </w:p>
        </w:tc>
        <w:tc>
          <w:tcPr>
            <w:tcW w:w="740" w:type="dxa"/>
            <w:vAlign w:val="bottom"/>
          </w:tcPr>
          <w:p>
            <w:pPr>
              <w:jc w:val="right"/>
              <w:ind w:right="35"/>
              <w:spacing w:after="0"/>
              <w:rPr>
                <w:sz w:val="20"/>
                <w:szCs w:val="20"/>
                <w:color w:val="auto"/>
              </w:rPr>
            </w:pPr>
            <w:r>
              <w:rPr>
                <w:rFonts w:ascii="Arial" w:cs="Arial" w:eastAsia="Arial" w:hAnsi="Arial"/>
                <w:sz w:val="17"/>
                <w:szCs w:val="17"/>
                <w:b w:val="1"/>
                <w:bCs w:val="1"/>
                <w:color w:val="auto"/>
                <w:w w:val="90"/>
              </w:rPr>
              <w:t>09/30/19</w:t>
            </w:r>
          </w:p>
        </w:tc>
        <w:tc>
          <w:tcPr>
            <w:tcW w:w="120" w:type="dxa"/>
            <w:vAlign w:val="bottom"/>
          </w:tcPr>
          <w:p>
            <w:pPr>
              <w:spacing w:after="0"/>
              <w:rPr>
                <w:sz w:val="23"/>
                <w:szCs w:val="23"/>
                <w:color w:val="auto"/>
              </w:rPr>
            </w:pPr>
          </w:p>
        </w:tc>
        <w:tc>
          <w:tcPr>
            <w:tcW w:w="760" w:type="dxa"/>
            <w:vAlign w:val="bottom"/>
          </w:tcPr>
          <w:p>
            <w:pPr>
              <w:jc w:val="right"/>
              <w:ind w:right="55"/>
              <w:spacing w:after="0"/>
              <w:rPr>
                <w:sz w:val="20"/>
                <w:szCs w:val="20"/>
                <w:color w:val="auto"/>
              </w:rPr>
            </w:pPr>
            <w:r>
              <w:rPr>
                <w:rFonts w:ascii="Arial" w:cs="Arial" w:eastAsia="Arial" w:hAnsi="Arial"/>
                <w:sz w:val="17"/>
                <w:szCs w:val="17"/>
                <w:b w:val="1"/>
                <w:bCs w:val="1"/>
                <w:color w:val="2C2C2C"/>
                <w:w w:val="90"/>
              </w:rPr>
              <w:t>06/30/19</w:t>
            </w:r>
          </w:p>
        </w:tc>
        <w:tc>
          <w:tcPr>
            <w:tcW w:w="120" w:type="dxa"/>
            <w:vAlign w:val="bottom"/>
          </w:tcPr>
          <w:p>
            <w:pPr>
              <w:spacing w:after="0"/>
              <w:rPr>
                <w:sz w:val="23"/>
                <w:szCs w:val="23"/>
                <w:color w:val="auto"/>
              </w:rPr>
            </w:pPr>
          </w:p>
        </w:tc>
        <w:tc>
          <w:tcPr>
            <w:tcW w:w="740" w:type="dxa"/>
            <w:vAlign w:val="bottom"/>
          </w:tcPr>
          <w:p>
            <w:pPr>
              <w:jc w:val="right"/>
              <w:ind w:right="35"/>
              <w:spacing w:after="0"/>
              <w:rPr>
                <w:sz w:val="20"/>
                <w:szCs w:val="20"/>
                <w:color w:val="auto"/>
              </w:rPr>
            </w:pPr>
            <w:r>
              <w:rPr>
                <w:rFonts w:ascii="Arial" w:cs="Arial" w:eastAsia="Arial" w:hAnsi="Arial"/>
                <w:sz w:val="17"/>
                <w:szCs w:val="17"/>
                <w:b w:val="1"/>
                <w:bCs w:val="1"/>
                <w:color w:val="auto"/>
                <w:w w:val="90"/>
              </w:rPr>
              <w:t>03/31/19</w:t>
            </w:r>
          </w:p>
        </w:tc>
        <w:tc>
          <w:tcPr>
            <w:tcW w:w="140" w:type="dxa"/>
            <w:vAlign w:val="bottom"/>
          </w:tcPr>
          <w:p>
            <w:pPr>
              <w:spacing w:after="0"/>
              <w:rPr>
                <w:sz w:val="23"/>
                <w:szCs w:val="23"/>
                <w:color w:val="auto"/>
              </w:rPr>
            </w:pPr>
          </w:p>
        </w:tc>
        <w:tc>
          <w:tcPr>
            <w:tcW w:w="760" w:type="dxa"/>
            <w:vAlign w:val="bottom"/>
          </w:tcPr>
          <w:p>
            <w:pPr>
              <w:jc w:val="right"/>
              <w:ind w:right="55"/>
              <w:spacing w:after="0"/>
              <w:rPr>
                <w:sz w:val="20"/>
                <w:szCs w:val="20"/>
                <w:color w:val="auto"/>
              </w:rPr>
            </w:pPr>
            <w:r>
              <w:rPr>
                <w:rFonts w:ascii="Arial" w:cs="Arial" w:eastAsia="Arial" w:hAnsi="Arial"/>
                <w:sz w:val="17"/>
                <w:szCs w:val="17"/>
                <w:b w:val="1"/>
                <w:bCs w:val="1"/>
                <w:color w:val="2C2C2C"/>
                <w:w w:val="90"/>
              </w:rPr>
              <w:t>12/31/18</w:t>
            </w:r>
          </w:p>
        </w:tc>
      </w:tr>
      <w:tr>
        <w:trPr>
          <w:trHeight w:val="31"/>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7"/>
        </w:trPr>
        <w:tc>
          <w:tcPr>
            <w:tcW w:w="3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8"/>
        </w:trPr>
        <w:tc>
          <w:tcPr>
            <w:tcW w:w="3400" w:type="dxa"/>
            <w:vAlign w:val="bottom"/>
          </w:tcPr>
          <w:p>
            <w:pPr>
              <w:ind w:left="40"/>
              <w:spacing w:after="0"/>
              <w:rPr>
                <w:sz w:val="20"/>
                <w:szCs w:val="20"/>
                <w:color w:val="auto"/>
              </w:rPr>
            </w:pPr>
            <w:r>
              <w:rPr>
                <w:rFonts w:ascii="Arial" w:cs="Arial" w:eastAsia="Arial" w:hAnsi="Arial"/>
                <w:sz w:val="17"/>
                <w:szCs w:val="17"/>
                <w:b w:val="1"/>
                <w:bCs w:val="1"/>
                <w:color w:val="auto"/>
              </w:rPr>
              <w:t>Net Income (Loss) Attributable to</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0"/>
        </w:trPr>
        <w:tc>
          <w:tcPr>
            <w:tcW w:w="3400" w:type="dxa"/>
            <w:vAlign w:val="bottom"/>
          </w:tcPr>
          <w:p>
            <w:pPr>
              <w:ind w:left="40"/>
              <w:spacing w:after="0"/>
              <w:rPr>
                <w:sz w:val="20"/>
                <w:szCs w:val="20"/>
                <w:color w:val="auto"/>
              </w:rPr>
            </w:pPr>
            <w:r>
              <w:rPr>
                <w:rFonts w:ascii="Arial" w:cs="Arial" w:eastAsia="Arial" w:hAnsi="Arial"/>
                <w:sz w:val="17"/>
                <w:szCs w:val="17"/>
                <w:b w:val="1"/>
                <w:bCs w:val="1"/>
                <w:color w:val="auto"/>
              </w:rPr>
              <w:t>Weatherford</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5,279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5,253</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(821)</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(316)</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(481)</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(2,103)</w:t>
            </w:r>
          </w:p>
        </w:tc>
      </w:tr>
      <w:tr>
        <w:trPr>
          <w:trHeight w:val="31"/>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2"/>
        </w:trPr>
        <w:tc>
          <w:tcPr>
            <w:tcW w:w="34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Net Income Attributable to Noncontrolling</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47"/>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Interests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w:t>
            </w:r>
          </w:p>
        </w:tc>
      </w:tr>
      <w:tr>
        <w:trPr>
          <w:trHeight w:val="219"/>
        </w:trPr>
        <w:tc>
          <w:tcPr>
            <w:tcW w:w="3400" w:type="dxa"/>
            <w:vAlign w:val="bottom"/>
          </w:tcPr>
          <w:p>
            <w:pPr>
              <w:ind w:left="40"/>
              <w:spacing w:after="0"/>
              <w:rPr>
                <w:sz w:val="20"/>
                <w:szCs w:val="20"/>
                <w:color w:val="auto"/>
              </w:rPr>
            </w:pPr>
            <w:r>
              <w:rPr>
                <w:rFonts w:ascii="Arial" w:cs="Arial" w:eastAsia="Arial" w:hAnsi="Arial"/>
                <w:sz w:val="17"/>
                <w:szCs w:val="17"/>
                <w:color w:val="auto"/>
              </w:rPr>
              <w:t>Net Income (Loss )</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5,288</w:t>
            </w: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5,264</w:t>
            </w: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(815)</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(312)</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(477)</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(2,096)</w:t>
            </w:r>
          </w:p>
        </w:tc>
      </w:tr>
      <w:tr>
        <w:trPr>
          <w:trHeight w:val="31"/>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157</w:t>
            </w:r>
          </w:p>
        </w:tc>
      </w:tr>
      <w:tr>
        <w:trPr>
          <w:trHeight w:val="239"/>
        </w:trPr>
        <w:tc>
          <w:tcPr>
            <w:tcW w:w="3400" w:type="dxa"/>
            <w:vAlign w:val="bottom"/>
          </w:tcPr>
          <w:p>
            <w:pPr>
              <w:ind w:left="280"/>
              <w:spacing w:after="0"/>
              <w:rPr>
                <w:sz w:val="20"/>
                <w:szCs w:val="20"/>
                <w:color w:val="auto"/>
              </w:rPr>
            </w:pPr>
            <w:r>
              <w:rPr>
                <w:rFonts w:ascii="Arial" w:cs="Arial" w:eastAsia="Arial" w:hAnsi="Arial"/>
                <w:sz w:val="17"/>
                <w:szCs w:val="17"/>
                <w:color w:val="auto"/>
              </w:rPr>
              <w:t>Income Tax Provision (Benefit)</w:t>
            </w:r>
          </w:p>
        </w:tc>
        <w:tc>
          <w:tcPr>
            <w:tcW w:w="16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9</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59</w:t>
            </w:r>
          </w:p>
        </w:tc>
        <w:tc>
          <w:tcPr>
            <w:tcW w:w="14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68</w:t>
            </w:r>
          </w:p>
        </w:tc>
        <w:tc>
          <w:tcPr>
            <w:tcW w:w="14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31"/>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90</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124</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137</w:t>
            </w:r>
          </w:p>
        </w:tc>
      </w:tr>
      <w:tr>
        <w:trPr>
          <w:trHeight w:val="219"/>
        </w:trPr>
        <w:tc>
          <w:tcPr>
            <w:tcW w:w="3400" w:type="dxa"/>
            <w:vAlign w:val="bottom"/>
          </w:tcPr>
          <w:p>
            <w:pPr>
              <w:ind w:left="40"/>
              <w:spacing w:after="0"/>
              <w:rPr>
                <w:sz w:val="20"/>
                <w:szCs w:val="20"/>
                <w:color w:val="auto"/>
              </w:rPr>
            </w:pPr>
            <w:r>
              <w:rPr>
                <w:rFonts w:ascii="Arial" w:cs="Arial" w:eastAsia="Arial" w:hAnsi="Arial"/>
                <w:sz w:val="17"/>
                <w:szCs w:val="17"/>
                <w:color w:val="auto"/>
              </w:rPr>
              <w:t>EBITDA</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5,458</w:t>
            </w: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5,489</w:t>
            </w: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(640)</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(187)</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(1,848)</w:t>
            </w:r>
          </w:p>
        </w:tc>
      </w:tr>
      <w:tr>
        <w:trPr>
          <w:trHeight w:val="31"/>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84"/>
        </w:trPr>
        <w:tc>
          <w:tcPr>
            <w:tcW w:w="3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39"/>
        </w:trPr>
        <w:tc>
          <w:tcPr>
            <w:tcW w:w="3400" w:type="dxa"/>
            <w:vAlign w:val="bottom"/>
          </w:tcPr>
          <w:p>
            <w:pPr>
              <w:ind w:left="40"/>
              <w:spacing w:after="0"/>
              <w:rPr>
                <w:sz w:val="20"/>
                <w:szCs w:val="20"/>
                <w:color w:val="auto"/>
              </w:rPr>
            </w:pPr>
            <w:r>
              <w:rPr>
                <w:rFonts w:ascii="Arial" w:cs="Arial" w:eastAsia="Arial" w:hAnsi="Arial"/>
                <w:sz w:val="17"/>
                <w:szCs w:val="17"/>
                <w:b w:val="1"/>
                <w:bCs w:val="1"/>
                <w:color w:val="auto"/>
              </w:rPr>
              <w:t>Other (Income) Expense Adjustments: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1"/>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Reorganization Items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(5,692)</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(5,688)</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3400" w:type="dxa"/>
            <w:vAlign w:val="bottom"/>
          </w:tcPr>
          <w:p>
            <w:pPr>
              <w:ind w:left="280"/>
              <w:spacing w:after="0"/>
              <w:rPr>
                <w:sz w:val="20"/>
                <w:szCs w:val="20"/>
                <w:color w:val="auto"/>
              </w:rPr>
            </w:pPr>
            <w:r>
              <w:rPr>
                <w:rFonts w:ascii="Arial" w:cs="Arial" w:eastAsia="Arial" w:hAnsi="Arial"/>
                <w:sz w:val="17"/>
                <w:szCs w:val="17"/>
                <w:color w:val="auto"/>
              </w:rPr>
              <w:t>Goodwill Impairment</w:t>
            </w:r>
          </w:p>
        </w:tc>
        <w:tc>
          <w:tcPr>
            <w:tcW w:w="16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399</w:t>
            </w:r>
          </w:p>
        </w:tc>
        <w:tc>
          <w:tcPr>
            <w:tcW w:w="12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229</w:t>
            </w:r>
          </w:p>
        </w:tc>
        <w:tc>
          <w:tcPr>
            <w:tcW w:w="14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1,917</w:t>
            </w:r>
          </w:p>
        </w:tc>
      </w:tr>
      <w:tr>
        <w:trPr>
          <w:trHeight w:val="31"/>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Asset Write-Downs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254</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254</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w:t>
            </w:r>
          </w:p>
        </w:tc>
      </w:tr>
      <w:tr>
        <w:trPr>
          <w:trHeight w:val="239"/>
        </w:trPr>
        <w:tc>
          <w:tcPr>
            <w:tcW w:w="3400" w:type="dxa"/>
            <w:vAlign w:val="bottom"/>
          </w:tcPr>
          <w:p>
            <w:pPr>
              <w:ind w:left="280"/>
              <w:spacing w:after="0"/>
              <w:rPr>
                <w:sz w:val="20"/>
                <w:szCs w:val="20"/>
                <w:color w:val="auto"/>
              </w:rPr>
            </w:pPr>
            <w:r>
              <w:rPr>
                <w:rFonts w:ascii="Arial" w:cs="Arial" w:eastAsia="Arial" w:hAnsi="Arial"/>
                <w:sz w:val="17"/>
                <w:szCs w:val="17"/>
                <w:color w:val="auto"/>
              </w:rPr>
              <w:t>Restructuring Charges</w:t>
            </w:r>
          </w:p>
        </w:tc>
        <w:tc>
          <w:tcPr>
            <w:tcW w:w="16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96</w:t>
            </w:r>
          </w:p>
        </w:tc>
        <w:tc>
          <w:tcPr>
            <w:tcW w:w="14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96</w:t>
            </w:r>
          </w:p>
        </w:tc>
        <w:tc>
          <w:tcPr>
            <w:tcW w:w="14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36</w:t>
            </w:r>
          </w:p>
        </w:tc>
      </w:tr>
      <w:tr>
        <w:trPr>
          <w:trHeight w:val="31"/>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Prepetition Charges</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3400" w:type="dxa"/>
            <w:vAlign w:val="bottom"/>
          </w:tcPr>
          <w:p>
            <w:pPr>
              <w:ind w:left="280"/>
              <w:spacing w:after="0"/>
              <w:rPr>
                <w:sz w:val="20"/>
                <w:szCs w:val="20"/>
                <w:color w:val="auto"/>
              </w:rPr>
            </w:pPr>
            <w:r>
              <w:rPr>
                <w:rFonts w:ascii="Arial" w:cs="Arial" w:eastAsia="Arial" w:hAnsi="Arial"/>
                <w:sz w:val="17"/>
                <w:szCs w:val="17"/>
                <w:color w:val="auto"/>
              </w:rPr>
              <w:t>(Gain) Loss on Sale of Business</w:t>
            </w:r>
          </w:p>
        </w:tc>
        <w:tc>
          <w:tcPr>
            <w:tcW w:w="16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Non-Operating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r>
      <w:tr>
        <w:trPr>
          <w:trHeight w:val="239"/>
        </w:trPr>
        <w:tc>
          <w:tcPr>
            <w:tcW w:w="3400" w:type="dxa"/>
            <w:vAlign w:val="bottom"/>
          </w:tcPr>
          <w:p>
            <w:pPr>
              <w:ind w:left="280"/>
              <w:spacing w:after="0"/>
              <w:rPr>
                <w:sz w:val="20"/>
                <w:szCs w:val="20"/>
                <w:color w:val="auto"/>
              </w:rPr>
            </w:pPr>
            <w:r>
              <w:rPr>
                <w:rFonts w:ascii="Arial" w:cs="Arial" w:eastAsia="Arial" w:hAnsi="Arial"/>
                <w:sz w:val="17"/>
                <w:szCs w:val="17"/>
                <w:color w:val="auto"/>
              </w:rPr>
              <w:t>Other Expense, Net</w:t>
            </w:r>
          </w:p>
        </w:tc>
        <w:tc>
          <w:tcPr>
            <w:tcW w:w="16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25</w:t>
            </w:r>
          </w:p>
        </w:tc>
      </w:tr>
      <w:tr>
        <w:trPr>
          <w:trHeight w:val="31"/>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151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173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210</w:t>
            </w: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712" w:right="45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Weatherford International plc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Full Year Reconciliation of GAAP to Non-GAAP Financial Measures - EBITDA (Unaudited)</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 in Millions)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83"/>
              </w:rPr>
              <w:t>Successor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b w:val="1"/>
                <w:bCs w:val="1"/>
                <w:color w:val="auto"/>
                <w:w w:val="86"/>
              </w:rPr>
              <w:t>Predecessor</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55"/>
              <w:spacing w:after="0"/>
              <w:rPr>
                <w:sz w:val="20"/>
                <w:szCs w:val="20"/>
                <w:color w:val="auto"/>
              </w:rPr>
            </w:pPr>
            <w:r>
              <w:rPr>
                <w:rFonts w:ascii="Arial" w:cs="Arial" w:eastAsia="Arial" w:hAnsi="Arial"/>
                <w:sz w:val="17"/>
                <w:szCs w:val="17"/>
                <w:b w:val="1"/>
                <w:bCs w:val="1"/>
                <w:color w:val="auto"/>
                <w:w w:val="84"/>
              </w:rPr>
              <w:t>Predecessor</w:t>
            </w:r>
          </w:p>
        </w:tc>
        <w:tc>
          <w:tcPr>
            <w:tcW w:w="0" w:type="dxa"/>
            <w:vAlign w:val="bottom"/>
          </w:tcPr>
          <w:p>
            <w:pPr>
              <w:spacing w:after="0"/>
              <w:rPr>
                <w:sz w:val="1"/>
                <w:szCs w:val="1"/>
                <w:color w:val="auto"/>
              </w:rPr>
            </w:pPr>
          </w:p>
        </w:tc>
      </w:tr>
      <w:tr>
        <w:trPr>
          <w:trHeight w:val="30"/>
        </w:trPr>
        <w:tc>
          <w:tcPr>
            <w:tcW w:w="5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7"/>
                <w:szCs w:val="17"/>
                <w:b w:val="1"/>
                <w:bCs w:val="1"/>
                <w:color w:val="auto"/>
                <w:w w:val="95"/>
              </w:rPr>
              <w:t>Non-GAAP</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91"/>
              </w:rPr>
              <w:t>Period From</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b w:val="1"/>
                <w:bCs w:val="1"/>
                <w:color w:val="auto"/>
                <w:w w:val="91"/>
              </w:rPr>
              <w:t>Period From</w:t>
            </w: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55"/>
              <w:spacing w:after="0"/>
              <w:rPr>
                <w:sz w:val="20"/>
                <w:szCs w:val="20"/>
                <w:color w:val="auto"/>
              </w:rPr>
            </w:pPr>
            <w:r>
              <w:rPr>
                <w:rFonts w:ascii="Arial" w:cs="Arial" w:eastAsia="Arial" w:hAnsi="Arial"/>
                <w:sz w:val="17"/>
                <w:szCs w:val="17"/>
                <w:b w:val="1"/>
                <w:bCs w:val="1"/>
                <w:color w:val="auto"/>
                <w:w w:val="92"/>
              </w:rPr>
              <w:t>Year</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91"/>
              </w:rPr>
              <w:t>12/14/19 to</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b w:val="1"/>
                <w:bCs w:val="1"/>
                <w:color w:val="auto"/>
                <w:w w:val="91"/>
              </w:rPr>
              <w:t>01/01/19 to</w:t>
            </w:r>
          </w:p>
        </w:tc>
        <w:tc>
          <w:tcPr>
            <w:tcW w:w="160" w:type="dxa"/>
            <w:vAlign w:val="bottom"/>
          </w:tcPr>
          <w:p>
            <w:pPr>
              <w:spacing w:after="0"/>
              <w:rPr>
                <w:sz w:val="23"/>
                <w:szCs w:val="2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Combined</w:t>
            </w:r>
          </w:p>
        </w:tc>
        <w:tc>
          <w:tcPr>
            <w:tcW w:w="160" w:type="dxa"/>
            <w:vAlign w:val="bottom"/>
          </w:tcPr>
          <w:p>
            <w:pPr>
              <w:spacing w:after="0"/>
              <w:rPr>
                <w:sz w:val="23"/>
                <w:szCs w:val="23"/>
                <w:color w:val="auto"/>
              </w:rPr>
            </w:pPr>
          </w:p>
        </w:tc>
        <w:tc>
          <w:tcPr>
            <w:tcW w:w="1120" w:type="dxa"/>
            <w:vAlign w:val="bottom"/>
          </w:tcPr>
          <w:p>
            <w:pPr>
              <w:jc w:val="center"/>
              <w:ind w:right="55"/>
              <w:spacing w:after="0"/>
              <w:rPr>
                <w:sz w:val="20"/>
                <w:szCs w:val="20"/>
                <w:color w:val="auto"/>
              </w:rPr>
            </w:pPr>
            <w:r>
              <w:rPr>
                <w:rFonts w:ascii="Arial" w:cs="Arial" w:eastAsia="Arial" w:hAnsi="Arial"/>
                <w:sz w:val="17"/>
                <w:szCs w:val="17"/>
                <w:b w:val="1"/>
                <w:bCs w:val="1"/>
                <w:color w:val="auto"/>
                <w:w w:val="88"/>
              </w:rPr>
              <w:t>Ended</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b w:val="1"/>
                <w:bCs w:val="1"/>
                <w:color w:val="auto"/>
                <w:w w:val="90"/>
              </w:rPr>
              <w:t>12/31/19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b w:val="1"/>
                <w:bCs w:val="1"/>
                <w:color w:val="auto"/>
                <w:w w:val="90"/>
              </w:rPr>
              <w:t>12/13/19</w:t>
            </w:r>
          </w:p>
        </w:tc>
        <w:tc>
          <w:tcPr>
            <w:tcW w:w="160" w:type="dxa"/>
            <w:vAlign w:val="bottom"/>
          </w:tcPr>
          <w:p>
            <w:pPr>
              <w:spacing w:after="0"/>
              <w:rPr>
                <w:sz w:val="23"/>
                <w:szCs w:val="2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4"/>
              </w:rPr>
              <w:t>Results</w:t>
            </w:r>
          </w:p>
        </w:tc>
        <w:tc>
          <w:tcPr>
            <w:tcW w:w="160" w:type="dxa"/>
            <w:vAlign w:val="bottom"/>
          </w:tcPr>
          <w:p>
            <w:pPr>
              <w:spacing w:after="0"/>
              <w:rPr>
                <w:sz w:val="23"/>
                <w:szCs w:val="23"/>
                <w:color w:val="auto"/>
              </w:rPr>
            </w:pPr>
          </w:p>
        </w:tc>
        <w:tc>
          <w:tcPr>
            <w:tcW w:w="1120" w:type="dxa"/>
            <w:vAlign w:val="bottom"/>
          </w:tcPr>
          <w:p>
            <w:pPr>
              <w:jc w:val="center"/>
              <w:ind w:right="55"/>
              <w:spacing w:after="0"/>
              <w:rPr>
                <w:sz w:val="20"/>
                <w:szCs w:val="20"/>
                <w:color w:val="auto"/>
              </w:rPr>
            </w:pPr>
            <w:r>
              <w:rPr>
                <w:rFonts w:ascii="Arial" w:cs="Arial" w:eastAsia="Arial" w:hAnsi="Arial"/>
                <w:sz w:val="17"/>
                <w:szCs w:val="17"/>
                <w:b w:val="1"/>
                <w:bCs w:val="1"/>
                <w:color w:val="2C2C2C"/>
                <w:w w:val="93"/>
              </w:rPr>
              <w:t>12/31/18</w:t>
            </w:r>
          </w:p>
        </w:tc>
        <w:tc>
          <w:tcPr>
            <w:tcW w:w="0" w:type="dxa"/>
            <w:vAlign w:val="bottom"/>
          </w:tcPr>
          <w:p>
            <w:pPr>
              <w:spacing w:after="0"/>
              <w:rPr>
                <w:sz w:val="1"/>
                <w:szCs w:val="1"/>
                <w:color w:val="auto"/>
              </w:rPr>
            </w:pPr>
          </w:p>
        </w:tc>
      </w:tr>
      <w:tr>
        <w:trPr>
          <w:trHeight w:val="31"/>
        </w:trPr>
        <w:tc>
          <w:tcPr>
            <w:tcW w:w="5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20"/>
              <w:spacing w:after="0"/>
              <w:rPr>
                <w:sz w:val="20"/>
                <w:szCs w:val="20"/>
                <w:color w:val="auto"/>
              </w:rPr>
            </w:pPr>
            <w:r>
              <w:rPr>
                <w:rFonts w:ascii="Arial" w:cs="Arial" w:eastAsia="Arial" w:hAnsi="Arial"/>
                <w:sz w:val="17"/>
                <w:szCs w:val="17"/>
                <w:b w:val="1"/>
                <w:bCs w:val="1"/>
                <w:color w:val="auto"/>
              </w:rPr>
              <w:t>Net Income (Loss) Attributable to Weatherford</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3,661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3,635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(2,811)</w:t>
            </w:r>
          </w:p>
        </w:tc>
        <w:tc>
          <w:tcPr>
            <w:tcW w:w="0" w:type="dxa"/>
            <w:vAlign w:val="bottom"/>
          </w:tcPr>
          <w:p>
            <w:pPr>
              <w:spacing w:after="0"/>
              <w:rPr>
                <w:sz w:val="1"/>
                <w:szCs w:val="1"/>
                <w:color w:val="auto"/>
              </w:rPr>
            </w:pPr>
          </w:p>
        </w:tc>
      </w:tr>
      <w:tr>
        <w:trPr>
          <w:trHeight w:val="31"/>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Income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3,684</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3,660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(2,791)</w:t>
            </w:r>
          </w:p>
        </w:tc>
        <w:tc>
          <w:tcPr>
            <w:tcW w:w="0" w:type="dxa"/>
            <w:vAlign w:val="bottom"/>
          </w:tcPr>
          <w:p>
            <w:pPr>
              <w:spacing w:after="0"/>
              <w:rPr>
                <w:sz w:val="1"/>
                <w:szCs w:val="1"/>
                <w:color w:val="auto"/>
              </w:rPr>
            </w:pPr>
          </w:p>
        </w:tc>
      </w:tr>
      <w:tr>
        <w:trPr>
          <w:trHeight w:val="31"/>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362</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0" w:type="dxa"/>
            <w:vAlign w:val="bottom"/>
          </w:tcPr>
          <w:p>
            <w:pPr>
              <w:spacing w:after="0"/>
              <w:rPr>
                <w:sz w:val="1"/>
                <w:szCs w:val="1"/>
                <w:color w:val="auto"/>
              </w:rPr>
            </w:pPr>
          </w:p>
        </w:tc>
      </w:tr>
      <w:tr>
        <w:trPr>
          <w:trHeight w:val="239"/>
        </w:trPr>
        <w:tc>
          <w:tcPr>
            <w:tcW w:w="5220" w:type="dxa"/>
            <w:vAlign w:val="bottom"/>
          </w:tcPr>
          <w:p>
            <w:pPr>
              <w:ind w:left="260"/>
              <w:spacing w:after="0"/>
              <w:rPr>
                <w:sz w:val="20"/>
                <w:szCs w:val="20"/>
                <w:color w:val="auto"/>
              </w:rPr>
            </w:pPr>
            <w:r>
              <w:rPr>
                <w:rFonts w:ascii="Arial" w:cs="Arial" w:eastAsia="Arial" w:hAnsi="Arial"/>
                <w:sz w:val="17"/>
                <w:szCs w:val="17"/>
                <w:color w:val="auto"/>
              </w:rPr>
              <w:t>Income Tax Provision</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135</w:t>
            </w:r>
          </w:p>
        </w:tc>
        <w:tc>
          <w:tcPr>
            <w:tcW w:w="1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31"/>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447</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Arial" w:cs="Arial" w:eastAsia="Arial" w:hAnsi="Arial"/>
                <w:sz w:val="17"/>
                <w:szCs w:val="17"/>
                <w:color w:val="auto"/>
              </w:rPr>
              <w:t>EBITDA</w:t>
            </w: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4,628</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4,659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(1,587)</w:t>
            </w:r>
          </w:p>
        </w:tc>
        <w:tc>
          <w:tcPr>
            <w:tcW w:w="0" w:type="dxa"/>
            <w:vAlign w:val="bottom"/>
          </w:tcPr>
          <w:p>
            <w:pPr>
              <w:spacing w:after="0"/>
              <w:rPr>
                <w:sz w:val="1"/>
                <w:szCs w:val="1"/>
                <w:color w:val="auto"/>
              </w:rPr>
            </w:pPr>
          </w:p>
        </w:tc>
      </w:tr>
      <w:tr>
        <w:trPr>
          <w:trHeight w:val="31"/>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20"/>
              <w:spacing w:after="0"/>
              <w:rPr>
                <w:sz w:val="20"/>
                <w:szCs w:val="20"/>
                <w:color w:val="auto"/>
              </w:rPr>
            </w:pPr>
            <w:r>
              <w:rPr>
                <w:rFonts w:ascii="Arial" w:cs="Arial" w:eastAsia="Arial" w:hAnsi="Arial"/>
                <w:sz w:val="17"/>
                <w:szCs w:val="17"/>
                <w:b w:val="1"/>
                <w:bCs w:val="1"/>
                <w:color w:val="auto"/>
              </w:rPr>
              <w:t>Other (Income) Expense Adjustments: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Reorganization Items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(5,389)</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220" w:type="dxa"/>
            <w:vAlign w:val="bottom"/>
          </w:tcPr>
          <w:p>
            <w:pPr>
              <w:ind w:left="260"/>
              <w:spacing w:after="0"/>
              <w:rPr>
                <w:sz w:val="20"/>
                <w:szCs w:val="20"/>
                <w:color w:val="auto"/>
              </w:rPr>
            </w:pPr>
            <w:r>
              <w:rPr>
                <w:rFonts w:ascii="Arial" w:cs="Arial" w:eastAsia="Arial" w:hAnsi="Arial"/>
                <w:sz w:val="17"/>
                <w:szCs w:val="17"/>
                <w:color w:val="auto"/>
              </w:rPr>
              <w:t>Goodwill Impairment</w:t>
            </w:r>
          </w:p>
        </w:tc>
        <w:tc>
          <w:tcPr>
            <w:tcW w:w="14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730</w:t>
            </w:r>
          </w:p>
        </w:tc>
        <w:tc>
          <w:tcPr>
            <w:tcW w:w="1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730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1,917</w:t>
            </w:r>
          </w:p>
        </w:tc>
        <w:tc>
          <w:tcPr>
            <w:tcW w:w="0" w:type="dxa"/>
            <w:vAlign w:val="bottom"/>
          </w:tcPr>
          <w:p>
            <w:pPr>
              <w:spacing w:after="0"/>
              <w:rPr>
                <w:sz w:val="1"/>
                <w:szCs w:val="1"/>
                <w:color w:val="auto"/>
              </w:rPr>
            </w:pPr>
          </w:p>
        </w:tc>
      </w:tr>
      <w:tr>
        <w:trPr>
          <w:trHeight w:val="31"/>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Asset Write-Downs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374</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39"/>
        </w:trPr>
        <w:tc>
          <w:tcPr>
            <w:tcW w:w="5220" w:type="dxa"/>
            <w:vAlign w:val="bottom"/>
          </w:tcPr>
          <w:p>
            <w:pPr>
              <w:ind w:left="260"/>
              <w:spacing w:after="0"/>
              <w:rPr>
                <w:sz w:val="20"/>
                <w:szCs w:val="20"/>
                <w:color w:val="auto"/>
              </w:rPr>
            </w:pPr>
            <w:r>
              <w:rPr>
                <w:rFonts w:ascii="Arial" w:cs="Arial" w:eastAsia="Arial" w:hAnsi="Arial"/>
                <w:sz w:val="17"/>
                <w:szCs w:val="17"/>
                <w:color w:val="auto"/>
              </w:rPr>
              <w:t>Restructuring Charges</w:t>
            </w:r>
          </w:p>
        </w:tc>
        <w:tc>
          <w:tcPr>
            <w:tcW w:w="14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189</w:t>
            </w:r>
          </w:p>
        </w:tc>
        <w:tc>
          <w:tcPr>
            <w:tcW w:w="1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31"/>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Prepetition Charges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220" w:type="dxa"/>
            <w:vAlign w:val="bottom"/>
          </w:tcPr>
          <w:p>
            <w:pPr>
              <w:ind w:left="260"/>
              <w:spacing w:after="0"/>
              <w:rPr>
                <w:sz w:val="20"/>
                <w:szCs w:val="20"/>
                <w:color w:val="auto"/>
              </w:rPr>
            </w:pPr>
            <w:r>
              <w:rPr>
                <w:rFonts w:ascii="Arial" w:cs="Arial" w:eastAsia="Arial" w:hAnsi="Arial"/>
                <w:sz w:val="17"/>
                <w:szCs w:val="17"/>
                <w:color w:val="auto"/>
              </w:rPr>
              <w:t>(Gain) on Sale of Business</w:t>
            </w:r>
          </w:p>
        </w:tc>
        <w:tc>
          <w:tcPr>
            <w:tcW w:w="14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(112)</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 Non-Operating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9"/>
        </w:trPr>
        <w:tc>
          <w:tcPr>
            <w:tcW w:w="5220" w:type="dxa"/>
            <w:vAlign w:val="bottom"/>
          </w:tcPr>
          <w:p>
            <w:pPr>
              <w:ind w:left="260"/>
              <w:spacing w:after="0"/>
              <w:rPr>
                <w:sz w:val="20"/>
                <w:szCs w:val="20"/>
                <w:color w:val="auto"/>
              </w:rPr>
            </w:pPr>
            <w:r>
              <w:rPr>
                <w:rFonts w:ascii="Arial" w:cs="Arial" w:eastAsia="Arial" w:hAnsi="Arial"/>
                <w:sz w:val="17"/>
                <w:szCs w:val="17"/>
                <w:color w:val="auto"/>
              </w:rPr>
              <w:t>Other Expense, Net</w:t>
            </w:r>
          </w:p>
        </w:tc>
        <w:tc>
          <w:tcPr>
            <w:tcW w:w="14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31"/>
        </w:trPr>
        <w:tc>
          <w:tcPr>
            <w:tcW w:w="5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sectPr>
      <w:pgSz w:w="11900" w:h="16838" w:orient="portrait"/>
      <w:cols w:equalWidth="0" w:num="1">
        <w:col w:w="10680"/>
      </w:cols>
      <w:pgMar w:left="600" w:top="712"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
      <w:numFmt w:val="bullet"/>
      <w:start w:val="1"/>
    </w:lvl>
    <w:lvl w:ilvl="1">
      <w:lvlJc w:val="left"/>
      <w:lvlText w:val="◦"/>
      <w:numFmt w:val="bullet"/>
      <w:start w:val="1"/>
    </w:lvl>
  </w:abstractNum>
  <w:abstractNum w:abstractNumId="3">
    <w:nsid w:val="5BD062C2"/>
    <w:multiLevelType w:val="hybridMultilevel"/>
    <w:lvl w:ilvl="0">
      <w:lvlJc w:val="left"/>
      <w:lvlText w:val="•"/>
      <w:numFmt w:val="bullet"/>
      <w:start w:val="1"/>
    </w:lvl>
    <w:lvl w:ilvl="1">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2020-03-16T05:36:43Z</dcterms:created>
  <dcterms:modified xsi:type="dcterms:W3CDTF">2020-03-16T05:36:43Z</dcterms:modified>
</cp:coreProperties>
</file>