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12, 2018</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40"/>
          <w:szCs w:val="40"/>
          <w:b w:val="1"/>
          <w:bCs w:val="1"/>
          <w:u w:val="single" w:color="auto"/>
          <w:color w:val="auto"/>
        </w:rPr>
        <w:t>Weatherford International public limited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Ireland</w:t>
            </w:r>
          </w:p>
        </w:tc>
        <w:tc>
          <w:tcPr>
            <w:tcW w:w="3640" w:type="dxa"/>
            <w:vAlign w:val="bottom"/>
          </w:tcPr>
          <w:p>
            <w:pPr>
              <w:jc w:val="right"/>
              <w:ind w:right="1330"/>
              <w:spacing w:after="0"/>
              <w:rPr>
                <w:sz w:val="20"/>
                <w:szCs w:val="20"/>
                <w:color w:val="auto"/>
              </w:rPr>
            </w:pPr>
            <w:r>
              <w:rPr>
                <w:rFonts w:ascii="Arial" w:cs="Arial" w:eastAsia="Arial" w:hAnsi="Arial"/>
                <w:sz w:val="18"/>
                <w:szCs w:val="18"/>
                <w:b w:val="1"/>
                <w:bCs w:val="1"/>
                <w:color w:val="auto"/>
              </w:rPr>
              <w:t>001-36504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98-0606750</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(State or other jurisdiction of incorporation)</w:t>
            </w:r>
          </w:p>
        </w:tc>
        <w:tc>
          <w:tcPr>
            <w:tcW w:w="388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621"/>
        </w:trPr>
        <w:tc>
          <w:tcPr>
            <w:tcW w:w="77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7540" w:type="dxa"/>
            <w:vAlign w:val="bottom"/>
            <w:tcBorders>
              <w:bottom w:val="single" w:sz="8" w:color="auto"/>
            </w:tcBorders>
            <w:gridSpan w:val="3"/>
          </w:tcPr>
          <w:p>
            <w:pPr>
              <w:spacing w:after="0"/>
              <w:rPr>
                <w:sz w:val="2"/>
                <w:szCs w:val="2"/>
                <w:color w:val="auto"/>
              </w:rPr>
            </w:pPr>
          </w:p>
        </w:tc>
        <w:tc>
          <w:tcPr>
            <w:tcW w:w="240" w:type="dxa"/>
            <w:vAlign w:val="bottom"/>
            <w:gridSpan w:val="2"/>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780" w:type="dxa"/>
            <w:vAlign w:val="bottom"/>
            <w:gridSpan w:val="5"/>
          </w:tcPr>
          <w:p>
            <w:pPr>
              <w:jc w:val="center"/>
              <w:ind w:right="24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3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29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34290</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6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0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spacing w:after="0"/>
        <w:tabs>
          <w:tab w:leader="none" w:pos="24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105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December 12, 2018, Weatherford International plc (the “Company”) received written notice from the New York Stock Exchange (the “NYSE”) that the Company is not in compliance with the NYSE continued listing standard with respect to the minimum average share price required by the NYSE, which requires the average closing price of the Company’s ordinary shares to be at least $1.00 per share over a period of 30 consecutive trading days (Section 802.01C of the NYSE Listed Company Manual).</w:t>
      </w:r>
    </w:p>
    <w:p>
      <w:pPr>
        <w:spacing w:after="0" w:line="18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accordance with applicable NYSE procedures, the Company plans to notify the NYSE by December 27, 2018 of its receipt of the notice and of its intention to cure the noncompliance. The notice states that Company must bring its share price and average share price back above $1.00 by six months following receipt of the notice, but can demonstrate an accelerated cure at any time during the six-month cure period if on the last trading day of any calendar month during the cure period the closing share price of the Company’s ordinary shares is at least $1.00 and the average closing share price of the Company’s ordinary shares is at least $1.00 over the 30 trading-day period ending on the last trading day of that month.</w:t>
      </w:r>
    </w:p>
    <w:p>
      <w:pPr>
        <w:spacing w:after="0" w:line="17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notice has no immediate impact on the listing of the Company’s ordinary shares, which will continue to trade on the NYSE. The Company intends to regain compliance with Rule 802.01C by completing its previously announced Company-wide transformation plan designed to improve its 2017 EBITDA run-rate by an incremental $1 billion by year-end 2019. The Company may also explore other available options, including a reverse stock split, if appropriate.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December 14, 2018, as required by NYSE rules, the Company issued a press release announcing that it had received the notice. A copy of this press release is attached as Exhibit 99.1 to this Current Report on Form 8-K.</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60"/>
        <w:spacing w:after="0"/>
        <w:tabs>
          <w:tab w:leader="none" w:pos="16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13335</wp:posOffset>
            </wp:positionV>
            <wp:extent cx="6706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6235" cy="8890"/>
                    </a:xfrm>
                    <a:prstGeom prst="rect">
                      <a:avLst/>
                    </a:prstGeom>
                    <a:noFill/>
                  </pic:spPr>
                </pic:pic>
              </a:graphicData>
            </a:graphic>
          </wp:anchor>
        </w:drawing>
      </w:r>
    </w:p>
    <w:p>
      <w:pPr>
        <w:spacing w:after="0" w:line="149" w:lineRule="exact"/>
        <w:rPr>
          <w:sz w:val="20"/>
          <w:szCs w:val="20"/>
          <w:color w:val="auto"/>
        </w:rPr>
      </w:pPr>
    </w:p>
    <w:p>
      <w:pPr>
        <w:ind w:left="460"/>
        <w:spacing w:after="0"/>
        <w:tabs>
          <w:tab w:leader="none" w:pos="1620" w:val="left"/>
        </w:tabs>
        <w:rPr>
          <w:rFonts w:ascii="Arial" w:cs="Arial" w:eastAsia="Arial" w:hAnsi="Arial"/>
          <w:sz w:val="16"/>
          <w:szCs w:val="16"/>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6"/>
            <w:szCs w:val="16"/>
            <w:u w:val="single" w:color="auto"/>
            <w:color w:val="0000FF"/>
          </w:rPr>
          <w:t>Press release dated December 14, 2018 announcing the Company's receipt of the notice.</w:t>
        </w:r>
      </w:hyperlink>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36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0"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14, 2018</w:t>
      </w:r>
    </w:p>
    <w:p>
      <w:pPr>
        <w:spacing w:after="0" w:line="6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31750</wp:posOffset>
            </wp:positionV>
            <wp:extent cx="4485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Name: Christina M. Ibrahim</w:t>
      </w:r>
    </w:p>
    <w:p>
      <w:pPr>
        <w:spacing w:after="0" w:line="63"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Title: Executive Vice President, General Counsel, Chief Compliance Officer and Corporate Secretary</w:t>
      </w:r>
    </w:p>
    <w:p>
      <w:pPr>
        <w:sectPr>
          <w:pgSz w:w="11900" w:h="16838" w:orient="portrait"/>
          <w:cols w:equalWidth="0" w:num="1">
            <w:col w:w="11420"/>
          </w:cols>
          <w:pgMar w:left="240" w:top="634" w:right="2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134620</wp:posOffset>
            </wp:positionV>
            <wp:extent cx="1706880" cy="85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688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940"/>
        <w:spacing w:after="0"/>
        <w:rPr>
          <w:sz w:val="20"/>
          <w:szCs w:val="20"/>
          <w:color w:val="auto"/>
        </w:rPr>
      </w:pPr>
      <w:r>
        <w:rPr>
          <w:rFonts w:ascii="Arial" w:cs="Arial" w:eastAsia="Arial" w:hAnsi="Arial"/>
          <w:sz w:val="17"/>
          <w:szCs w:val="17"/>
          <w:b w:val="1"/>
          <w:bCs w:val="1"/>
          <w:color w:val="auto"/>
        </w:rPr>
        <w:t>PRESS RELEASE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Receives Notice from NYSE regarding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Listing Standard</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BAAR, SWITZERLAND, December 14, 2018 – </w:t>
      </w:r>
      <w:r>
        <w:rPr>
          <w:rFonts w:ascii="Arial" w:cs="Arial" w:eastAsia="Arial" w:hAnsi="Arial"/>
          <w:sz w:val="18"/>
          <w:szCs w:val="18"/>
          <w:color w:val="auto"/>
        </w:rPr>
        <w:t>Weatherford International plc (NYSE: WFT) (the “Company” or “Weatherford”) today announced it has</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written notice from the New York Stock Exchange (the “NYSE”) that the Company is not in compliance with the NYSE continued listing standard with respect to the minimum average share price required by the NYSE because the average closing price of its ordinary shares had fallen below $1.00 per share over a period of 30 consecutive trading days.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applicable NYSE procedures, the Company plans to timely notify the NYSE that it intends to cure the $1.00 per share deficiency and has six months following the receipt of the noncompliance notice to cure the deficiency and regain compliance with the NYSE continued listing requirement. The notice has no immediate impact on the listing of the Company’s ordinary shares, which will continue to trade on the NYSE.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intends to regain compliance by completing its previously announced company-wide transformation plan designed to improve its 2017 EBITDA run-rate by an incremental $1 billion by year-end 2019. The Company may also explore other available options, including a reverse stock split, if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90 countries and has a network of approximately 710 locations, including manufacturing, service, research and development, and training facilities and employs approximately 28,450 people. For more information, visit </w:t>
      </w:r>
      <w:r>
        <w:rPr>
          <w:rFonts w:ascii="Arial" w:cs="Arial" w:eastAsia="Arial" w:hAnsi="Arial"/>
          <w:sz w:val="18"/>
          <w:szCs w:val="18"/>
          <w:u w:val="single" w:color="auto"/>
          <w:color w:val="auto"/>
        </w:rPr>
        <w:t>www.weatherford.com</w:t>
      </w:r>
      <w:r>
        <w:rPr>
          <w:rFonts w:ascii="Arial" w:cs="Arial" w:eastAsia="Arial" w:hAnsi="Arial"/>
          <w:sz w:val="18"/>
          <w:szCs w:val="18"/>
          <w:color w:val="auto"/>
        </w:rPr>
        <w:t xml:space="preserve"> and connect with Weatherford on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1D1D1A"/>
        </w:rPr>
        <w:t>Forward-Looking Statements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1D1D1A"/>
        </w:rPr>
        <w:t>This press release includes forward-looking statements as defined under federal law, including, but not limited to, those related to the company’s plans to regain compliance with the NYSE continued listing standards.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forward looking statements and risk factors in the Company’s Annual Report on Form 10-K for the fiscal year ended December 31, 2017 and those risk factors set forth from time-to-time in other filings with the Securities and Exchange Commission. Weatherford undertakes no obligation to correct or update any forward-looking statement, whether as a result of new information, future events, or otherwise, except to the extent required under federal securities laws.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p>
        </w:tc>
        <w:tc>
          <w:tcPr>
            <w:tcW w:w="4840" w:type="dxa"/>
            <w:vAlign w:val="bottom"/>
          </w:tcPr>
          <w:p>
            <w:pPr>
              <w:jc w:val="right"/>
              <w:ind w:right="4470"/>
              <w:spacing w:after="0"/>
              <w:rPr>
                <w:sz w:val="20"/>
                <w:szCs w:val="20"/>
                <w:color w:val="auto"/>
              </w:rPr>
            </w:pPr>
            <w:r>
              <w:rPr>
                <w:rFonts w:ascii="Arial" w:cs="Arial" w:eastAsia="Arial" w:hAnsi="Arial"/>
                <w:sz w:val="18"/>
                <w:szCs w:val="18"/>
                <w:color w:val="auto"/>
                <w:w w:val="86"/>
              </w:rPr>
              <w:t>###</w:t>
            </w:r>
          </w:p>
        </w:tc>
      </w:tr>
      <w:tr>
        <w:trPr>
          <w:trHeight w:val="324"/>
        </w:trPr>
        <w:tc>
          <w:tcPr>
            <w:tcW w:w="5560" w:type="dxa"/>
            <w:vAlign w:val="bottom"/>
          </w:tcPr>
          <w:p>
            <w:pPr>
              <w:spacing w:after="0"/>
              <w:rPr>
                <w:sz w:val="20"/>
                <w:szCs w:val="20"/>
                <w:color w:val="auto"/>
              </w:rPr>
            </w:pPr>
            <w:r>
              <w:rPr>
                <w:rFonts w:ascii="Arial" w:cs="Arial" w:eastAsia="Arial" w:hAnsi="Arial"/>
                <w:sz w:val="18"/>
                <w:szCs w:val="18"/>
                <w:b w:val="1"/>
                <w:bCs w:val="1"/>
                <w:color w:val="auto"/>
              </w:rPr>
              <w:t>Weatherford Contacts:</w:t>
            </w:r>
          </w:p>
        </w:tc>
        <w:tc>
          <w:tcPr>
            <w:tcW w:w="4840" w:type="dxa"/>
            <w:vAlign w:val="bottom"/>
          </w:tcPr>
          <w:p>
            <w:pPr>
              <w:spacing w:after="0"/>
              <w:rPr>
                <w:sz w:val="24"/>
                <w:szCs w:val="24"/>
                <w:color w:val="auto"/>
              </w:rPr>
            </w:pPr>
          </w:p>
        </w:tc>
      </w:tr>
      <w:tr>
        <w:trPr>
          <w:trHeight w:val="378"/>
        </w:trPr>
        <w:tc>
          <w:tcPr>
            <w:tcW w:w="5560" w:type="dxa"/>
            <w:vAlign w:val="bottom"/>
          </w:tcPr>
          <w:p>
            <w:pPr>
              <w:ind w:left="40"/>
              <w:spacing w:after="0"/>
              <w:rPr>
                <w:sz w:val="20"/>
                <w:szCs w:val="20"/>
                <w:color w:val="auto"/>
              </w:rPr>
            </w:pPr>
            <w:r>
              <w:rPr>
                <w:rFonts w:ascii="Arial" w:cs="Arial" w:eastAsia="Arial" w:hAnsi="Arial"/>
                <w:sz w:val="18"/>
                <w:szCs w:val="18"/>
                <w:color w:val="auto"/>
              </w:rPr>
              <w:t>Christoph Bausch</w:t>
            </w:r>
          </w:p>
        </w:tc>
        <w:tc>
          <w:tcPr>
            <w:tcW w:w="484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556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c>
          <w:tcPr>
            <w:tcW w:w="4840" w:type="dxa"/>
            <w:vAlign w:val="bottom"/>
          </w:tcPr>
          <w:p>
            <w:pPr>
              <w:spacing w:after="0"/>
              <w:rPr>
                <w:sz w:val="23"/>
                <w:szCs w:val="23"/>
                <w:color w:val="auto"/>
              </w:rPr>
            </w:pPr>
          </w:p>
        </w:tc>
      </w:tr>
      <w:tr>
        <w:trPr>
          <w:trHeight w:val="459"/>
        </w:trPr>
        <w:tc>
          <w:tcPr>
            <w:tcW w:w="5560" w:type="dxa"/>
            <w:vAlign w:val="bottom"/>
          </w:tcPr>
          <w:p>
            <w:pPr>
              <w:ind w:left="40"/>
              <w:spacing w:after="0"/>
              <w:rPr>
                <w:sz w:val="20"/>
                <w:szCs w:val="20"/>
                <w:color w:val="auto"/>
              </w:rPr>
            </w:pPr>
            <w:r>
              <w:rPr>
                <w:rFonts w:ascii="Arial" w:cs="Arial" w:eastAsia="Arial" w:hAnsi="Arial"/>
                <w:sz w:val="18"/>
                <w:szCs w:val="18"/>
                <w:color w:val="auto"/>
              </w:rPr>
              <w:t>Karen David-Green</w:t>
            </w:r>
          </w:p>
        </w:tc>
        <w:tc>
          <w:tcPr>
            <w:tcW w:w="484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5560" w:type="dxa"/>
            <w:vAlign w:val="bottom"/>
          </w:tcPr>
          <w:p>
            <w:pPr>
              <w:ind w:left="40"/>
              <w:spacing w:after="0"/>
              <w:rPr>
                <w:sz w:val="20"/>
                <w:szCs w:val="20"/>
                <w:color w:val="auto"/>
              </w:rPr>
            </w:pPr>
            <w:r>
              <w:rPr>
                <w:rFonts w:ascii="Arial" w:cs="Arial" w:eastAsia="Arial" w:hAnsi="Arial"/>
                <w:sz w:val="18"/>
                <w:szCs w:val="18"/>
                <w:color w:val="auto"/>
                <w:w w:val="90"/>
              </w:rPr>
              <w:t>Senior Vice President Stakeholder Engagement and Chief Marketing Officer</w:t>
            </w:r>
          </w:p>
        </w:tc>
        <w:tc>
          <w:tcPr>
            <w:tcW w:w="484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2019-12-28T17:28:22Z</dcterms:created>
  <dcterms:modified xsi:type="dcterms:W3CDTF">2019-12-28T17:28:22Z</dcterms:modified>
</cp:coreProperties>
</file>