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November 1, 2021</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Weatherford International plc</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5"/>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Arial" w:cs="Arial" w:eastAsia="Arial" w:hAnsi="Arial"/>
                <w:sz w:val="18"/>
                <w:szCs w:val="18"/>
                <w:b w:val="1"/>
                <w:bCs w:val="1"/>
                <w:color w:val="auto"/>
                <w:w w:val="90"/>
              </w:rPr>
              <w:t>001-36504</w:t>
            </w:r>
          </w:p>
        </w:tc>
        <w:tc>
          <w:tcPr>
            <w:tcW w:w="25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3"/>
        </w:trPr>
        <w:tc>
          <w:tcPr>
            <w:tcW w:w="4260" w:type="dxa"/>
            <w:vAlign w:val="bottom"/>
            <w:gridSpan w:val="2"/>
          </w:tcPr>
          <w:p>
            <w:pPr>
              <w:ind w:left="240"/>
              <w:spacing w:after="0"/>
              <w:rPr>
                <w:sz w:val="20"/>
                <w:szCs w:val="20"/>
                <w:color w:val="auto"/>
              </w:rPr>
            </w:pPr>
            <w:r>
              <w:rPr>
                <w:rFonts w:ascii="Arial" w:cs="Arial" w:eastAsia="Arial" w:hAnsi="Arial"/>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Arial" w:cs="Arial" w:eastAsia="Arial" w:hAnsi="Arial"/>
                <w:sz w:val="18"/>
                <w:szCs w:val="18"/>
                <w:color w:val="auto"/>
                <w:w w:val="92"/>
              </w:rPr>
              <w:t>(Commission File Number)</w:t>
            </w:r>
          </w:p>
        </w:tc>
        <w:tc>
          <w:tcPr>
            <w:tcW w:w="33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(I.R.S. Employer Identification No.)</w:t>
            </w:r>
          </w:p>
        </w:tc>
      </w:tr>
      <w:tr>
        <w:trPr>
          <w:trHeight w:val="33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w w:val="97"/>
              </w:rPr>
              <w:t>2000 St. James Place ,  Houston,</w:t>
            </w:r>
          </w:p>
        </w:tc>
        <w:tc>
          <w:tcPr>
            <w:tcW w:w="33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77056</w:t>
            </w:r>
          </w:p>
        </w:tc>
        <w:tc>
          <w:tcPr>
            <w:tcW w:w="820" w:type="dxa"/>
            <w:vAlign w:val="bottom"/>
          </w:tcPr>
          <w:p>
            <w:pPr>
              <w:spacing w:after="0"/>
              <w:rPr>
                <w:sz w:val="24"/>
                <w:szCs w:val="24"/>
                <w:color w:val="auto"/>
              </w:rPr>
            </w:pPr>
          </w:p>
        </w:tc>
      </w:tr>
      <w:tr>
        <w:trPr>
          <w:trHeight w:val="223"/>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Arial" w:cs="Arial" w:eastAsia="Arial" w:hAnsi="Arial"/>
                <w:sz w:val="18"/>
                <w:szCs w:val="18"/>
                <w:color w:val="auto"/>
                <w:w w:val="91"/>
              </w:rPr>
              <w:t>(Zip Code)</w:t>
            </w:r>
          </w:p>
        </w:tc>
        <w:tc>
          <w:tcPr>
            <w:tcW w:w="820" w:type="dxa"/>
            <w:vAlign w:val="bottom"/>
          </w:tcPr>
          <w:p>
            <w:pPr>
              <w:spacing w:after="0"/>
              <w:rPr>
                <w:sz w:val="19"/>
                <w:szCs w:val="19"/>
                <w:color w:val="auto"/>
              </w:rPr>
            </w:pPr>
          </w:p>
        </w:tc>
      </w:tr>
    </w:tbl>
    <w:p>
      <w:pPr>
        <w:spacing w:after="0" w:line="74"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42" w:lineRule="exact"/>
        <w:rPr>
          <w:sz w:val="24"/>
          <w:szCs w:val="24"/>
          <w:color w:val="auto"/>
        </w:rPr>
      </w:pPr>
    </w:p>
    <w:p>
      <w:pPr>
        <w:ind w:left="54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16510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88"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2"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16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349"/>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color w:val="auto"/>
                <w:w w:val="91"/>
              </w:rPr>
              <w:t>Trading Symbol</w:t>
            </w: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23"/>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Arial" w:cs="Arial" w:eastAsia="Arial" w:hAnsi="Arial"/>
                <w:sz w:val="18"/>
                <w:szCs w:val="18"/>
                <w:color w:val="auto"/>
                <w:w w:val="88"/>
              </w:rPr>
              <w:t>Ordinary shares, $0.001 par value per share</w:t>
            </w:r>
          </w:p>
        </w:tc>
        <w:tc>
          <w:tcPr>
            <w:tcW w:w="2160" w:type="dxa"/>
            <w:vAlign w:val="bottom"/>
          </w:tcPr>
          <w:p>
            <w:pPr>
              <w:jc w:val="center"/>
              <w:ind w:right="231"/>
              <w:spacing w:after="0"/>
              <w:rPr>
                <w:sz w:val="20"/>
                <w:szCs w:val="20"/>
                <w:color w:val="auto"/>
              </w:rPr>
            </w:pPr>
            <w:r>
              <w:rPr>
                <w:rFonts w:ascii="Arial" w:cs="Arial" w:eastAsia="Arial" w:hAnsi="Arial"/>
                <w:sz w:val="18"/>
                <w:szCs w:val="18"/>
                <w:color w:val="auto"/>
                <w:w w:val="96"/>
              </w:rPr>
              <w:t>WFRD</w:t>
            </w:r>
          </w:p>
        </w:tc>
        <w:tc>
          <w:tcPr>
            <w:tcW w:w="454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78" w:lineRule="exact"/>
        <w:rPr>
          <w:sz w:val="24"/>
          <w:szCs w:val="24"/>
          <w:color w:val="auto"/>
        </w:rPr>
      </w:pPr>
    </w:p>
    <w:p>
      <w:pPr>
        <w:ind w:right="560"/>
        <w:spacing w:after="0" w:line="25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2" w:right="359" w:bottom="1440" w:gutter="0" w:footer="0" w:header="0"/>
        </w:sectPr>
      </w:pPr>
    </w:p>
    <w:bookmarkStart w:id="1" w:name="page2"/>
    <w:bookmarkEnd w:id="1"/>
    <w:p>
      <w:pPr>
        <w:ind w:left="2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47" w:lineRule="exact"/>
        <w:rPr>
          <w:sz w:val="20"/>
          <w:szCs w:val="20"/>
          <w:color w:val="auto"/>
        </w:rPr>
      </w:pPr>
    </w:p>
    <w:p>
      <w:pPr>
        <w:jc w:val="both"/>
        <w:ind w:firstLine="322"/>
        <w:spacing w:after="0" w:line="261" w:lineRule="auto"/>
        <w:rPr>
          <w:sz w:val="20"/>
          <w:szCs w:val="20"/>
          <w:color w:val="auto"/>
        </w:rPr>
      </w:pPr>
      <w:r>
        <w:rPr>
          <w:rFonts w:ascii="Arial" w:cs="Arial" w:eastAsia="Arial" w:hAnsi="Arial"/>
          <w:sz w:val="18"/>
          <w:szCs w:val="18"/>
          <w:color w:val="auto"/>
        </w:rPr>
        <w:t>On November 1, 2021, Weatherford International plc (“Weatherford” and together with its subsidiaries, “we” or the “Company”) issued a news release announcing results for the third quarter and nine months ended September 30, 2021. A copy of the news release is furnished as Exhibit 99.1 and incorporated into this Item 2.02.</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will host a conference call on Tuesday, November 2, 2021, to discuss the results for the third quarter and nine months ended September 30,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begin at 9:00 a.m. Eastern Time (8:00 a.m. Central Time).</w:t>
      </w:r>
    </w:p>
    <w:p>
      <w:pPr>
        <w:spacing w:after="0" w:line="235" w:lineRule="exact"/>
        <w:rPr>
          <w:sz w:val="20"/>
          <w:szCs w:val="20"/>
          <w:color w:val="auto"/>
        </w:rPr>
      </w:pPr>
    </w:p>
    <w:p>
      <w:pPr>
        <w:ind w:right="320" w:firstLine="322"/>
        <w:spacing w:after="0" w:line="259" w:lineRule="auto"/>
        <w:rPr>
          <w:sz w:val="20"/>
          <w:szCs w:val="20"/>
          <w:color w:val="auto"/>
        </w:rPr>
      </w:pPr>
      <w:r>
        <w:rPr>
          <w:rFonts w:ascii="Arial" w:cs="Arial" w:eastAsia="Arial" w:hAnsi="Arial"/>
          <w:sz w:val="18"/>
          <w:szCs w:val="18"/>
          <w:color w:val="auto"/>
        </w:rPr>
        <w:t>Listeners may register in advance for the conference call at http://dpregister.com/10160194 and will receive an email including a calendar reminder, dial-in number, and a PIN providing immediate access to the call.</w:t>
      </w:r>
    </w:p>
    <w:p>
      <w:pPr>
        <w:spacing w:after="0" w:line="197" w:lineRule="exact"/>
        <w:rPr>
          <w:sz w:val="20"/>
          <w:szCs w:val="20"/>
          <w:color w:val="auto"/>
        </w:rPr>
      </w:pPr>
    </w:p>
    <w:p>
      <w:pPr>
        <w:jc w:val="both"/>
        <w:ind w:firstLine="322"/>
        <w:spacing w:after="0" w:line="257" w:lineRule="auto"/>
        <w:rPr>
          <w:sz w:val="20"/>
          <w:szCs w:val="20"/>
          <w:color w:val="auto"/>
        </w:rPr>
      </w:pPr>
      <w:r>
        <w:rPr>
          <w:rFonts w:ascii="Arial" w:cs="Arial" w:eastAsia="Arial" w:hAnsi="Arial"/>
          <w:sz w:val="18"/>
          <w:szCs w:val="18"/>
          <w:color w:val="auto"/>
        </w:rPr>
        <w:t>Weatherford invites investors to listen to the call live via live webcast on the Company’s website at https://www.weatherford.com/en/investor-relations/investor-news-and-events/events/. Alternatively, listeners can access the conference call by dialing +1 877-328-5344 (within the U.S.) or +1 412-902-6762 (outside of the U.S.) and asking for the Weatherford conference call. Listeners should log in or dial in approximately 10 minutes prior to the start of the call.</w:t>
      </w:r>
    </w:p>
    <w:p>
      <w:pPr>
        <w:spacing w:after="0" w:line="214" w:lineRule="exact"/>
        <w:rPr>
          <w:sz w:val="20"/>
          <w:szCs w:val="20"/>
          <w:color w:val="auto"/>
        </w:rPr>
      </w:pPr>
    </w:p>
    <w:p>
      <w:pPr>
        <w:jc w:val="both"/>
        <w:ind w:firstLine="322"/>
        <w:spacing w:after="0" w:line="259" w:lineRule="auto"/>
        <w:rPr>
          <w:sz w:val="20"/>
          <w:szCs w:val="20"/>
          <w:color w:val="auto"/>
        </w:rPr>
      </w:pPr>
      <w:r>
        <w:rPr>
          <w:rFonts w:ascii="Arial" w:cs="Arial" w:eastAsia="Arial" w:hAnsi="Arial"/>
          <w:sz w:val="18"/>
          <w:szCs w:val="18"/>
          <w:color w:val="auto"/>
        </w:rPr>
        <w:t>Participants are encouraged to download the accompanying presentation slides which will be available in the investor relations section of the Company’s website.</w:t>
      </w:r>
    </w:p>
    <w:p>
      <w:pPr>
        <w:spacing w:after="0" w:line="197" w:lineRule="exact"/>
        <w:rPr>
          <w:sz w:val="20"/>
          <w:szCs w:val="20"/>
          <w:color w:val="auto"/>
        </w:rPr>
      </w:pPr>
    </w:p>
    <w:p>
      <w:pPr>
        <w:jc w:val="both"/>
        <w:ind w:firstLine="322"/>
        <w:spacing w:after="0" w:line="261" w:lineRule="auto"/>
        <w:rPr>
          <w:sz w:val="20"/>
          <w:szCs w:val="20"/>
          <w:color w:val="auto"/>
        </w:rPr>
      </w:pPr>
      <w:r>
        <w:rPr>
          <w:rFonts w:ascii="Arial" w:cs="Arial" w:eastAsia="Arial" w:hAnsi="Arial"/>
          <w:sz w:val="18"/>
          <w:szCs w:val="18"/>
          <w:color w:val="auto"/>
        </w:rPr>
        <w:t>A telephonic replay of the conference call will be available until November 16, 2021, at 5:00 p.m. Eastern Time. To access the replay, please dial +1 877-344-7529 (within the U.S.) or +1 412-317-0088 (outside of the U.S.) and reference conference number 10160194. A replay and transcript of the earnings call will also be available in the investor relations section of the Company’s website.</w:t>
      </w:r>
    </w:p>
    <w:p>
      <w:pPr>
        <w:spacing w:after="0" w:line="200" w:lineRule="exact"/>
        <w:rPr>
          <w:sz w:val="20"/>
          <w:szCs w:val="20"/>
          <w:color w:val="auto"/>
        </w:rPr>
      </w:pPr>
    </w:p>
    <w:p>
      <w:pPr>
        <w:spacing w:after="0" w:line="288"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94" w:lineRule="exact"/>
        <w:rPr>
          <w:sz w:val="20"/>
          <w:szCs w:val="20"/>
          <w:color w:val="auto"/>
        </w:rPr>
      </w:pPr>
    </w:p>
    <w:p>
      <w:pPr>
        <w:ind w:left="1660" w:hanging="978"/>
        <w:spacing w:after="0"/>
        <w:tabs>
          <w:tab w:leader="none" w:pos="1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64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 Number</w:t>
            </w: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181"/>
        </w:trPr>
        <w:tc>
          <w:tcPr>
            <w:tcW w:w="1520" w:type="dxa"/>
            <w:vAlign w:val="bottom"/>
            <w:tcBorders>
              <w:top w:val="single" w:sz="8" w:color="auto"/>
            </w:tcBorders>
          </w:tcPr>
          <w:p>
            <w:pPr>
              <w:jc w:val="right"/>
              <w:ind w:right="511"/>
              <w:spacing w:after="0" w:line="182"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9600" w:type="dxa"/>
            <w:vAlign w:val="bottom"/>
            <w:tcBorders>
              <w:top w:val="single" w:sz="8" w:color="auto"/>
            </w:tcBorders>
            <w:gridSpan w:val="2"/>
          </w:tcPr>
          <w:p>
            <w:pPr>
              <w:spacing w:after="0" w:line="182" w:lineRule="exact"/>
              <w:rPr>
                <w:rFonts w:ascii="Arial" w:cs="Arial" w:eastAsia="Arial" w:hAnsi="Arial"/>
                <w:sz w:val="18"/>
                <w:szCs w:val="18"/>
                <w:color w:val="0000FF"/>
                <w:w w:val="95"/>
              </w:rPr>
            </w:pPr>
            <w:hyperlink w:anchor="page4">
              <w:r>
                <w:rPr>
                  <w:rFonts w:ascii="Arial" w:cs="Arial" w:eastAsia="Arial" w:hAnsi="Arial"/>
                  <w:sz w:val="18"/>
                  <w:szCs w:val="18"/>
                  <w:color w:val="0000FF"/>
                  <w:w w:val="95"/>
                </w:rPr>
                <w:t>News Release dated November 1, 2021, announcing results for the third quarter and nine months ended September 30, 2021.</w:t>
              </w:r>
            </w:hyperlink>
          </w:p>
        </w:tc>
      </w:tr>
      <w:tr>
        <w:trPr>
          <w:trHeight w:val="249"/>
        </w:trPr>
        <w:tc>
          <w:tcPr>
            <w:tcW w:w="1520" w:type="dxa"/>
            <w:vAlign w:val="bottom"/>
          </w:tcPr>
          <w:p>
            <w:pPr>
              <w:jc w:val="right"/>
              <w:ind w:right="53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894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c>
          <w:tcPr>
            <w:tcW w:w="660" w:type="dxa"/>
            <w:vAlign w:val="bottom"/>
          </w:tcPr>
          <w:p>
            <w:pPr>
              <w:spacing w:after="0"/>
              <w:rPr>
                <w:sz w:val="21"/>
                <w:szCs w:val="21"/>
                <w:color w:val="auto"/>
              </w:rPr>
            </w:pPr>
          </w:p>
        </w:tc>
      </w:tr>
      <w:tr>
        <w:trPr>
          <w:trHeight w:val="973"/>
        </w:trPr>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9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5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5"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November 1, 2021</w:t>
      </w:r>
    </w:p>
    <w:p>
      <w:pPr>
        <w:spacing w:after="0" w:line="21"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1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H. Keith Jennings</w:t>
      </w:r>
    </w:p>
    <w:p>
      <w:pPr>
        <w:spacing w:after="0" w:line="2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140"/>
          </w:cols>
          <w:pgMar w:left="320" w:top="886"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59055</wp:posOffset>
            </wp:positionV>
            <wp:extent cx="1891665" cy="784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1665" cy="78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20"/>
        <w:spacing w:after="0"/>
        <w:rPr>
          <w:sz w:val="20"/>
          <w:szCs w:val="20"/>
          <w:color w:val="auto"/>
        </w:rPr>
      </w:pPr>
      <w:r>
        <w:rPr>
          <w:rFonts w:ascii="Arial" w:cs="Arial" w:eastAsia="Arial" w:hAnsi="Arial"/>
          <w:sz w:val="16"/>
          <w:szCs w:val="16"/>
          <w:b w:val="1"/>
          <w:bCs w:val="1"/>
          <w:color w:val="auto"/>
        </w:rPr>
        <w:t>News Release</w:t>
      </w:r>
    </w:p>
    <w:p>
      <w:pPr>
        <w:spacing w:after="0" w:line="200" w:lineRule="exact"/>
        <w:rPr>
          <w:sz w:val="20"/>
          <w:szCs w:val="20"/>
          <w:color w:val="auto"/>
        </w:rPr>
      </w:pPr>
    </w:p>
    <w:p>
      <w:pPr>
        <w:spacing w:after="0" w:line="237" w:lineRule="exact"/>
        <w:rPr>
          <w:sz w:val="20"/>
          <w:szCs w:val="20"/>
          <w:color w:val="auto"/>
        </w:rPr>
      </w:pPr>
    </w:p>
    <w:p>
      <w:pPr>
        <w:ind w:left="1660"/>
        <w:spacing w:after="0"/>
        <w:rPr>
          <w:sz w:val="20"/>
          <w:szCs w:val="20"/>
          <w:color w:val="auto"/>
        </w:rPr>
      </w:pPr>
      <w:r>
        <w:rPr>
          <w:rFonts w:ascii="Arial" w:cs="Arial" w:eastAsia="Arial" w:hAnsi="Arial"/>
          <w:sz w:val="32"/>
          <w:szCs w:val="32"/>
          <w:b w:val="1"/>
          <w:bCs w:val="1"/>
          <w:color w:val="auto"/>
        </w:rPr>
        <w:t>Weatherford Announces Third Quarter 2021 Results</w:t>
      </w:r>
    </w:p>
    <w:p>
      <w:pPr>
        <w:spacing w:after="0" w:line="200" w:lineRule="exact"/>
        <w:rPr>
          <w:sz w:val="20"/>
          <w:szCs w:val="20"/>
          <w:color w:val="auto"/>
        </w:rPr>
      </w:pPr>
    </w:p>
    <w:p>
      <w:pPr>
        <w:spacing w:after="0" w:line="369" w:lineRule="exact"/>
        <w:rPr>
          <w:sz w:val="20"/>
          <w:szCs w:val="20"/>
          <w:color w:val="auto"/>
        </w:rPr>
      </w:pPr>
    </w:p>
    <w:p>
      <w:pPr>
        <w:ind w:left="320" w:hanging="311"/>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Revenues of $945 million increased 5% sequentially driven by a 6% increase in service revenues</w:t>
      </w:r>
    </w:p>
    <w:p>
      <w:pPr>
        <w:spacing w:after="0" w:line="105" w:lineRule="exact"/>
        <w:rPr>
          <w:rFonts w:ascii="Arial" w:cs="Arial" w:eastAsia="Arial" w:hAnsi="Arial"/>
          <w:sz w:val="20"/>
          <w:szCs w:val="20"/>
          <w:color w:val="auto"/>
        </w:rPr>
      </w:pPr>
    </w:p>
    <w:p>
      <w:pPr>
        <w:ind w:left="320" w:hanging="311"/>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Operating income totaled $71 million and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totaled $179 million or 19% adjusted EBITDA margins</w:t>
      </w:r>
    </w:p>
    <w:p>
      <w:pPr>
        <w:spacing w:after="0" w:line="48" w:lineRule="exact"/>
        <w:rPr>
          <w:rFonts w:ascii="Arial" w:cs="Arial" w:eastAsia="Arial" w:hAnsi="Arial"/>
          <w:sz w:val="20"/>
          <w:szCs w:val="20"/>
          <w:color w:val="auto"/>
        </w:rPr>
      </w:pPr>
    </w:p>
    <w:p>
      <w:pPr>
        <w:ind w:left="320" w:hanging="311"/>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Cash provided by operating activities of $114 million and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$111 million</w:t>
      </w:r>
    </w:p>
    <w:p>
      <w:pPr>
        <w:spacing w:after="0" w:line="48" w:lineRule="exact"/>
        <w:rPr>
          <w:rFonts w:ascii="Arial" w:cs="Arial" w:eastAsia="Arial" w:hAnsi="Arial"/>
          <w:sz w:val="20"/>
          <w:szCs w:val="20"/>
          <w:color w:val="auto"/>
        </w:rPr>
      </w:pPr>
    </w:p>
    <w:p>
      <w:pPr>
        <w:ind w:left="320" w:hanging="311"/>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Restructured and reduced our debt capital</w:t>
      </w:r>
    </w:p>
    <w:p>
      <w:pPr>
        <w:spacing w:after="0" w:line="105" w:lineRule="exact"/>
        <w:rPr>
          <w:rFonts w:ascii="Arial" w:cs="Arial" w:eastAsia="Arial" w:hAnsi="Arial"/>
          <w:sz w:val="20"/>
          <w:szCs w:val="20"/>
          <w:color w:val="auto"/>
        </w:rPr>
      </w:pPr>
    </w:p>
    <w:p>
      <w:pPr>
        <w:ind w:left="960" w:hanging="306"/>
        <w:spacing w:after="0"/>
        <w:tabs>
          <w:tab w:leader="none" w:pos="960" w:val="left"/>
        </w:tabs>
        <w:numPr>
          <w:ilvl w:val="1"/>
          <w:numId w:val="3"/>
        </w:numPr>
        <w:rPr>
          <w:rFonts w:ascii="Arial" w:cs="Arial" w:eastAsia="Arial" w:hAnsi="Arial"/>
          <w:sz w:val="20"/>
          <w:szCs w:val="20"/>
          <w:color w:val="auto"/>
        </w:rPr>
      </w:pPr>
      <w:r>
        <w:rPr>
          <w:rFonts w:ascii="Arial" w:cs="Arial" w:eastAsia="Arial" w:hAnsi="Arial"/>
          <w:sz w:val="20"/>
          <w:szCs w:val="20"/>
          <w:color w:val="auto"/>
        </w:rPr>
        <w:t>Redeemed $200 million of our unsecured 11.00% Exit Notes</w:t>
      </w:r>
    </w:p>
    <w:p>
      <w:pPr>
        <w:spacing w:after="0" w:line="105" w:lineRule="exact"/>
        <w:rPr>
          <w:rFonts w:ascii="Arial" w:cs="Arial" w:eastAsia="Arial" w:hAnsi="Arial"/>
          <w:sz w:val="20"/>
          <w:szCs w:val="20"/>
          <w:color w:val="auto"/>
        </w:rPr>
      </w:pPr>
    </w:p>
    <w:p>
      <w:pPr>
        <w:ind w:left="960" w:hanging="306"/>
        <w:spacing w:after="0"/>
        <w:tabs>
          <w:tab w:leader="none" w:pos="960" w:val="left"/>
        </w:tabs>
        <w:numPr>
          <w:ilvl w:val="1"/>
          <w:numId w:val="3"/>
        </w:numPr>
        <w:rPr>
          <w:rFonts w:ascii="Arial" w:cs="Arial" w:eastAsia="Arial" w:hAnsi="Arial"/>
          <w:sz w:val="20"/>
          <w:szCs w:val="20"/>
          <w:color w:val="auto"/>
        </w:rPr>
      </w:pPr>
      <w:r>
        <w:rPr>
          <w:rFonts w:ascii="Arial" w:cs="Arial" w:eastAsia="Arial" w:hAnsi="Arial"/>
          <w:sz w:val="20"/>
          <w:szCs w:val="20"/>
          <w:color w:val="auto"/>
        </w:rPr>
        <w:t>Issued 6.5% Senior Secured Notes of $500 million due 2028, refinancing our 8.75% 2024 Senior Secured</w:t>
      </w:r>
    </w:p>
    <w:p>
      <w:pPr>
        <w:spacing w:after="0" w:line="105" w:lineRule="exact"/>
        <w:rPr>
          <w:rFonts w:ascii="Arial" w:cs="Arial" w:eastAsia="Arial" w:hAnsi="Arial"/>
          <w:sz w:val="20"/>
          <w:szCs w:val="20"/>
          <w:color w:val="auto"/>
        </w:rPr>
      </w:pPr>
    </w:p>
    <w:p>
      <w:pPr>
        <w:ind w:left="980" w:hanging="326"/>
        <w:spacing w:after="0" w:line="370" w:lineRule="auto"/>
        <w:tabs>
          <w:tab w:leader="none" w:pos="969" w:val="left"/>
        </w:tabs>
        <w:numPr>
          <w:ilvl w:val="1"/>
          <w:numId w:val="3"/>
        </w:numPr>
        <w:rPr>
          <w:rFonts w:ascii="Arial" w:cs="Arial" w:eastAsia="Arial" w:hAnsi="Arial"/>
          <w:sz w:val="20"/>
          <w:szCs w:val="20"/>
          <w:color w:val="auto"/>
        </w:rPr>
      </w:pPr>
      <w:r>
        <w:rPr>
          <w:rFonts w:ascii="Arial" w:cs="Arial" w:eastAsia="Arial" w:hAnsi="Arial"/>
          <w:sz w:val="20"/>
          <w:szCs w:val="20"/>
          <w:color w:val="auto"/>
        </w:rPr>
        <w:t>Issued 8.625% Senior Notes of $1.6 billion, refinanced the same amount of our 11.00% Exit Notes, extending maturity from 2024 to 2030</w:t>
      </w:r>
    </w:p>
    <w:p>
      <w:pPr>
        <w:sectPr>
          <w:pgSz w:w="11900" w:h="16838" w:orient="portrait"/>
          <w:cols w:equalWidth="0" w:num="1">
            <w:col w:w="10920"/>
          </w:cols>
          <w:pgMar w:left="640" w:top="1047" w:right="339" w:bottom="1440" w:gutter="0" w:footer="0" w:header="0"/>
        </w:sectPr>
      </w:pPr>
    </w:p>
    <w:bookmarkStart w:id="4" w:name="page5"/>
    <w:bookmarkEnd w:id="4"/>
    <w:p>
      <w:pPr>
        <w:jc w:val="both"/>
        <w:spacing w:after="0" w:line="376" w:lineRule="auto"/>
        <w:rPr>
          <w:sz w:val="20"/>
          <w:szCs w:val="20"/>
          <w:color w:val="auto"/>
        </w:rPr>
      </w:pPr>
      <w:r>
        <w:rPr>
          <w:rFonts w:ascii="Arial" w:cs="Arial" w:eastAsia="Arial" w:hAnsi="Arial"/>
          <w:sz w:val="20"/>
          <w:szCs w:val="20"/>
          <w:b w:val="1"/>
          <w:bCs w:val="1"/>
          <w:color w:val="auto"/>
        </w:rPr>
        <w:t xml:space="preserve">Houston, November 1, 2021 – </w:t>
      </w:r>
      <w:r>
        <w:rPr>
          <w:rFonts w:ascii="Arial" w:cs="Arial" w:eastAsia="Arial" w:hAnsi="Arial"/>
          <w:sz w:val="20"/>
          <w:szCs w:val="20"/>
          <w:color w:val="auto"/>
        </w:rPr>
        <w:t>Weatherford International plc (NASDAQ: WFRD) (“Weatherford” or the “Company”) announced today its</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third quarter of 2021.</w:t>
      </w:r>
    </w:p>
    <w:p>
      <w:pPr>
        <w:spacing w:after="0" w:line="126" w:lineRule="exact"/>
        <w:rPr>
          <w:sz w:val="20"/>
          <w:szCs w:val="20"/>
          <w:color w:val="auto"/>
        </w:rPr>
      </w:pPr>
    </w:p>
    <w:p>
      <w:pPr>
        <w:jc w:val="both"/>
        <w:spacing w:after="0" w:line="357" w:lineRule="auto"/>
        <w:rPr>
          <w:sz w:val="20"/>
          <w:szCs w:val="20"/>
          <w:color w:val="auto"/>
        </w:rPr>
      </w:pPr>
      <w:r>
        <w:rPr>
          <w:rFonts w:ascii="Arial" w:cs="Arial" w:eastAsia="Arial" w:hAnsi="Arial"/>
          <w:sz w:val="20"/>
          <w:szCs w:val="20"/>
          <w:color w:val="auto"/>
        </w:rPr>
        <w:t xml:space="preserve">Third quarter 2021 revenues were $945 million, an increase of </w:t>
      </w:r>
      <w:r>
        <w:rPr>
          <w:rFonts w:ascii="Arial" w:cs="Arial" w:eastAsia="Arial" w:hAnsi="Arial"/>
          <w:sz w:val="21"/>
          <w:szCs w:val="21"/>
          <w:color w:val="auto"/>
        </w:rPr>
        <w:t>5%</w:t>
      </w:r>
      <w:r>
        <w:rPr>
          <w:rFonts w:ascii="Arial" w:cs="Arial" w:eastAsia="Arial" w:hAnsi="Arial"/>
          <w:sz w:val="20"/>
          <w:szCs w:val="20"/>
          <w:color w:val="auto"/>
        </w:rPr>
        <w:t xml:space="preserve"> sequentially and </w:t>
      </w:r>
      <w:r>
        <w:rPr>
          <w:rFonts w:ascii="Arial" w:cs="Arial" w:eastAsia="Arial" w:hAnsi="Arial"/>
          <w:sz w:val="21"/>
          <w:szCs w:val="21"/>
          <w:color w:val="auto"/>
        </w:rPr>
        <w:t>17%</w:t>
      </w:r>
      <w:r>
        <w:rPr>
          <w:rFonts w:ascii="Arial" w:cs="Arial" w:eastAsia="Arial" w:hAnsi="Arial"/>
          <w:sz w:val="20"/>
          <w:szCs w:val="20"/>
          <w:color w:val="auto"/>
        </w:rPr>
        <w:t xml:space="preserve"> year-on-year. Third quarter 2021 operating income was $71 million compared to operating income of $25 million in the second quarter of 2021 and an operating loss of $60 million in the third quarter of 2020. Third quarter 2021 net loss was $95 million compared to $78 million in the second quarter of 2021 and $174 million in the third quarter of 2020.</w:t>
      </w:r>
    </w:p>
    <w:p>
      <w:pPr>
        <w:spacing w:after="0" w:line="136"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Third quarter 2021 cash flows provided by operations were $114 million compared to $46 million in the second quarter of 2021 and $127 million in the third quarter of 2020. Capital expenditures were $20 million in the third quarter of 2021 compared to $9 million in the second quarter of 2021 and $27 million in the third quarter of 2020.</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Third quarter 2021:</w:t>
      </w:r>
    </w:p>
    <w:p>
      <w:pPr>
        <w:spacing w:after="0" w:line="213" w:lineRule="exact"/>
        <w:rPr>
          <w:sz w:val="20"/>
          <w:szCs w:val="20"/>
          <w:color w:val="auto"/>
        </w:rPr>
      </w:pPr>
    </w:p>
    <w:p>
      <w:pPr>
        <w:ind w:left="480" w:hanging="151"/>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$179 million, an increase of 32% sequentially and 72% year-over-year</w:t>
      </w:r>
    </w:p>
    <w:p>
      <w:pPr>
        <w:spacing w:after="0" w:line="155" w:lineRule="exact"/>
        <w:rPr>
          <w:rFonts w:ascii="Arial" w:cs="Arial" w:eastAsia="Arial" w:hAnsi="Arial"/>
          <w:sz w:val="20"/>
          <w:szCs w:val="20"/>
          <w:color w:val="auto"/>
        </w:rPr>
      </w:pPr>
    </w:p>
    <w:p>
      <w:pPr>
        <w:ind w:left="480" w:hanging="151"/>
        <w:spacing w:after="0"/>
        <w:tabs>
          <w:tab w:leader="none" w:pos="480" w:val="left"/>
        </w:tabs>
        <w:numPr>
          <w:ilvl w:val="0"/>
          <w:numId w:val="4"/>
        </w:numPr>
        <w:rPr>
          <w:rFonts w:ascii="Arial" w:cs="Arial" w:eastAsia="Arial" w:hAnsi="Arial"/>
          <w:sz w:val="19"/>
          <w:szCs w:val="19"/>
          <w:color w:val="auto"/>
        </w:rPr>
      </w:pPr>
      <w:r>
        <w:rPr>
          <w:rFonts w:ascii="Arial" w:cs="Arial" w:eastAsia="Arial" w:hAnsi="Arial"/>
          <w:sz w:val="19"/>
          <w:szCs w:val="19"/>
          <w:color w:val="auto"/>
        </w:rPr>
        <w:t>Unlevered free cash flow</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of $141 million, a decrease of $24 million sequentially and an increase of $34 million year-over-year</w:t>
      </w:r>
    </w:p>
    <w:p>
      <w:pPr>
        <w:spacing w:after="0" w:line="180" w:lineRule="exact"/>
        <w:rPr>
          <w:rFonts w:ascii="Arial" w:cs="Arial" w:eastAsia="Arial" w:hAnsi="Arial"/>
          <w:sz w:val="19"/>
          <w:szCs w:val="19"/>
          <w:color w:val="auto"/>
        </w:rPr>
      </w:pPr>
    </w:p>
    <w:p>
      <w:pPr>
        <w:ind w:left="480" w:hanging="151"/>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Free cash flow of $111 million, an increase of $63 million sequentially and $6 million year-on-year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3" w:right="339" w:bottom="1440" w:gutter="0" w:footer="0" w:header="0"/>
        </w:sectPr>
      </w:pPr>
    </w:p>
    <w:bookmarkStart w:id="5" w:name="page6"/>
    <w:bookmarkEnd w:id="5"/>
    <w:p>
      <w:pPr>
        <w:jc w:val="both"/>
        <w:spacing w:after="0" w:line="356" w:lineRule="auto"/>
        <w:rPr>
          <w:sz w:val="20"/>
          <w:szCs w:val="20"/>
          <w:color w:val="auto"/>
        </w:rPr>
      </w:pPr>
      <w:r>
        <w:rPr>
          <w:rFonts w:ascii="Arial" w:cs="Arial" w:eastAsia="Arial" w:hAnsi="Arial"/>
          <w:sz w:val="20"/>
          <w:szCs w:val="20"/>
          <w:color w:val="auto"/>
        </w:rPr>
        <w:t>Girish Saligram, President and Chief Executive Officer, commented, “Our third quarter results reflect our commitment to continually driving positive operating performance, despite this being a quarter of negative weather impacts and rising inflation. Our strategic initiatives continue to guide our progress as we continue to make improvements across all focus areas, including North American profitability, global inventory utilization, and capital structure improvements.</w:t>
      </w:r>
    </w:p>
    <w:p>
      <w:pPr>
        <w:spacing w:after="0" w:line="139" w:lineRule="exact"/>
        <w:rPr>
          <w:sz w:val="20"/>
          <w:szCs w:val="20"/>
          <w:color w:val="auto"/>
        </w:rPr>
      </w:pPr>
    </w:p>
    <w:p>
      <w:pPr>
        <w:jc w:val="both"/>
        <w:spacing w:after="0" w:line="428" w:lineRule="auto"/>
        <w:rPr>
          <w:sz w:val="20"/>
          <w:szCs w:val="20"/>
          <w:color w:val="auto"/>
        </w:rPr>
      </w:pPr>
      <w:r>
        <w:rPr>
          <w:rFonts w:ascii="Arial" w:cs="Arial" w:eastAsia="Arial" w:hAnsi="Arial"/>
          <w:sz w:val="17"/>
          <w:szCs w:val="17"/>
          <w:color w:val="auto"/>
        </w:rPr>
        <w:t>“The third quarter performance clearly demonstrates the advancement of our strategic imperatives. We remain intent on institutionalizing improvements into our business processes, while retaining the ability to capture activity increases at greater fall through margins, as evidenced by the outstanding EBITDA performance. Our product and service portfolio continued to prove its strength with record-breaking accomplishments. Our market-leading product lines, including MPD and TRS, enabled us to drive synergies across our portfolio and carve out the unique value of integrating our offerings, as evidenced, this quarter in the United Kingdom and Mexico.</w:t>
      </w:r>
    </w:p>
    <w:p>
      <w:pPr>
        <w:spacing w:after="0" w:line="96"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“In the third quarter, we broadened the influence of our strategic vectors of digitalization and energy transition, with the increased uptake of our ForeSite suite, with an award in the Middle East and expansion in Latin America. Further, we showcased our innovation in the geothermal space by applying MPD technology and expertise.</w:t>
      </w:r>
    </w:p>
    <w:p>
      <w:pPr>
        <w:spacing w:after="0" w:line="133"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“We ended the third quarter of 2021 with ample liquidity after generating $111 million of positive free cash flow, resulting from improved operating performance, and disciplined capital allocation and expenditures.</w:t>
      </w:r>
    </w:p>
    <w:p>
      <w:pPr>
        <w:spacing w:after="0" w:line="123" w:lineRule="exact"/>
        <w:rPr>
          <w:sz w:val="20"/>
          <w:szCs w:val="20"/>
          <w:color w:val="auto"/>
        </w:rPr>
      </w:pPr>
    </w:p>
    <w:p>
      <w:pPr>
        <w:jc w:val="both"/>
        <w:spacing w:after="0" w:line="379" w:lineRule="auto"/>
        <w:rPr>
          <w:sz w:val="20"/>
          <w:szCs w:val="20"/>
          <w:color w:val="auto"/>
        </w:rPr>
      </w:pPr>
      <w:r>
        <w:rPr>
          <w:rFonts w:ascii="Arial" w:cs="Arial" w:eastAsia="Arial" w:hAnsi="Arial"/>
          <w:sz w:val="19"/>
          <w:szCs w:val="19"/>
          <w:color w:val="auto"/>
        </w:rPr>
        <w:t>“As always, we remain committed to driving sustainable profitability and free cash flow generation. The execution of the restructuring and refinancing of our debt is a significant step in the evolution of our capital structure and addressing its inefficiencies. Paying down $200 million of our Exit Notes demonstrates our continued commitment to that priority. As we move forward, we will remain focused on generating additional liquidity through operational and structural improvements with the goal of further improving our leverage.”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61" w:lineRule="exact"/>
        <w:rPr>
          <w:sz w:val="20"/>
          <w:szCs w:val="20"/>
          <w:color w:val="auto"/>
        </w:rPr>
      </w:pPr>
    </w:p>
    <w:p>
      <w:pPr>
        <w:jc w:val="both"/>
        <w:ind w:firstLine="7"/>
        <w:spacing w:after="0" w:line="281" w:lineRule="auto"/>
        <w:tabs>
          <w:tab w:leader="none" w:pos="131" w:val="left"/>
        </w:tabs>
        <w:numPr>
          <w:ilvl w:val="0"/>
          <w:numId w:val="5"/>
        </w:numPr>
        <w:rPr>
          <w:rFonts w:ascii="Arial" w:cs="Arial" w:eastAsia="Arial" w:hAnsi="Arial"/>
          <w:sz w:val="15"/>
          <w:szCs w:val="15"/>
          <w:color w:val="auto"/>
          <w:vertAlign w:val="superscript"/>
        </w:rPr>
      </w:pPr>
      <w:r>
        <w:rPr>
          <w:rFonts w:ascii="Arial" w:cs="Arial" w:eastAsia="Arial" w:hAnsi="Arial"/>
          <w:sz w:val="12"/>
          <w:szCs w:val="12"/>
          <w:color w:val="auto"/>
        </w:rPr>
        <w:t>EBITDA represents income before interest expense, net, loss on extinguishment, bond redemption and loss on termination of ABL credit agreement, income tax, depreciation and amortization expense. Adjusted EBITDA excludes, among other items, impairments of long-lived assets and goodwill, restructuring expense, share-based compensation expense, as well as write-offs of property plant and equipment, right-of-use assets, and inventory. Free cash flow is calculated as cash flows provided by (used in) operating activities, less capital expenditures plus proceeds from the disposition of assets. Unlevered free cash flow is calculated as free cash flow plus cash paid for interest. EBITDA, adjusted EBITDA, free cash flow and unlevered free cash flow are non-GAAP measures. Each measure is defined and reconciled to the most directly comparable GAAP measure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9"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u w:val="single" w:color="auto"/>
          <w:color w:val="auto"/>
        </w:rPr>
        <w:t>Operational Highlights</w:t>
      </w:r>
    </w:p>
    <w:p>
      <w:pPr>
        <w:spacing w:after="0" w:line="229" w:lineRule="exact"/>
        <w:rPr>
          <w:sz w:val="20"/>
          <w:szCs w:val="20"/>
          <w:color w:val="auto"/>
        </w:rPr>
      </w:pPr>
    </w:p>
    <w:p>
      <w:pPr>
        <w:jc w:val="both"/>
        <w:ind w:left="320" w:hanging="313"/>
        <w:spacing w:after="0" w:line="444" w:lineRule="auto"/>
        <w:tabs>
          <w:tab w:leader="none" w:pos="308"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Integrated Services enhanced synergies between marketing-leading product lines and other Weatherford offerings to condense operating timelines in the United Kingdom and Mexico. The integration enabled delivering early production of 97,000 barrels in a new field development in Mexico and drilling three challenging well sections in the North Sea 13 days ahead of the customer’s schedule.</w:t>
      </w:r>
    </w:p>
    <w:p>
      <w:pPr>
        <w:spacing w:after="0" w:line="2" w:lineRule="exact"/>
        <w:rPr>
          <w:rFonts w:ascii="Arial" w:cs="Arial" w:eastAsia="Arial" w:hAnsi="Arial"/>
          <w:sz w:val="17"/>
          <w:szCs w:val="17"/>
          <w:color w:val="auto"/>
        </w:rPr>
      </w:pPr>
    </w:p>
    <w:p>
      <w:pPr>
        <w:jc w:val="both"/>
        <w:ind w:left="320" w:hanging="313"/>
        <w:spacing w:after="0" w:line="356" w:lineRule="auto"/>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Weatherford delivered managed pressure drilling (MPD) solutions that improved well construction performance for various operators. In Nigeria, Victus™ intelligent MPD enabled controlling an unexpected kick (an uncontrolled well event) 90% faster than conventional detection systems and helped to reach total depth. In the Middle East, MPD technologies enabled an operator to successfully drill, complete, and cement a well after considering abandonment due to complex challenges.</w:t>
      </w:r>
    </w:p>
    <w:p>
      <w:pPr>
        <w:spacing w:after="0" w:line="71" w:lineRule="exact"/>
        <w:rPr>
          <w:rFonts w:ascii="Arial" w:cs="Arial" w:eastAsia="Arial" w:hAnsi="Arial"/>
          <w:sz w:val="20"/>
          <w:szCs w:val="20"/>
          <w:color w:val="auto"/>
        </w:rPr>
      </w:pPr>
    </w:p>
    <w:p>
      <w:pPr>
        <w:jc w:val="both"/>
        <w:ind w:left="320" w:hanging="313"/>
        <w:spacing w:after="0" w:line="360" w:lineRule="auto"/>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A Weatherford geosteering solution, featuring our rotary steerable and GuideWave® technology, achieved the longest horizontal section ever drilled in a country in the Middle East. The solution enabled drilling through a narrow pay interval to drill the record 4,528-feet lateral with flawless performance.</w:t>
      </w:r>
    </w:p>
    <w:p>
      <w:pPr>
        <w:spacing w:after="0" w:line="65" w:lineRule="exact"/>
        <w:rPr>
          <w:rFonts w:ascii="Arial" w:cs="Arial" w:eastAsia="Arial" w:hAnsi="Arial"/>
          <w:sz w:val="20"/>
          <w:szCs w:val="20"/>
          <w:color w:val="auto"/>
        </w:rPr>
      </w:pPr>
    </w:p>
    <w:p>
      <w:pPr>
        <w:ind w:left="320" w:hanging="313"/>
        <w:spacing w:after="0" w:line="370" w:lineRule="auto"/>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Weatherford performed a world-first shallow-angle sidetrack in 9 5/8-in. casing using QuickCut™ milling technology by cutting a window in a single-trip enabling the operator to reach the intended target zone in an exploration well in Indonesia.</w:t>
      </w:r>
    </w:p>
    <w:p>
      <w:pPr>
        <w:spacing w:after="0" w:line="42" w:lineRule="exact"/>
        <w:rPr>
          <w:rFonts w:ascii="Arial" w:cs="Arial" w:eastAsia="Arial" w:hAnsi="Arial"/>
          <w:sz w:val="20"/>
          <w:szCs w:val="20"/>
          <w:color w:val="auto"/>
        </w:rPr>
      </w:pPr>
    </w:p>
    <w:p>
      <w:pPr>
        <w:ind w:left="320" w:hanging="313"/>
        <w:spacing w:after="0" w:line="370" w:lineRule="auto"/>
        <w:tabs>
          <w:tab w:leader="none" w:pos="308" w:val="left"/>
        </w:tabs>
        <w:numPr>
          <w:ilvl w:val="0"/>
          <w:numId w:val="6"/>
        </w:numPr>
        <w:rPr>
          <w:rFonts w:ascii="Arial" w:cs="Arial" w:eastAsia="Arial" w:hAnsi="Arial"/>
          <w:sz w:val="20"/>
          <w:szCs w:val="20"/>
          <w:b w:val="1"/>
          <w:bCs w:val="1"/>
          <w:u w:val="single" w:color="auto"/>
          <w:color w:val="auto"/>
        </w:rPr>
      </w:pPr>
      <w:r>
        <w:rPr>
          <w:rFonts w:ascii="Arial" w:cs="Arial" w:eastAsia="Arial" w:hAnsi="Arial"/>
          <w:sz w:val="20"/>
          <w:szCs w:val="20"/>
          <w:color w:val="auto"/>
        </w:rPr>
        <w:t>An operator in the Middle East awarded Weatherford a multimillion-dollar contract for artificial lift services based on our reliability, experience, and service quality.</w:t>
      </w:r>
    </w:p>
    <w:p>
      <w:pPr>
        <w:spacing w:after="0" w:line="55" w:lineRule="exact"/>
        <w:rPr>
          <w:rFonts w:ascii="Arial" w:cs="Arial" w:eastAsia="Arial" w:hAnsi="Arial"/>
          <w:sz w:val="20"/>
          <w:szCs w:val="20"/>
          <w:b w:val="1"/>
          <w:bCs w:val="1"/>
          <w:u w:val="single" w:color="auto"/>
          <w:color w:val="auto"/>
        </w:rPr>
      </w:pPr>
    </w:p>
    <w:p>
      <w:pPr>
        <w:ind w:left="320" w:hanging="313"/>
        <w:spacing w:after="0" w:line="370" w:lineRule="auto"/>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For a national oil company in the Middle East, Weatherford achieved another record with the longest liner installation in the region saving more than three days and simplifying the well architecture.</w:t>
      </w:r>
    </w:p>
    <w:p>
      <w:pPr>
        <w:spacing w:after="0" w:line="63"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Technology Deployment</w:t>
      </w:r>
    </w:p>
    <w:p>
      <w:pPr>
        <w:spacing w:after="0" w:line="215" w:lineRule="exact"/>
        <w:rPr>
          <w:sz w:val="20"/>
          <w:szCs w:val="20"/>
          <w:color w:val="auto"/>
        </w:rPr>
      </w:pPr>
    </w:p>
    <w:p>
      <w:pPr>
        <w:ind w:left="320" w:hanging="313"/>
        <w:spacing w:after="0" w:line="370" w:lineRule="auto"/>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Kazakhstan, Weatherford debuted the PressurePro® MPD control system, which provided real-time information to successfully drill the reservoir section and provided insights to optimize future well designs.</w:t>
      </w:r>
    </w:p>
    <w:p>
      <w:pPr>
        <w:spacing w:after="0" w:line="55" w:lineRule="exact"/>
        <w:rPr>
          <w:rFonts w:ascii="Arial" w:cs="Arial" w:eastAsia="Arial" w:hAnsi="Arial"/>
          <w:sz w:val="20"/>
          <w:szCs w:val="20"/>
          <w:color w:val="auto"/>
        </w:rPr>
      </w:pPr>
    </w:p>
    <w:p>
      <w:pPr>
        <w:jc w:val="both"/>
        <w:ind w:left="320" w:hanging="313"/>
        <w:spacing w:after="0" w:line="360" w:lineRule="auto"/>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As evidence of the ongoing expansion of Vero® automated connection integrity, Weatherford deployed the technology for five customers across four countries in Europe and Africa, with one international oil company in West Africa electing to continue Vero services after the initial technology trial period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7"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u w:val="single" w:color="auto"/>
          <w:color w:val="auto"/>
        </w:rPr>
        <w:t>Liquidity</w:t>
      </w:r>
    </w:p>
    <w:p>
      <w:pPr>
        <w:spacing w:after="0" w:line="229"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The Company maintained its disciplined focus on liquidity during the third quarter of 2021. Unlevered free cash flow of $141 million in the third quarter of 2021 improved by $34 million versus the third quarter of 2020, on a 72% increase in adjusted EBITDA. This is a result of the Company’s improved operating performance and disciplined capital expenditures. Third quarter 2021 free cash flow of $111 million improved by $6 million year-on-year and was up $63 million sequentially. Total cash of approximately $1.45 billion as of September 30, 2021, was up $59 million from the prior quarter.</w:t>
      </w:r>
    </w:p>
    <w:p>
      <w:pPr>
        <w:sectPr>
          <w:pgSz w:w="11900" w:h="16838" w:orient="portrait"/>
          <w:cols w:equalWidth="0" w:num="1">
            <w:col w:w="11240"/>
          </w:cols>
          <w:pgMar w:left="320" w:top="1096" w:right="33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Results by Operating Segment</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Western Hemisphere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2"/>
              </w:rPr>
              <w:t>Quarter Ended</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2"/>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09/30/21</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06/30/21</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09/30/20</w:t>
            </w:r>
          </w:p>
        </w:tc>
      </w:tr>
      <w:tr>
        <w:trPr>
          <w:trHeight w:val="221"/>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8"/>
        </w:trPr>
        <w:tc>
          <w:tcPr>
            <w:tcW w:w="3440" w:type="dxa"/>
            <w:vAlign w:val="bottom"/>
          </w:tcPr>
          <w:p>
            <w:pPr>
              <w:ind w:left="1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224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220</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175</w:t>
            </w:r>
          </w:p>
        </w:tc>
      </w:tr>
      <w:tr>
        <w:trPr>
          <w:trHeight w:val="229"/>
        </w:trPr>
        <w:tc>
          <w:tcPr>
            <w:tcW w:w="3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Latin America</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217</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205</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141</w:t>
            </w:r>
          </w:p>
        </w:tc>
      </w:tr>
      <w:tr>
        <w:trPr>
          <w:trHeight w:val="222"/>
        </w:trPr>
        <w:tc>
          <w:tcPr>
            <w:tcW w:w="3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425</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316</w:t>
            </w: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55"/>
        </w:trPr>
        <w:tc>
          <w:tcPr>
            <w:tcW w:w="3440" w:type="dxa"/>
            <w:vAlign w:val="bottom"/>
          </w:tcPr>
          <w:p>
            <w:pPr>
              <w:ind w:left="20"/>
              <w:spacing w:after="0"/>
              <w:rPr>
                <w:sz w:val="20"/>
                <w:szCs w:val="20"/>
                <w:color w:val="auto"/>
              </w:rPr>
            </w:pPr>
            <w:r>
              <w:rPr>
                <w:rFonts w:ascii="Arial" w:cs="Arial" w:eastAsia="Arial" w:hAnsi="Arial"/>
                <w:sz w:val="18"/>
                <w:szCs w:val="18"/>
                <w:color w:val="auto"/>
              </w:rPr>
              <w:t>Adjusted Segment EBITDA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4"/>
                <w:szCs w:val="24"/>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58</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29</w:t>
            </w:r>
          </w:p>
        </w:tc>
      </w:tr>
      <w:tr>
        <w:trPr>
          <w:trHeight w:val="229"/>
        </w:trPr>
        <w:tc>
          <w:tcPr>
            <w:tcW w:w="3440" w:type="dxa"/>
            <w:vAlign w:val="bottom"/>
          </w:tcPr>
          <w:p>
            <w:pPr>
              <w:ind w:left="140"/>
              <w:spacing w:after="0"/>
              <w:rPr>
                <w:sz w:val="20"/>
                <w:szCs w:val="20"/>
                <w:color w:val="auto"/>
              </w:rPr>
            </w:pPr>
            <w:r>
              <w:rPr>
                <w:rFonts w:ascii="Arial" w:cs="Arial" w:eastAsia="Arial" w:hAnsi="Arial"/>
                <w:sz w:val="18"/>
                <w:szCs w:val="18"/>
                <w:i w:val="1"/>
                <w:iCs w:val="1"/>
                <w:color w:val="auto"/>
              </w:rPr>
              <w:t>% Margin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17 %</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14 %</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-851535</wp:posOffset>
            </wp:positionV>
            <wp:extent cx="7132955" cy="144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-561975</wp:posOffset>
            </wp:positionV>
            <wp:extent cx="7132955" cy="170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01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-289560</wp:posOffset>
            </wp:positionV>
            <wp:extent cx="7132955" cy="144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Seq.</w:t>
            </w:r>
          </w:p>
        </w:tc>
        <w:tc>
          <w:tcPr>
            <w:tcW w:w="6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YoY</w:t>
            </w:r>
          </w:p>
        </w:tc>
        <w:tc>
          <w:tcPr>
            <w:tcW w:w="320" w:type="dxa"/>
            <w:vAlign w:val="bottom"/>
            <w:tcBorders>
              <w:top w:val="single" w:sz="8" w:color="auto"/>
              <w:bottom w:val="single" w:sz="8" w:color="auto"/>
            </w:tcBorders>
          </w:tcPr>
          <w:p>
            <w:pPr>
              <w:spacing w:after="0"/>
              <w:rPr>
                <w:sz w:val="19"/>
                <w:szCs w:val="19"/>
                <w:color w:val="auto"/>
              </w:rPr>
            </w:pPr>
          </w:p>
        </w:tc>
      </w:tr>
      <w:tr>
        <w:trPr>
          <w:trHeight w:val="449"/>
        </w:trPr>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355"/>
        </w:trPr>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340</w:t>
            </w:r>
          </w:p>
        </w:tc>
        <w:tc>
          <w:tcPr>
            <w:tcW w:w="660" w:type="dxa"/>
            <w:vAlign w:val="bottom"/>
          </w:tcPr>
          <w:p>
            <w:pPr>
              <w:jc w:val="right"/>
              <w:ind w:right="271"/>
              <w:spacing w:after="0"/>
              <w:rPr>
                <w:sz w:val="20"/>
                <w:szCs w:val="20"/>
                <w:color w:val="auto"/>
              </w:rPr>
            </w:pPr>
            <w:r>
              <w:rPr>
                <w:rFonts w:ascii="Arial" w:cs="Arial" w:eastAsia="Arial" w:hAnsi="Arial"/>
                <w:sz w:val="18"/>
                <w:szCs w:val="18"/>
                <w:i w:val="1"/>
                <w:iCs w:val="1"/>
                <w:color w:val="auto"/>
                <w:w w:val="96"/>
              </w:rPr>
              <w:t>bps</w:t>
            </w: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780</w:t>
            </w:r>
          </w:p>
        </w:tc>
        <w:tc>
          <w:tcPr>
            <w:tcW w:w="320" w:type="dxa"/>
            <w:vAlign w:val="bottom"/>
          </w:tcPr>
          <w:p>
            <w:pPr>
              <w:jc w:val="right"/>
              <w:spacing w:after="0"/>
              <w:rPr>
                <w:sz w:val="20"/>
                <w:szCs w:val="20"/>
                <w:color w:val="auto"/>
              </w:rPr>
            </w:pPr>
            <w:r>
              <w:rPr>
                <w:rFonts w:ascii="Arial" w:cs="Arial" w:eastAsia="Arial" w:hAnsi="Arial"/>
                <w:sz w:val="18"/>
                <w:szCs w:val="18"/>
                <w:i w:val="1"/>
                <w:iCs w:val="1"/>
                <w:color w:val="auto"/>
                <w:w w:val="96"/>
              </w:rPr>
              <w:t>bps</w:t>
            </w:r>
          </w:p>
        </w:tc>
      </w:tr>
    </w:tbl>
    <w:p>
      <w:pPr>
        <w:spacing w:after="0" w:line="200" w:lineRule="exact"/>
        <w:rPr>
          <w:sz w:val="20"/>
          <w:szCs w:val="20"/>
          <w:color w:val="auto"/>
        </w:rPr>
      </w:pPr>
    </w:p>
    <w:p>
      <w:pPr>
        <w:sectPr>
          <w:pgSz w:w="11900" w:h="16838" w:orient="portrait"/>
          <w:cols w:equalWidth="0" w:num="2">
            <w:col w:w="7980" w:space="100"/>
            <w:col w:w="3160"/>
          </w:cols>
          <w:pgMar w:left="320" w:top="1096" w:right="339" w:bottom="1440" w:gutter="0" w:footer="0" w:header="0"/>
          <w:type w:val="continuous"/>
        </w:sectPr>
      </w:pPr>
    </w:p>
    <w:p>
      <w:pPr>
        <w:spacing w:after="0" w:line="159" w:lineRule="exact"/>
        <w:rPr>
          <w:sz w:val="20"/>
          <w:szCs w:val="20"/>
          <w:color w:val="auto"/>
        </w:rPr>
      </w:pPr>
    </w:p>
    <w:p>
      <w:pPr>
        <w:jc w:val="both"/>
        <w:spacing w:after="0" w:line="433" w:lineRule="auto"/>
        <w:rPr>
          <w:sz w:val="20"/>
          <w:szCs w:val="20"/>
          <w:color w:val="auto"/>
        </w:rPr>
      </w:pPr>
      <w:r>
        <w:rPr>
          <w:rFonts w:ascii="Arial" w:cs="Arial" w:eastAsia="Arial" w:hAnsi="Arial"/>
          <w:sz w:val="17"/>
          <w:szCs w:val="17"/>
          <w:color w:val="auto"/>
        </w:rPr>
        <w:t>Third quarter 2021 Western Hemisphere revenues of $441 million increased 4% sequentially and 40% year-on-year. North America revenues of $224 million increased by 2% sequentially primarily due to increased activity in Canada for Completion and Production (“C&amp;P”) partially offset by decreased activity for Drilling, Evaluation &amp; Intervention (“DEI”) in the United States. Latin America revenues of $217 million increased 6% sequentially, driven by increased activity in throughout all product lines in Colombia and increased DEI activity in Brazil.</w:t>
      </w:r>
    </w:p>
    <w:p>
      <w:pPr>
        <w:spacing w:after="0" w:line="66"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Adjusted segment EBITDA of $75 million increased $17 million and associated margins of 17% improved 340 basis points, sequentially, and improved 780 basis points year-on-year. The growth in adjusted segment EBITDA was primarily driven by increased service sales and margin improvement in Latin America, increased product sales and margin improvement in North America, lower operational expenses related to our cost improvement initiatives and lower inventory charges.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96"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1"/>
          <w:szCs w:val="21"/>
          <w:b w:val="1"/>
          <w:bCs w:val="1"/>
          <w:i w:val="1"/>
          <w:iCs w:val="1"/>
          <w:color w:val="auto"/>
        </w:rPr>
        <w:t>Eastern Hemisphere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4"/>
              </w:rPr>
              <w:t>Quarter Ended</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2"/>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09/30/21</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06/30/21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09/30/20</w:t>
            </w:r>
          </w:p>
        </w:tc>
      </w:tr>
      <w:tr>
        <w:trPr>
          <w:trHeight w:val="221"/>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8"/>
        </w:trPr>
        <w:tc>
          <w:tcPr>
            <w:tcW w:w="3460" w:type="dxa"/>
            <w:vAlign w:val="bottom"/>
          </w:tcPr>
          <w:p>
            <w:pPr>
              <w:ind w:left="140"/>
              <w:spacing w:after="0"/>
              <w:rPr>
                <w:sz w:val="20"/>
                <w:szCs w:val="20"/>
                <w:color w:val="auto"/>
              </w:rPr>
            </w:pPr>
            <w:r>
              <w:rPr>
                <w:rFonts w:ascii="Arial" w:cs="Arial" w:eastAsia="Arial" w:hAnsi="Arial"/>
                <w:sz w:val="18"/>
                <w:szCs w:val="18"/>
                <w:color w:val="auto"/>
              </w:rPr>
              <w:t>Middle East, North Africa &amp; Asia</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312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1"/>
              <w:spacing w:after="0"/>
              <w:rPr>
                <w:sz w:val="20"/>
                <w:szCs w:val="20"/>
                <w:color w:val="auto"/>
              </w:rPr>
            </w:pPr>
            <w:r>
              <w:rPr>
                <w:rFonts w:ascii="Arial" w:cs="Arial" w:eastAsia="Arial" w:hAnsi="Arial"/>
                <w:sz w:val="18"/>
                <w:szCs w:val="18"/>
                <w:color w:val="auto"/>
              </w:rPr>
              <w:t>289</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319</w:t>
            </w:r>
          </w:p>
        </w:tc>
      </w:tr>
      <w:tr>
        <w:trPr>
          <w:trHeight w:val="229"/>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Europe, SSA &amp; Russia</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192</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189</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172</w:t>
            </w:r>
          </w:p>
        </w:tc>
      </w:tr>
      <w:tr>
        <w:trPr>
          <w:trHeight w:val="222"/>
        </w:trPr>
        <w:tc>
          <w:tcPr>
            <w:tcW w:w="3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504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478</w:t>
            </w:r>
          </w:p>
        </w:tc>
        <w:tc>
          <w:tcPr>
            <w:tcW w:w="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491</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55"/>
        </w:trPr>
        <w:tc>
          <w:tcPr>
            <w:tcW w:w="3460" w:type="dxa"/>
            <w:vAlign w:val="bottom"/>
          </w:tcPr>
          <w:p>
            <w:pPr>
              <w:ind w:left="20"/>
              <w:spacing w:after="0"/>
              <w:rPr>
                <w:sz w:val="20"/>
                <w:szCs w:val="20"/>
                <w:color w:val="auto"/>
              </w:rPr>
            </w:pPr>
            <w:r>
              <w:rPr>
                <w:rFonts w:ascii="Arial" w:cs="Arial" w:eastAsia="Arial" w:hAnsi="Arial"/>
                <w:sz w:val="18"/>
                <w:szCs w:val="18"/>
                <w:color w:val="auto"/>
              </w:rPr>
              <w:t>Adjusted Segment EBITDA</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4"/>
                <w:szCs w:val="24"/>
                <w:color w:val="auto"/>
              </w:rPr>
            </w:pPr>
          </w:p>
        </w:tc>
        <w:tc>
          <w:tcPr>
            <w:tcW w:w="1380" w:type="dxa"/>
            <w:vAlign w:val="bottom"/>
          </w:tcPr>
          <w:p>
            <w:pPr>
              <w:jc w:val="right"/>
              <w:ind w:right="171"/>
              <w:spacing w:after="0"/>
              <w:rPr>
                <w:sz w:val="20"/>
                <w:szCs w:val="20"/>
                <w:color w:val="auto"/>
              </w:rPr>
            </w:pPr>
            <w:r>
              <w:rPr>
                <w:rFonts w:ascii="Arial" w:cs="Arial" w:eastAsia="Arial" w:hAnsi="Arial"/>
                <w:sz w:val="18"/>
                <w:szCs w:val="18"/>
                <w:color w:val="auto"/>
              </w:rPr>
              <w:t>93</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104</w:t>
            </w: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i w:val="1"/>
                <w:iCs w:val="1"/>
                <w:color w:val="auto"/>
              </w:rPr>
              <w:t>% Margin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23 %</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20 %</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-851535</wp:posOffset>
            </wp:positionV>
            <wp:extent cx="7132955" cy="144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-561975</wp:posOffset>
            </wp:positionV>
            <wp:extent cx="7132955" cy="170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01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-289560</wp:posOffset>
            </wp:positionV>
            <wp:extent cx="7132955" cy="144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85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spacing w:after="0" w:line="15" w:lineRule="exact"/>
        <w:rPr>
          <w:sz w:val="20"/>
          <w:szCs w:val="20"/>
          <w:color w:val="auto"/>
        </w:rPr>
      </w:pPr>
    </w:p>
    <w:p>
      <w:pPr>
        <w:ind w:left="600"/>
        <w:spacing w:after="0"/>
        <w:tabs>
          <w:tab w:leader="none" w:pos="2180" w:val="left"/>
        </w:tabs>
        <w:rPr>
          <w:sz w:val="20"/>
          <w:szCs w:val="20"/>
          <w:color w:val="auto"/>
        </w:rPr>
      </w:pPr>
      <w:r>
        <w:rPr>
          <w:rFonts w:ascii="Arial" w:cs="Arial" w:eastAsia="Arial" w:hAnsi="Arial"/>
          <w:sz w:val="18"/>
          <w:szCs w:val="18"/>
          <w:b w:val="1"/>
          <w:bCs w:val="1"/>
          <w:color w:val="auto"/>
        </w:rPr>
        <w:t>Seq.</w:t>
      </w:r>
      <w:r>
        <w:rPr>
          <w:sz w:val="20"/>
          <w:szCs w:val="20"/>
          <w:color w:val="auto"/>
        </w:rPr>
        <w:tab/>
      </w:r>
      <w:r>
        <w:rPr>
          <w:rFonts w:ascii="Arial" w:cs="Arial" w:eastAsia="Arial" w:hAnsi="Arial"/>
          <w:sz w:val="18"/>
          <w:szCs w:val="18"/>
          <w:b w:val="1"/>
          <w:bCs w:val="1"/>
          <w:color w:val="auto"/>
        </w:rPr>
        <w:t>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85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355"/>
        </w:trPr>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8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390</w:t>
            </w:r>
          </w:p>
        </w:tc>
        <w:tc>
          <w:tcPr>
            <w:tcW w:w="820" w:type="dxa"/>
            <w:vAlign w:val="bottom"/>
          </w:tcPr>
          <w:p>
            <w:pPr>
              <w:jc w:val="right"/>
              <w:ind w:right="431"/>
              <w:spacing w:after="0"/>
              <w:rPr>
                <w:sz w:val="20"/>
                <w:szCs w:val="20"/>
                <w:color w:val="auto"/>
              </w:rPr>
            </w:pPr>
            <w:r>
              <w:rPr>
                <w:rFonts w:ascii="Arial" w:cs="Arial" w:eastAsia="Arial" w:hAnsi="Arial"/>
                <w:sz w:val="18"/>
                <w:szCs w:val="18"/>
                <w:i w:val="1"/>
                <w:iCs w:val="1"/>
                <w:color w:val="auto"/>
                <w:w w:val="96"/>
              </w:rPr>
              <w:t>bps</w:t>
            </w:r>
          </w:p>
        </w:tc>
        <w:tc>
          <w:tcPr>
            <w:tcW w:w="1100" w:type="dxa"/>
            <w:vAlign w:val="bottom"/>
            <w:gridSpan w:val="2"/>
          </w:tcPr>
          <w:p>
            <w:pPr>
              <w:jc w:val="right"/>
              <w:spacing w:after="0"/>
              <w:rPr>
                <w:sz w:val="20"/>
                <w:szCs w:val="20"/>
                <w:color w:val="auto"/>
              </w:rPr>
            </w:pPr>
            <w:r>
              <w:rPr>
                <w:rFonts w:ascii="Arial" w:cs="Arial" w:eastAsia="Arial" w:hAnsi="Arial"/>
                <w:sz w:val="18"/>
                <w:szCs w:val="18"/>
                <w:i w:val="1"/>
                <w:iCs w:val="1"/>
                <w:color w:val="auto"/>
              </w:rPr>
              <w:t>220 bps</w:t>
            </w:r>
          </w:p>
        </w:tc>
      </w:tr>
    </w:tbl>
    <w:p>
      <w:pPr>
        <w:spacing w:after="0" w:line="200" w:lineRule="exact"/>
        <w:rPr>
          <w:sz w:val="20"/>
          <w:szCs w:val="20"/>
          <w:color w:val="auto"/>
        </w:rPr>
      </w:pPr>
    </w:p>
    <w:p>
      <w:pPr>
        <w:sectPr>
          <w:pgSz w:w="11900" w:h="16838" w:orient="portrait"/>
          <w:cols w:equalWidth="0" w:num="2">
            <w:col w:w="8000" w:space="120"/>
            <w:col w:w="3120"/>
          </w:cols>
          <w:pgMar w:left="320" w:top="1151" w:right="339" w:bottom="1440" w:gutter="0" w:footer="0" w:header="0"/>
        </w:sectPr>
      </w:pPr>
    </w:p>
    <w:p>
      <w:pPr>
        <w:spacing w:after="0" w:line="159" w:lineRule="exact"/>
        <w:rPr>
          <w:sz w:val="20"/>
          <w:szCs w:val="20"/>
          <w:color w:val="auto"/>
        </w:rPr>
      </w:pPr>
    </w:p>
    <w:p>
      <w:pPr>
        <w:jc w:val="both"/>
        <w:spacing w:after="0" w:line="379" w:lineRule="auto"/>
        <w:rPr>
          <w:sz w:val="20"/>
          <w:szCs w:val="20"/>
          <w:color w:val="auto"/>
        </w:rPr>
      </w:pPr>
      <w:r>
        <w:rPr>
          <w:rFonts w:ascii="Arial" w:cs="Arial" w:eastAsia="Arial" w:hAnsi="Arial"/>
          <w:sz w:val="19"/>
          <w:szCs w:val="19"/>
          <w:color w:val="auto"/>
        </w:rPr>
        <w:t>Third quarter 2021 Eastern Hemisphere revenues of $504 million increased 5% sequentially and increased 3% year-on-year. Middle East, North Africa, and Asia revenues of $312 million increased 8% sequentially, with increased activity and sales in DEI and Integrated Services and Projects. Europe, Sub Saharan Africa, and Russia revenues of $192 million increased 2% sequentially, primarily due to increased activity in C&amp;P and Integrated Services and Projects, partially offset by decreased activity in DEI.</w:t>
      </w:r>
    </w:p>
    <w:p>
      <w:pPr>
        <w:spacing w:after="0" w:line="96"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Adjusted segment EBITDA of $118 million increased $25 million and associated margins of 23% improved 390 basis points sequentially and increased 220 basis points year-on-year. The growth in adjusted segment EBITDA was primarily due to increased activity and sales in the Middle East, Asia, and Russia, lower operational expenses related to our cost improvement initiatives as well as lower inventory charges and bad debt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5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5"/>
          <w:szCs w:val="25"/>
          <w:b w:val="1"/>
          <w:bCs w:val="1"/>
          <w:u w:val="single" w:color="auto"/>
          <w:color w:val="auto"/>
        </w:rPr>
        <w:t>About Weatherford</w:t>
      </w:r>
    </w:p>
    <w:p>
      <w:pPr>
        <w:spacing w:after="0" w:line="296" w:lineRule="exact"/>
        <w:rPr>
          <w:sz w:val="20"/>
          <w:szCs w:val="20"/>
          <w:color w:val="auto"/>
        </w:rPr>
      </w:pPr>
    </w:p>
    <w:p>
      <w:pPr>
        <w:jc w:val="both"/>
        <w:ind w:right="40"/>
        <w:spacing w:after="0" w:line="356" w:lineRule="auto"/>
        <w:rPr>
          <w:sz w:val="20"/>
          <w:szCs w:val="20"/>
          <w:color w:val="auto"/>
        </w:rPr>
      </w:pPr>
      <w:r>
        <w:rPr>
          <w:rFonts w:ascii="Arial" w:cs="Arial" w:eastAsia="Arial" w:hAnsi="Arial"/>
          <w:sz w:val="20"/>
          <w:szCs w:val="20"/>
          <w:color w:val="auto"/>
        </w:rPr>
        <w:t xml:space="preserve">Weatherford is a leading global energy services company. Operating in approximately 75 countries, the Company answers the challenges of the energy industry with its global talent network of approximately 17,000 team members and approximately 350 operating locations, including manufacturing, research and development, service, and training facilities. Visit </w:t>
      </w:r>
      <w:r>
        <w:rPr>
          <w:rFonts w:ascii="Arial" w:cs="Arial" w:eastAsia="Arial" w:hAnsi="Arial"/>
          <w:sz w:val="20"/>
          <w:szCs w:val="20"/>
          <w:u w:val="single" w:color="auto"/>
          <w:color w:val="3051F2"/>
        </w:rPr>
        <w:t>https://www.weatherford.com/</w:t>
      </w:r>
      <w:r>
        <w:rPr>
          <w:rFonts w:ascii="Arial" w:cs="Arial" w:eastAsia="Arial" w:hAnsi="Arial"/>
          <w:sz w:val="20"/>
          <w:szCs w:val="20"/>
          <w:color w:val="auto"/>
        </w:rPr>
        <w:t xml:space="preserve"> for more information or connect on LinkedIn, Facebook, Twitter, Instagram, or YouTube.</w:t>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Conference Call Details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Weatherford will host a conference call on Tuesday, November 2, 2021, to discuss the results for the third quarter ended September 30, 2021.</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will begin at 9:00 a.m. Eastern Time (8:00 a.m. Central Time).</w:t>
      </w:r>
    </w:p>
    <w:p>
      <w:pPr>
        <w:spacing w:after="0" w:line="226"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Listeners are encouraged to download the accompanying presentation slides which will be available in the investor relations section of the Company’s website.</w:t>
      </w:r>
    </w:p>
    <w:p>
      <w:pPr>
        <w:spacing w:after="0" w:line="96" w:lineRule="exact"/>
        <w:rPr>
          <w:sz w:val="20"/>
          <w:szCs w:val="20"/>
          <w:color w:val="auto"/>
        </w:rPr>
      </w:pPr>
    </w:p>
    <w:p>
      <w:pPr>
        <w:jc w:val="both"/>
        <w:spacing w:after="0" w:line="385" w:lineRule="auto"/>
        <w:rPr>
          <w:sz w:val="20"/>
          <w:szCs w:val="20"/>
          <w:color w:val="auto"/>
        </w:rPr>
      </w:pPr>
      <w:r>
        <w:rPr>
          <w:rFonts w:ascii="Arial" w:cs="Arial" w:eastAsia="Arial" w:hAnsi="Arial"/>
          <w:sz w:val="19"/>
          <w:szCs w:val="19"/>
          <w:color w:val="auto"/>
        </w:rPr>
        <w:t xml:space="preserve">Listeners can participate in the conference call via a live webcast at </w:t>
      </w:r>
      <w:r>
        <w:rPr>
          <w:rFonts w:ascii="Arial" w:cs="Arial" w:eastAsia="Arial" w:hAnsi="Arial"/>
          <w:sz w:val="19"/>
          <w:szCs w:val="19"/>
          <w:u w:val="single" w:color="auto"/>
          <w:color w:val="3051F2"/>
        </w:rPr>
        <w:t>https://www.weatherford.com/en/investor-relations/investor-news-and-events/events/</w:t>
      </w:r>
      <w:r>
        <w:rPr>
          <w:rFonts w:ascii="Arial" w:cs="Arial" w:eastAsia="Arial" w:hAnsi="Arial"/>
          <w:sz w:val="19"/>
          <w:szCs w:val="19"/>
          <w:color w:val="000000"/>
        </w:rPr>
        <w:t>, or by dialing +1 877-328-5344 (within the U.S.) or +1 412-902-6762 (outside of the U.S.) and asking for the Weatherford</w:t>
      </w:r>
      <w:r>
        <w:rPr>
          <w:rFonts w:ascii="Arial" w:cs="Arial" w:eastAsia="Arial" w:hAnsi="Arial"/>
          <w:sz w:val="19"/>
          <w:szCs w:val="19"/>
          <w:color w:val="3051F2"/>
        </w:rPr>
        <w:t xml:space="preserve"> </w:t>
      </w:r>
      <w:r>
        <w:rPr>
          <w:rFonts w:ascii="Arial" w:cs="Arial" w:eastAsia="Arial" w:hAnsi="Arial"/>
          <w:sz w:val="19"/>
          <w:szCs w:val="19"/>
          <w:color w:val="000000"/>
        </w:rPr>
        <w:t>conference call. Listeners should log in or dial in approximately 10 minutes prior to the start of the call.</w:t>
      </w:r>
    </w:p>
    <w:p>
      <w:pPr>
        <w:spacing w:after="0" w:line="76" w:lineRule="exact"/>
        <w:rPr>
          <w:sz w:val="20"/>
          <w:szCs w:val="20"/>
          <w:color w:val="auto"/>
        </w:rPr>
      </w:pPr>
    </w:p>
    <w:p>
      <w:pPr>
        <w:jc w:val="both"/>
        <w:spacing w:after="0" w:line="385" w:lineRule="auto"/>
        <w:rPr>
          <w:sz w:val="20"/>
          <w:szCs w:val="20"/>
          <w:color w:val="auto"/>
        </w:rPr>
      </w:pPr>
      <w:r>
        <w:rPr>
          <w:rFonts w:ascii="Arial" w:cs="Arial" w:eastAsia="Arial" w:hAnsi="Arial"/>
          <w:sz w:val="19"/>
          <w:szCs w:val="19"/>
          <w:color w:val="auto"/>
        </w:rPr>
        <w:t>A telephonic replay of the conference call will be available until November 16, 2021, at 5:00 p.m. Eastern Time. To access the replay, please dial +1 877-344-7529 (within the U.S.) or +1 412-317-0088 (outside of the U.S.) and reference conference number 10160194. A replay and transcript of the earnings call will also be available in the investor relations section of the Company’s website.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Contacts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Mohammed Topiwala</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Director, Investor Relations and M&amp;A</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+1 713-836-7777</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investor.relations@weatherford.com</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Kelley Hughes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Director, Global Communications</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+1 713-836-4193</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kelley.hughes@weatherford.com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7"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u w:val="single" w:color="auto"/>
          <w:color w:val="auto"/>
        </w:rPr>
        <w:t>Forward-Looking Statements</w:t>
      </w:r>
    </w:p>
    <w:p>
      <w:pPr>
        <w:spacing w:after="0" w:line="296" w:lineRule="exact"/>
        <w:rPr>
          <w:sz w:val="20"/>
          <w:szCs w:val="20"/>
          <w:color w:val="auto"/>
        </w:rPr>
      </w:pPr>
    </w:p>
    <w:p>
      <w:pPr>
        <w:jc w:val="both"/>
        <w:spacing w:after="0" w:line="416" w:lineRule="auto"/>
        <w:rPr>
          <w:sz w:val="20"/>
          <w:szCs w:val="20"/>
          <w:color w:val="auto"/>
        </w:rPr>
      </w:pPr>
      <w:r>
        <w:rPr>
          <w:rFonts w:ascii="Arial" w:cs="Arial" w:eastAsia="Arial" w:hAnsi="Arial"/>
          <w:sz w:val="17"/>
          <w:szCs w:val="17"/>
          <w:color w:val="auto"/>
        </w:rPr>
        <w:t>This news release contains forward-looking statements concerning, among other things, the Company’s quarterly and full-year revenues, operating income and losses, adjusted EBITDA, unlevered free cash flow, forecasts or expectations regarding business outlook, cost savings plans,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7" w:right="339" w:bottom="1440" w:gutter="0" w:footer="0" w:header="0"/>
        </w:sectPr>
      </w:pPr>
    </w:p>
    <w:bookmarkStart w:id="11" w:name="page12"/>
    <w:bookmarkEnd w:id="11"/>
    <w:p>
      <w:pPr>
        <w:jc w:val="center"/>
        <w:ind w:right="-12"/>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 w:lineRule="exact"/>
        <w:rPr>
          <w:sz w:val="20"/>
          <w:szCs w:val="20"/>
          <w:color w:val="auto"/>
        </w:rPr>
      </w:pPr>
    </w:p>
    <w:p>
      <w:pPr>
        <w:jc w:val="center"/>
        <w:ind w:right="-12"/>
        <w:spacing w:after="0"/>
        <w:rPr>
          <w:sz w:val="20"/>
          <w:szCs w:val="20"/>
          <w:color w:val="auto"/>
        </w:rPr>
      </w:pPr>
      <w:r>
        <w:rPr>
          <w:rFonts w:ascii="Arial" w:cs="Arial" w:eastAsia="Arial" w:hAnsi="Arial"/>
          <w:sz w:val="18"/>
          <w:szCs w:val="18"/>
          <w:i w:val="1"/>
          <w:iCs w:val="1"/>
          <w:color w:val="auto"/>
        </w:rPr>
        <w:t>($ in Millions, Except Per Share Amounts)</w:t>
      </w:r>
    </w:p>
    <w:p>
      <w:pPr>
        <w:spacing w:after="0" w:line="284" w:lineRule="exact"/>
        <w:rPr>
          <w:sz w:val="20"/>
          <w:szCs w:val="20"/>
          <w:color w:val="auto"/>
        </w:rPr>
      </w:pPr>
    </w:p>
    <w:tbl>
      <w:tblPr>
        <w:tblLayout w:type="fixed"/>
        <w:tblInd w:w="33" w:type="dxa"/>
        <w:tblCellMar>
          <w:top w:w="0" w:type="dxa"/>
          <w:left w:w="0" w:type="dxa"/>
          <w:bottom w:w="0" w:type="dxa"/>
          <w:right w:w="0" w:type="dxa"/>
        </w:tblCellMar>
      </w:tblPr>
      <w:tr>
        <w:trPr>
          <w:trHeight w:val="233"/>
        </w:trPr>
        <w:tc>
          <w:tcPr>
            <w:tcW w:w="4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5"/>
              </w:rPr>
              <w:t>Quarter Ended</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2"/>
        </w:trPr>
        <w:tc>
          <w:tcPr>
            <w:tcW w:w="4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9/30/21</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6/30/21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9/30/20</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9/30/21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9/30/20</w:t>
            </w:r>
          </w:p>
        </w:tc>
        <w:tc>
          <w:tcPr>
            <w:tcW w:w="0" w:type="dxa"/>
            <w:vAlign w:val="bottom"/>
          </w:tcPr>
          <w:p>
            <w:pPr>
              <w:spacing w:after="0"/>
              <w:rPr>
                <w:sz w:val="1"/>
                <w:szCs w:val="1"/>
                <w:color w:val="auto"/>
              </w:rPr>
            </w:pPr>
          </w:p>
        </w:tc>
      </w:tr>
      <w:tr>
        <w:trPr>
          <w:trHeight w:val="208"/>
        </w:trPr>
        <w:tc>
          <w:tcPr>
            <w:tcW w:w="4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Western Hemisphere</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1,256</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Eastern Hemisphere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504</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478</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1,424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945</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Western Hemisphere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Eastern Hemisphere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Segment Operating Income (Loss)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Long-lived Asset Impairment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line="229" w:lineRule="exact"/>
              <w:rPr>
                <w:sz w:val="20"/>
                <w:szCs w:val="20"/>
                <w:color w:val="auto"/>
              </w:rPr>
            </w:pPr>
            <w:r>
              <w:rPr>
                <w:rFonts w:ascii="Arial" w:cs="Arial" w:eastAsia="Arial" w:hAnsi="Arial"/>
                <w:sz w:val="18"/>
                <w:szCs w:val="18"/>
                <w:color w:val="auto"/>
              </w:rPr>
              <w:t xml:space="preserve">Other (Charges) Credits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2"/>
        </w:trPr>
        <w:tc>
          <w:tcPr>
            <w:tcW w:w="4900" w:type="dxa"/>
            <w:vAlign w:val="bottom"/>
          </w:tcPr>
          <w:p>
            <w:pPr>
              <w:ind w:left="260"/>
              <w:spacing w:after="0"/>
              <w:rPr>
                <w:sz w:val="20"/>
                <w:szCs w:val="20"/>
                <w:color w:val="auto"/>
              </w:rPr>
            </w:pPr>
            <w:r>
              <w:rPr>
                <w:rFonts w:ascii="Arial" w:cs="Arial" w:eastAsia="Arial" w:hAnsi="Arial"/>
                <w:sz w:val="18"/>
                <w:szCs w:val="18"/>
                <w:color w:val="auto"/>
              </w:rPr>
              <w:t>Total Operating Income (Loss)</w:t>
            </w:r>
          </w:p>
        </w:tc>
        <w:tc>
          <w:tcPr>
            <w:tcW w:w="20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line="229"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74"/>
        </w:trPr>
        <w:tc>
          <w:tcPr>
            <w:tcW w:w="490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rPr>
              <w:t>Loss on Extinguishment of Debt and Bond Redemption</w:t>
            </w: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Premium</w:t>
            </w: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line="229" w:lineRule="exact"/>
              <w:rPr>
                <w:sz w:val="20"/>
                <w:szCs w:val="20"/>
                <w:color w:val="auto"/>
              </w:rPr>
            </w:pPr>
            <w:r>
              <w:rPr>
                <w:rFonts w:ascii="Arial" w:cs="Arial" w:eastAsia="Arial" w:hAnsi="Arial"/>
                <w:sz w:val="18"/>
                <w:szCs w:val="18"/>
                <w:color w:val="auto"/>
              </w:rPr>
              <w:t xml:space="preserve">Loss on Termination of ABL Credit Agreement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2"/>
        </w:trPr>
        <w:tc>
          <w:tcPr>
            <w:tcW w:w="490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49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Loss Attributable to Weatherford</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00"/>
              <w:spacing w:after="0"/>
              <w:rPr>
                <w:sz w:val="20"/>
                <w:szCs w:val="20"/>
                <w:color w:val="auto"/>
              </w:rPr>
            </w:pPr>
            <w:r>
              <w:rPr>
                <w:rFonts w:ascii="Arial" w:cs="Arial" w:eastAsia="Arial" w:hAnsi="Arial"/>
                <w:sz w:val="18"/>
                <w:szCs w:val="18"/>
                <w:color w:val="auto"/>
              </w:rPr>
              <w:t>Basic and Diluted Loss Per Share</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(4.13)</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 Weighted Average Shares Outstanding</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233" w:hanging="233"/>
        <w:spacing w:after="0"/>
        <w:tabs>
          <w:tab w:leader="none" w:pos="233"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See Supplemental Schedule for Impairments and Other (Charges) Credits for further details.</w:t>
      </w:r>
    </w:p>
    <w:p>
      <w:pPr>
        <w:ind w:left="233" w:hanging="233"/>
        <w:spacing w:after="0" w:line="197" w:lineRule="auto"/>
        <w:tabs>
          <w:tab w:leader="none" w:pos="233"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Loss on Termination of ABL Credit Agreement was included in “Interest Expense Net” in 2020, which has been reclassified to be presented on a consistent basis with 2021.</w:t>
      </w:r>
    </w:p>
    <w:p>
      <w:pPr>
        <w:spacing w:after="0" w:line="200" w:lineRule="exact"/>
        <w:rPr>
          <w:sz w:val="20"/>
          <w:szCs w:val="20"/>
          <w:color w:val="auto"/>
        </w:rPr>
      </w:pPr>
    </w:p>
    <w:p>
      <w:pPr>
        <w:spacing w:after="0" w:line="373"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13"/>
          </w:cols>
          <w:pgMar w:left="327" w:top="967"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9/30/2021</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12/31/2020</w:t>
            </w:r>
          </w:p>
        </w:tc>
      </w:tr>
      <w:tr>
        <w:trPr>
          <w:trHeight w:val="222"/>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1,291</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9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816</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19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681</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68"/>
        </w:trPr>
        <w:tc>
          <w:tcPr>
            <w:tcW w:w="636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9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 Net</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695</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68"/>
        </w:trPr>
        <w:tc>
          <w:tcPr>
            <w:tcW w:w="6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9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Salaries and Benefits</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Short-term Borrowings and Current Portion of Long-term Debt</w:t>
            </w:r>
          </w:p>
        </w:tc>
        <w:tc>
          <w:tcPr>
            <w:tcW w:w="19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2,431</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68"/>
        </w:trPr>
        <w:tc>
          <w:tcPr>
            <w:tcW w:w="6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Total Shareholders’ Equity</w:t>
            </w:r>
          </w:p>
        </w:tc>
        <w:tc>
          <w:tcPr>
            <w:tcW w:w="19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647</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268"/>
        </w:trPr>
        <w:tc>
          <w:tcPr>
            <w:tcW w:w="636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8"/>
        </w:trPr>
        <w:tc>
          <w:tcPr>
            <w:tcW w:w="6360" w:type="dxa"/>
            <w:vAlign w:val="bottom"/>
          </w:tcPr>
          <w:p>
            <w:pPr>
              <w:ind w:left="20"/>
              <w:spacing w:after="0" w:line="229" w:lineRule="exact"/>
              <w:rPr>
                <w:sz w:val="20"/>
                <w:szCs w:val="20"/>
                <w:color w:val="auto"/>
              </w:rPr>
            </w:pPr>
            <w:r>
              <w:rPr>
                <w:rFonts w:ascii="Arial" w:cs="Arial" w:eastAsia="Arial" w:hAnsi="Arial"/>
                <w:sz w:val="18"/>
                <w:szCs w:val="18"/>
                <w:b w:val="1"/>
                <w:bCs w:val="1"/>
                <w:color w:val="auto"/>
              </w:rPr>
              <w:t xml:space="preserve">Components of Net Debt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1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 and Current Portion of Long-term Debt</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9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2,431</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Cash and Cash Equivalents</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1,291</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28"/>
        </w:trPr>
        <w:tc>
          <w:tcPr>
            <w:tcW w:w="6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Restricted Cash</w:t>
            </w:r>
          </w:p>
        </w:tc>
        <w:tc>
          <w:tcPr>
            <w:tcW w:w="19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47"/>
        </w:trPr>
        <w:tc>
          <w:tcPr>
            <w:tcW w:w="6360" w:type="dxa"/>
            <w:vAlign w:val="bottom"/>
            <w:tcBorders>
              <w:bottom w:val="single" w:sz="8" w:color="auto"/>
            </w:tcBorders>
            <w:shd w:val="clear" w:color="auto" w:fill="CCEEFF"/>
          </w:tcPr>
          <w:p>
            <w:pPr>
              <w:ind w:left="220"/>
              <w:spacing w:after="0" w:line="222"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3"/>
                <w:szCs w:val="23"/>
                <w:color w:val="auto"/>
                <w:vertAlign w:val="superscript"/>
              </w:rPr>
              <w:t>[1]</w:t>
            </w:r>
          </w:p>
        </w:tc>
        <w:tc>
          <w:tcPr>
            <w:tcW w:w="1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1,196</w:t>
            </w:r>
          </w:p>
        </w:tc>
        <w:tc>
          <w:tcPr>
            <w:tcW w:w="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340" w:hanging="172"/>
        <w:spacing w:after="0"/>
        <w:tabs>
          <w:tab w:leader="none" w:pos="34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6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3000" w:type="dxa"/>
            <w:vAlign w:val="bottom"/>
            <w:gridSpan w:val="5"/>
          </w:tcPr>
          <w:p>
            <w:pPr>
              <w:jc w:val="right"/>
              <w:ind w:right="551"/>
              <w:spacing w:after="0"/>
              <w:rPr>
                <w:sz w:val="20"/>
                <w:szCs w:val="20"/>
                <w:color w:val="auto"/>
              </w:rPr>
            </w:pPr>
            <w:r>
              <w:rPr>
                <w:rFonts w:ascii="Arial" w:cs="Arial" w:eastAsia="Arial" w:hAnsi="Arial"/>
                <w:sz w:val="18"/>
                <w:szCs w:val="18"/>
                <w:b w:val="1"/>
                <w:bCs w:val="1"/>
                <w:color w:val="auto"/>
                <w:w w:val="93"/>
              </w:rPr>
              <w:t>Weatherford International plc</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420" w:type="dxa"/>
            <w:vAlign w:val="bottom"/>
            <w:gridSpan w:val="6"/>
          </w:tcPr>
          <w:p>
            <w:pPr>
              <w:ind w:left="3880"/>
              <w:spacing w:after="0"/>
              <w:rPr>
                <w:sz w:val="20"/>
                <w:szCs w:val="20"/>
                <w:color w:val="auto"/>
              </w:rPr>
            </w:pPr>
            <w:r>
              <w:rPr>
                <w:rFonts w:ascii="Arial" w:cs="Arial" w:eastAsia="Arial" w:hAnsi="Arial"/>
                <w:sz w:val="18"/>
                <w:szCs w:val="18"/>
                <w:b w:val="1"/>
                <w:bCs w:val="1"/>
                <w:color w:val="auto"/>
                <w:w w:val="90"/>
              </w:rPr>
              <w:t>Selected Cash Flows Information (Unaudited)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w w:val="98"/>
              </w:rPr>
              <w:t>in Millions)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4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Quarter Ended</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39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2"/>
        </w:trPr>
        <w:tc>
          <w:tcPr>
            <w:tcW w:w="4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8"/>
                <w:szCs w:val="18"/>
                <w:b w:val="1"/>
                <w:bCs w:val="1"/>
                <w:color w:val="auto"/>
              </w:rPr>
              <w:t>9/30/2021</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4"/>
              </w:rPr>
              <w:t>6/30/2021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4"/>
              </w:rPr>
              <w:t>9/30/2020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9/30/21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9/30/20</w:t>
            </w:r>
          </w:p>
        </w:tc>
        <w:tc>
          <w:tcPr>
            <w:tcW w:w="0" w:type="dxa"/>
            <w:vAlign w:val="bottom"/>
          </w:tcPr>
          <w:p>
            <w:pPr>
              <w:spacing w:after="0"/>
              <w:rPr>
                <w:sz w:val="1"/>
                <w:szCs w:val="1"/>
                <w:color w:val="auto"/>
              </w:rPr>
            </w:pPr>
          </w:p>
        </w:tc>
      </w:tr>
      <w:tr>
        <w:trPr>
          <w:trHeight w:val="222"/>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174"/>
        </w:trPr>
        <w:tc>
          <w:tcPr>
            <w:tcW w:w="4420" w:type="dxa"/>
            <w:vAlign w:val="bottom"/>
          </w:tcPr>
          <w:p>
            <w:pPr>
              <w:ind w:left="20"/>
              <w:spacing w:after="0" w:line="175" w:lineRule="exact"/>
              <w:rPr>
                <w:sz w:val="20"/>
                <w:szCs w:val="20"/>
                <w:color w:val="auto"/>
              </w:rPr>
            </w:pPr>
            <w:r>
              <w:rPr>
                <w:rFonts w:ascii="Arial" w:cs="Arial" w:eastAsia="Arial" w:hAnsi="Arial"/>
                <w:sz w:val="18"/>
                <w:szCs w:val="18"/>
                <w:color w:val="auto"/>
                <w:w w:val="91"/>
              </w:rPr>
              <w:t>Adjustments to Reconcile Net Loss to Net Cash Provided By</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2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rPr>
              <w:t>Impairments of Long-Lived Assets and Goodwill</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Charges</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74"/>
        </w:trPr>
        <w:tc>
          <w:tcPr>
            <w:tcW w:w="4420" w:type="dxa"/>
            <w:vAlign w:val="bottom"/>
          </w:tcPr>
          <w:p>
            <w:pPr>
              <w:ind w:left="140"/>
              <w:spacing w:after="0" w:line="175" w:lineRule="exact"/>
              <w:rPr>
                <w:sz w:val="20"/>
                <w:szCs w:val="20"/>
                <w:color w:val="auto"/>
              </w:rPr>
            </w:pPr>
            <w:r>
              <w:rPr>
                <w:rFonts w:ascii="Arial" w:cs="Arial" w:eastAsia="Arial" w:hAnsi="Arial"/>
                <w:sz w:val="18"/>
                <w:szCs w:val="18"/>
                <w:color w:val="auto"/>
                <w:w w:val="97"/>
              </w:rPr>
              <w:t>Loss on Extinguishment of Debt and Bond Redemption</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5"/>
                <w:szCs w:val="15"/>
                <w:color w:val="auto"/>
              </w:rPr>
            </w:pPr>
          </w:p>
        </w:tc>
        <w:tc>
          <w:tcPr>
            <w:tcW w:w="110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rPr>
              <w:t>Premium</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Termination of ABL Credit Agreement</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rPr>
              <w:t>(Gain) Loss on Disposition of Assets</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Provision (Benefit)</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140"/>
              <w:spacing w:after="0" w:line="229"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8"/>
        </w:trPr>
        <w:tc>
          <w:tcPr>
            <w:tcW w:w="4420" w:type="dxa"/>
            <w:vAlign w:val="bottom"/>
            <w:tcBorders>
              <w:bottom w:val="single" w:sz="8" w:color="auto"/>
            </w:tcBorders>
          </w:tcPr>
          <w:p>
            <w:pPr>
              <w:ind w:left="140"/>
              <w:spacing w:after="0" w:line="229" w:lineRule="exact"/>
              <w:rPr>
                <w:sz w:val="20"/>
                <w:szCs w:val="20"/>
                <w:color w:val="auto"/>
              </w:rPr>
            </w:pPr>
            <w:r>
              <w:rPr>
                <w:rFonts w:ascii="Arial" w:cs="Arial" w:eastAsia="Arial" w:hAnsi="Arial"/>
                <w:sz w:val="18"/>
                <w:szCs w:val="18"/>
                <w:color w:val="auto"/>
              </w:rPr>
              <w:t xml:space="preserve">Other Operating Activities </w:t>
            </w:r>
            <w:r>
              <w:rPr>
                <w:rFonts w:ascii="Arial" w:cs="Arial" w:eastAsia="Arial" w:hAnsi="Arial"/>
                <w:sz w:val="23"/>
                <w:szCs w:val="23"/>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2"/>
        </w:trPr>
        <w:tc>
          <w:tcPr>
            <w:tcW w:w="4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41"/>
        </w:trPr>
        <w:tc>
          <w:tcPr>
            <w:tcW w:w="4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w w:val="96"/>
              </w:rPr>
              <w:t>Capital Expenditures for Property, Plant and Equipment</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Disposition of Assets</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8"/>
        </w:trPr>
        <w:tc>
          <w:tcPr>
            <w:tcW w:w="4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Proceeds (Payments) for Other Investing Activities</w:t>
            </w: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4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41"/>
        </w:trPr>
        <w:tc>
          <w:tcPr>
            <w:tcW w:w="4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rPr>
              <w:t>Borrowings of Long-term Debt</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491</w:t>
            </w:r>
          </w:p>
        </w:tc>
        <w:tc>
          <w:tcPr>
            <w:tcW w:w="18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Long-term Debt</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rPr>
              <w:t>Borrowings (Repayments) of Short-term Debt, Net</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330E74"/>
              </w:rPr>
              <w:t>—</w:t>
            </w:r>
          </w:p>
        </w:tc>
        <w:tc>
          <w:tcPr>
            <w:tcW w:w="18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330E74"/>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330E74"/>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330E74"/>
              </w:rPr>
              <w:t>(4)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330E74"/>
              </w:rPr>
              <w:t>(22)</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Bond Redemption Premium</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Financing Activities</w:t>
            </w: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7"/>
        </w:trPr>
        <w:tc>
          <w:tcPr>
            <w:tcW w:w="4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860" w:type="dxa"/>
            <w:vAlign w:val="bottom"/>
            <w:tcBorders>
              <w:bottom w:val="single" w:sz="8" w:color="auto"/>
            </w:tcBorders>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w w:val="96"/>
              </w:rPr>
              <w:t>Capital Expenditures for Property, Plant and Equipment</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8"/>
        </w:trPr>
        <w:tc>
          <w:tcPr>
            <w:tcW w:w="4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Proceeds from Disposition of Assets</w:t>
            </w:r>
          </w:p>
        </w:tc>
        <w:tc>
          <w:tcPr>
            <w:tcW w:w="4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4420" w:type="dxa"/>
            <w:vAlign w:val="bottom"/>
            <w:tcBorders>
              <w:bottom w:val="single" w:sz="8" w:color="auto"/>
            </w:tcBorders>
          </w:tcPr>
          <w:p>
            <w:pPr>
              <w:ind w:left="220"/>
              <w:spacing w:after="0" w:line="222" w:lineRule="exact"/>
              <w:rPr>
                <w:sz w:val="20"/>
                <w:szCs w:val="20"/>
                <w:color w:val="auto"/>
              </w:rPr>
            </w:pPr>
            <w:r>
              <w:rPr>
                <w:rFonts w:ascii="Arial" w:cs="Arial" w:eastAsia="Arial" w:hAnsi="Arial"/>
                <w:sz w:val="18"/>
                <w:szCs w:val="18"/>
                <w:color w:val="auto"/>
              </w:rPr>
              <w:t xml:space="preserve">Free Cash Flow </w:t>
            </w:r>
            <w:r>
              <w:rPr>
                <w:rFonts w:ascii="Arial" w:cs="Arial" w:eastAsia="Arial" w:hAnsi="Arial"/>
                <w:sz w:val="23"/>
                <w:szCs w:val="23"/>
                <w:color w:val="auto"/>
                <w:vertAlign w:val="superscript"/>
              </w:rPr>
              <w:t>[3]</w:t>
            </w:r>
          </w:p>
        </w:tc>
        <w:tc>
          <w:tcPr>
            <w:tcW w:w="86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229</w:t>
            </w: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160" w:hanging="153"/>
        <w:spacing w:after="0"/>
        <w:tabs>
          <w:tab w:leader="none" w:pos="160" w:val="left"/>
        </w:tabs>
        <w:numPr>
          <w:ilvl w:val="0"/>
          <w:numId w:val="10"/>
        </w:numPr>
        <w:rPr>
          <w:rFonts w:ascii="Arial" w:cs="Arial" w:eastAsia="Arial" w:hAnsi="Arial"/>
          <w:sz w:val="9"/>
          <w:szCs w:val="9"/>
          <w:color w:val="auto"/>
        </w:rPr>
      </w:pPr>
      <w:r>
        <w:rPr>
          <w:rFonts w:ascii="Arial" w:cs="Arial" w:eastAsia="Arial" w:hAnsi="Arial"/>
          <w:sz w:val="14"/>
          <w:szCs w:val="14"/>
          <w:color w:val="auto"/>
        </w:rPr>
        <w:t>Working capital is defined as the cash changes in accounts receivable plus inventory less accounts payable.</w:t>
      </w:r>
    </w:p>
    <w:p>
      <w:pPr>
        <w:spacing w:after="0" w:line="12" w:lineRule="exact"/>
        <w:rPr>
          <w:rFonts w:ascii="Arial" w:cs="Arial" w:eastAsia="Arial" w:hAnsi="Arial"/>
          <w:sz w:val="9"/>
          <w:szCs w:val="9"/>
          <w:color w:val="auto"/>
        </w:rPr>
      </w:pPr>
    </w:p>
    <w:p>
      <w:pPr>
        <w:ind w:left="160" w:hanging="153"/>
        <w:spacing w:after="0"/>
        <w:tabs>
          <w:tab w:leader="none" w:pos="160" w:val="left"/>
        </w:tabs>
        <w:numPr>
          <w:ilvl w:val="0"/>
          <w:numId w:val="10"/>
        </w:numPr>
        <w:rPr>
          <w:rFonts w:ascii="Arial" w:cs="Arial" w:eastAsia="Arial" w:hAnsi="Arial"/>
          <w:sz w:val="9"/>
          <w:szCs w:val="9"/>
          <w:color w:val="auto"/>
        </w:rPr>
      </w:pPr>
      <w:r>
        <w:rPr>
          <w:rFonts w:ascii="Arial" w:cs="Arial" w:eastAsia="Arial" w:hAnsi="Arial"/>
          <w:sz w:val="14"/>
          <w:szCs w:val="14"/>
          <w:color w:val="auto"/>
        </w:rPr>
        <w:t>Other operating activities is primarily accruals, net of cash payments for operational expenses, interest, taxes, employee costs and leases.</w:t>
      </w:r>
    </w:p>
    <w:p>
      <w:pPr>
        <w:ind w:left="160" w:hanging="153"/>
        <w:spacing w:after="0" w:line="290" w:lineRule="auto"/>
        <w:tabs>
          <w:tab w:leader="none" w:pos="143" w:val="left"/>
        </w:tabs>
        <w:numPr>
          <w:ilvl w:val="0"/>
          <w:numId w:val="10"/>
        </w:numPr>
        <w:rPr>
          <w:rFonts w:ascii="Arial" w:cs="Arial" w:eastAsia="Arial" w:hAnsi="Arial"/>
          <w:sz w:val="9"/>
          <w:szCs w:val="9"/>
          <w:color w:val="auto"/>
        </w:rPr>
      </w:pPr>
      <w:r>
        <w:rPr>
          <w:rFonts w:ascii="Arial" w:cs="Arial" w:eastAsia="Arial" w:hAnsi="Arial"/>
          <w:sz w:val="13"/>
          <w:szCs w:val="13"/>
          <w:color w:val="auto"/>
        </w:rPr>
        <w:t>Free cash flow is a non-GAAP measure calculated as cash flows provided by (used in) operating activities, less capital expenditures for property, plant and equipment plus proceeds from the disposition of assets. Management believes free cash flow is useful to understand liquidity and should be considered in addition to but not substitute cash flows provided by operating activities.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2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 (Unaudited) - Product Line Revenues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7"/>
              </w:rPr>
              <w:t>Quarter Ended</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8"/>
                <w:szCs w:val="18"/>
                <w:b w:val="1"/>
                <w:bCs w:val="1"/>
                <w:color w:val="auto"/>
              </w:rPr>
              <w:t>Nine Months Ended</w:t>
            </w:r>
          </w:p>
        </w:tc>
      </w:tr>
      <w:tr>
        <w:trPr>
          <w:trHeight w:val="222"/>
        </w:trPr>
        <w:tc>
          <w:tcPr>
            <w:tcW w:w="4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9"/>
              </w:rPr>
              <w:t>09/30/21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6"/>
              </w:rPr>
              <w:t>06/30/21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9"/>
              </w:rPr>
              <w:t>09/30/20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9/30/21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9/30/20</w:t>
            </w:r>
          </w:p>
        </w:tc>
      </w:tr>
      <w:tr>
        <w:trPr>
          <w:trHeight w:val="222"/>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Completion and Production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28"/>
        </w:trPr>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Drilling, Evaluation and Intervention</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22"/>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Western Hemisphere</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425</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r>
      <w:tr>
        <w:trPr>
          <w:trHeight w:val="248"/>
        </w:trPr>
        <w:tc>
          <w:tcPr>
            <w:tcW w:w="4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8"/>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Completion and Production</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28"/>
        </w:trPr>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Drilling, Evaluation and Intervention</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r>
      <w:tr>
        <w:trPr>
          <w:trHeight w:val="222"/>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Eastern Hemisphere</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r>
      <w:tr>
        <w:trPr>
          <w:trHeight w:val="248"/>
        </w:trPr>
        <w:tc>
          <w:tcPr>
            <w:tcW w:w="4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Completion and Production</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28"/>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Drilling, Evaluation and Intervention</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458</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r>
      <w:tr>
        <w:trPr>
          <w:trHeight w:val="247"/>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Product Line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r>
      <w:tr>
        <w:trPr>
          <w:trHeight w:val="20"/>
        </w:trPr>
        <w:tc>
          <w:tcPr>
            <w:tcW w:w="4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41" w:right="339" w:bottom="1440" w:gutter="0" w:footer="0" w:header="0"/>
        </w:sectPr>
      </w:pPr>
    </w:p>
    <w:bookmarkStart w:id="15" w:name="page16"/>
    <w:bookmarkEnd w:id="15"/>
    <w:p>
      <w:pPr>
        <w:jc w:val="both"/>
        <w:spacing w:after="0" w:line="272" w:lineRule="auto"/>
        <w:rPr>
          <w:sz w:val="20"/>
          <w:szCs w:val="20"/>
          <w:color w:val="auto"/>
        </w:rPr>
      </w:pPr>
      <w:r>
        <w:rPr>
          <w:rFonts w:ascii="Arial" w:cs="Arial" w:eastAsia="Arial" w:hAnsi="Arial"/>
          <w:sz w:val="16"/>
          <w:szCs w:val="16"/>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94" w:lineRule="exact"/>
        <w:rPr>
          <w:sz w:val="20"/>
          <w:szCs w:val="20"/>
          <w:color w:val="auto"/>
        </w:rPr>
      </w:pPr>
    </w:p>
    <w:tbl>
      <w:tblPr>
        <w:tblLayout w:type="fixed"/>
        <w:tblInd w:w="400" w:type="dxa"/>
        <w:tblCellMar>
          <w:top w:w="0" w:type="dxa"/>
          <w:left w:w="0" w:type="dxa"/>
          <w:bottom w:w="0" w:type="dxa"/>
          <w:right w:w="0" w:type="dxa"/>
        </w:tblCellMar>
      </w:tblPr>
      <w:tr>
        <w:trPr>
          <w:trHeight w:val="215"/>
        </w:trPr>
        <w:tc>
          <w:tcPr>
            <w:tcW w:w="3980" w:type="dxa"/>
            <w:vAlign w:val="bottom"/>
          </w:tcPr>
          <w:p>
            <w:pPr>
              <w:spacing w:after="0"/>
              <w:rPr>
                <w:sz w:val="18"/>
                <w:szCs w:val="18"/>
                <w:color w:val="auto"/>
              </w:rPr>
            </w:pPr>
          </w:p>
        </w:tc>
        <w:tc>
          <w:tcPr>
            <w:tcW w:w="2920" w:type="dxa"/>
            <w:vAlign w:val="bottom"/>
            <w:gridSpan w:val="5"/>
          </w:tcPr>
          <w:p>
            <w:pPr>
              <w:jc w:val="center"/>
              <w:ind w:right="354"/>
              <w:spacing w:after="0"/>
              <w:rPr>
                <w:sz w:val="20"/>
                <w:szCs w:val="20"/>
                <w:color w:val="auto"/>
              </w:rPr>
            </w:pPr>
            <w:r>
              <w:rPr>
                <w:rFonts w:ascii="Arial" w:cs="Arial" w:eastAsia="Arial" w:hAnsi="Arial"/>
                <w:sz w:val="17"/>
                <w:szCs w:val="17"/>
                <w:b w:val="1"/>
                <w:bCs w:val="1"/>
                <w:color w:val="auto"/>
                <w:w w:val="93"/>
              </w:rPr>
              <w:t>Weatherford International plc</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gridSpan w:val="9"/>
          </w:tcPr>
          <w:p>
            <w:pPr>
              <w:jc w:val="center"/>
              <w:ind w:left="2214"/>
              <w:spacing w:after="0"/>
              <w:rPr>
                <w:sz w:val="20"/>
                <w:szCs w:val="20"/>
                <w:color w:val="auto"/>
              </w:rPr>
            </w:pPr>
            <w:r>
              <w:rPr>
                <w:rFonts w:ascii="Arial" w:cs="Arial" w:eastAsia="Arial" w:hAnsi="Arial"/>
                <w:sz w:val="17"/>
                <w:szCs w:val="17"/>
                <w:b w:val="1"/>
                <w:bCs w:val="1"/>
                <w:color w:val="auto"/>
                <w:w w:val="92"/>
              </w:rPr>
              <w:t>Reconciliation of GAAP to Non-GAAP Financial Measures (Unaudited)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900" w:type="dxa"/>
            <w:vAlign w:val="bottom"/>
            <w:gridSpan w:val="6"/>
          </w:tcPr>
          <w:p>
            <w:pPr>
              <w:jc w:val="center"/>
              <w:ind w:left="3454"/>
              <w:spacing w:after="0"/>
              <w:rPr>
                <w:sz w:val="20"/>
                <w:szCs w:val="20"/>
                <w:color w:val="auto"/>
              </w:rPr>
            </w:pPr>
            <w:r>
              <w:rPr>
                <w:rFonts w:ascii="Arial" w:cs="Arial" w:eastAsia="Arial" w:hAnsi="Arial"/>
                <w:sz w:val="17"/>
                <w:szCs w:val="17"/>
                <w:i w:val="1"/>
                <w:iCs w:val="1"/>
                <w:color w:val="auto"/>
                <w:w w:val="91"/>
              </w:rPr>
              <w:t>($ in Millions, Except Per Share Amounts)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Quarter Ended</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2"/>
        </w:trPr>
        <w:tc>
          <w:tcPr>
            <w:tcW w:w="3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w w:val="99"/>
              </w:rPr>
              <w:t>9/30/21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6/30/21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9/30/20</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9/30/21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w w:val="99"/>
              </w:rPr>
              <w:t>9/30/20</w:t>
            </w:r>
          </w:p>
        </w:tc>
        <w:tc>
          <w:tcPr>
            <w:tcW w:w="0" w:type="dxa"/>
            <w:vAlign w:val="bottom"/>
          </w:tcPr>
          <w:p>
            <w:pPr>
              <w:spacing w:after="0"/>
              <w:rPr>
                <w:sz w:val="1"/>
                <w:szCs w:val="1"/>
                <w:color w:val="auto"/>
              </w:rPr>
            </w:pPr>
          </w:p>
        </w:tc>
      </w:tr>
      <w:tr>
        <w:trPr>
          <w:trHeight w:val="208"/>
        </w:trPr>
        <w:tc>
          <w:tcPr>
            <w:tcW w:w="3980" w:type="dxa"/>
            <w:vAlign w:val="bottom"/>
          </w:tcPr>
          <w:p>
            <w:pPr>
              <w:ind w:left="20"/>
              <w:spacing w:after="0"/>
              <w:rPr>
                <w:sz w:val="20"/>
                <w:szCs w:val="20"/>
                <w:color w:val="auto"/>
              </w:rPr>
            </w:pPr>
            <w:r>
              <w:rPr>
                <w:rFonts w:ascii="Arial" w:cs="Arial" w:eastAsia="Arial" w:hAnsi="Arial"/>
                <w:sz w:val="17"/>
                <w:szCs w:val="17"/>
                <w:b w:val="1"/>
                <w:bCs w:val="1"/>
                <w:color w:val="auto"/>
              </w:rPr>
              <w:t>Operating Income (Loss):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Operating Income (Loss)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Impairments and Other Charges (Credits)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28"/>
        </w:trPr>
        <w:tc>
          <w:tcPr>
            <w:tcW w:w="3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5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2"/>
        </w:trPr>
        <w:tc>
          <w:tcPr>
            <w:tcW w:w="3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Operating Non-GAAP Adjustments</w:t>
            </w: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33"/>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Adjusted Operating Income (Loss)</w:t>
            </w: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67</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7"/>
                <w:szCs w:val="17"/>
                <w:color w:val="auto"/>
              </w:rPr>
              <w:t>GAAP Income (Loss) Before Income Taxes</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(58)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(159)</w:t>
            </w:r>
          </w:p>
        </w:tc>
        <w:tc>
          <w:tcPr>
            <w:tcW w:w="14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(206)</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(1,640)</w:t>
            </w: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Non-GAAP Adjustments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w:t>
            </w:r>
          </w:p>
        </w:tc>
        <w:tc>
          <w:tcPr>
            <w:tcW w:w="0" w:type="dxa"/>
            <w:vAlign w:val="bottom"/>
          </w:tcPr>
          <w:p>
            <w:pPr>
              <w:spacing w:after="0"/>
              <w:rPr>
                <w:sz w:val="1"/>
                <w:szCs w:val="1"/>
                <w:color w:val="auto"/>
              </w:rPr>
            </w:pPr>
          </w:p>
        </w:tc>
      </w:tr>
      <w:tr>
        <w:trPr>
          <w:trHeight w:val="161"/>
        </w:trPr>
        <w:tc>
          <w:tcPr>
            <w:tcW w:w="4740" w:type="dxa"/>
            <w:vAlign w:val="bottom"/>
            <w:gridSpan w:val="3"/>
          </w:tcPr>
          <w:p>
            <w:pPr>
              <w:ind w:left="140"/>
              <w:spacing w:after="0" w:line="161" w:lineRule="exact"/>
              <w:rPr>
                <w:sz w:val="20"/>
                <w:szCs w:val="20"/>
                <w:color w:val="auto"/>
              </w:rPr>
            </w:pPr>
            <w:r>
              <w:rPr>
                <w:rFonts w:ascii="Arial" w:cs="Arial" w:eastAsia="Arial" w:hAnsi="Arial"/>
                <w:sz w:val="17"/>
                <w:szCs w:val="17"/>
                <w:color w:val="auto"/>
                <w:w w:val="99"/>
              </w:rPr>
              <w:t>Loss on Extinguishment of Debt, Bond Redemption Premium</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59</w:t>
            </w:r>
          </w:p>
        </w:tc>
        <w:tc>
          <w:tcPr>
            <w:tcW w:w="260" w:type="dxa"/>
            <w:vAlign w:val="bottom"/>
          </w:tcPr>
          <w:p>
            <w:pPr>
              <w:spacing w:after="0"/>
              <w:rPr>
                <w:sz w:val="14"/>
                <w:szCs w:val="14"/>
                <w:color w:val="auto"/>
              </w:rPr>
            </w:pPr>
          </w:p>
        </w:tc>
        <w:tc>
          <w:tcPr>
            <w:tcW w:w="980" w:type="dxa"/>
            <w:vAlign w:val="bottom"/>
            <w:vMerge w:val="restart"/>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7"/>
                <w:szCs w:val="17"/>
                <w:color w:val="auto"/>
              </w:rPr>
              <w:t>59</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5"/>
        </w:trPr>
        <w:tc>
          <w:tcPr>
            <w:tcW w:w="3980" w:type="dxa"/>
            <w:vAlign w:val="bottom"/>
          </w:tcPr>
          <w:p>
            <w:pPr>
              <w:ind w:left="140"/>
              <w:spacing w:after="0" w:line="214" w:lineRule="exact"/>
              <w:rPr>
                <w:sz w:val="20"/>
                <w:szCs w:val="20"/>
                <w:color w:val="auto"/>
              </w:rPr>
            </w:pPr>
            <w:r>
              <w:rPr>
                <w:rFonts w:ascii="Arial" w:cs="Arial" w:eastAsia="Arial" w:hAnsi="Arial"/>
                <w:sz w:val="17"/>
                <w:szCs w:val="17"/>
                <w:color w:val="auto"/>
                <w:w w:val="95"/>
              </w:rPr>
              <w:t xml:space="preserve">and Loss on Termination of ABL Credit Agreement </w:t>
            </w:r>
            <w:r>
              <w:rPr>
                <w:rFonts w:ascii="Arial" w:cs="Arial" w:eastAsia="Arial" w:hAnsi="Arial"/>
                <w:sz w:val="22"/>
                <w:szCs w:val="22"/>
                <w:color w:val="auto"/>
                <w:w w:val="95"/>
                <w:vertAlign w:val="superscript"/>
              </w:rPr>
              <w:t>[1]</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140"/>
              <w:spacing w:after="0" w:line="214" w:lineRule="exact"/>
              <w:rPr>
                <w:sz w:val="20"/>
                <w:szCs w:val="20"/>
                <w:color w:val="auto"/>
              </w:rPr>
            </w:pPr>
            <w:r>
              <w:rPr>
                <w:rFonts w:ascii="Arial" w:cs="Arial" w:eastAsia="Arial" w:hAnsi="Arial"/>
                <w:sz w:val="17"/>
                <w:szCs w:val="17"/>
                <w:color w:val="auto"/>
              </w:rPr>
              <w:t xml:space="preserve">Reorganization Items </w:t>
            </w:r>
            <w:r>
              <w:rPr>
                <w:rFonts w:ascii="Arial" w:cs="Arial" w:eastAsia="Arial" w:hAnsi="Arial"/>
                <w:sz w:val="22"/>
                <w:szCs w:val="22"/>
                <w:color w:val="auto"/>
                <w:vertAlign w:val="superscript"/>
              </w:rPr>
              <w:t>[2]</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8"/>
        </w:trPr>
        <w:tc>
          <w:tcPr>
            <w:tcW w:w="3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Non-GAAP Adjustments Before Taxes</w:t>
            </w:r>
          </w:p>
        </w:tc>
        <w:tc>
          <w:tcPr>
            <w:tcW w:w="5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(8)</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43</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1,365</w:t>
            </w:r>
          </w:p>
        </w:tc>
        <w:tc>
          <w:tcPr>
            <w:tcW w:w="0" w:type="dxa"/>
            <w:vAlign w:val="bottom"/>
          </w:tcPr>
          <w:p>
            <w:pPr>
              <w:spacing w:after="0"/>
              <w:rPr>
                <w:sz w:val="1"/>
                <w:szCs w:val="1"/>
                <w:color w:val="auto"/>
              </w:rPr>
            </w:pPr>
          </w:p>
        </w:tc>
      </w:tr>
      <w:tr>
        <w:trPr>
          <w:trHeight w:val="233"/>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Loss Before Income Taxes</w:t>
            </w: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Provision for Income Taxes: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80" w:type="dxa"/>
            <w:vAlign w:val="bottom"/>
          </w:tcPr>
          <w:p>
            <w:pPr>
              <w:ind w:left="20"/>
              <w:spacing w:after="0"/>
              <w:rPr>
                <w:sz w:val="20"/>
                <w:szCs w:val="20"/>
                <w:color w:val="auto"/>
              </w:rPr>
            </w:pPr>
            <w:r>
              <w:rPr>
                <w:rFonts w:ascii="Arial" w:cs="Arial" w:eastAsia="Arial" w:hAnsi="Arial"/>
                <w:sz w:val="17"/>
                <w:szCs w:val="17"/>
                <w:color w:val="auto"/>
              </w:rPr>
              <w:t>GAAP Provision for Income Taxes</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5"/>
        </w:trPr>
        <w:tc>
          <w:tcPr>
            <w:tcW w:w="3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Tax Effect on Non-GAAP Adjustments</w:t>
            </w:r>
          </w:p>
        </w:tc>
        <w:tc>
          <w:tcPr>
            <w:tcW w:w="5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8"/>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Provision for Income Taxes</w:t>
            </w: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2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7"/>
                <w:szCs w:val="17"/>
                <w:b w:val="1"/>
                <w:bCs w:val="1"/>
                <w:color w:val="auto"/>
              </w:rPr>
              <w:t>Net Loss Attributable to Weatherford: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Net Loss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w:t>
            </w:r>
          </w:p>
        </w:tc>
        <w:tc>
          <w:tcPr>
            <w:tcW w:w="0" w:type="dxa"/>
            <w:vAlign w:val="bottom"/>
          </w:tcPr>
          <w:p>
            <w:pPr>
              <w:spacing w:after="0"/>
              <w:rPr>
                <w:sz w:val="1"/>
                <w:szCs w:val="1"/>
                <w:color w:val="auto"/>
              </w:rPr>
            </w:pPr>
          </w:p>
        </w:tc>
      </w:tr>
      <w:tr>
        <w:trPr>
          <w:trHeight w:val="215"/>
        </w:trPr>
        <w:tc>
          <w:tcPr>
            <w:tcW w:w="39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Non-GAAP Adjustments, net of tax</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43</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1,353</w:t>
            </w:r>
          </w:p>
        </w:tc>
        <w:tc>
          <w:tcPr>
            <w:tcW w:w="0" w:type="dxa"/>
            <w:vAlign w:val="bottom"/>
          </w:tcPr>
          <w:p>
            <w:pPr>
              <w:spacing w:after="0"/>
              <w:rPr>
                <w:sz w:val="1"/>
                <w:szCs w:val="1"/>
                <w:color w:val="auto"/>
              </w:rPr>
            </w:pPr>
          </w:p>
        </w:tc>
      </w:tr>
      <w:tr>
        <w:trPr>
          <w:trHeight w:val="233"/>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Net Loss</w:t>
            </w: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4"/>
              </w:rPr>
              <w:t>Diluted Loss Per Share Attributable to Weatherford: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7"/>
                <w:szCs w:val="17"/>
                <w:color w:val="auto"/>
              </w:rPr>
              <w:t>GAAP Diluted Loss per Share</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(1.11)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(2.48)</w:t>
            </w:r>
          </w:p>
        </w:tc>
        <w:tc>
          <w:tcPr>
            <w:tcW w:w="14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(4.13)</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(24.58)</w:t>
            </w:r>
          </w:p>
        </w:tc>
        <w:tc>
          <w:tcPr>
            <w:tcW w:w="0" w:type="dxa"/>
            <w:vAlign w:val="bottom"/>
          </w:tcPr>
          <w:p>
            <w:pPr>
              <w:spacing w:after="0"/>
              <w:rPr>
                <w:sz w:val="1"/>
                <w:szCs w:val="1"/>
                <w:color w:val="auto"/>
              </w:rPr>
            </w:pPr>
          </w:p>
        </w:tc>
      </w:tr>
      <w:tr>
        <w:trPr>
          <w:trHeight w:val="215"/>
        </w:trPr>
        <w:tc>
          <w:tcPr>
            <w:tcW w:w="3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Non-GAAP Adjustments, net of tax</w:t>
            </w:r>
          </w:p>
        </w:tc>
        <w:tc>
          <w:tcPr>
            <w:tcW w:w="5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0.73</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(0.12)</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0.62</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19.32</w:t>
            </w:r>
          </w:p>
        </w:tc>
        <w:tc>
          <w:tcPr>
            <w:tcW w:w="0" w:type="dxa"/>
            <w:vAlign w:val="bottom"/>
          </w:tcPr>
          <w:p>
            <w:pPr>
              <w:spacing w:after="0"/>
              <w:rPr>
                <w:sz w:val="1"/>
                <w:szCs w:val="1"/>
                <w:color w:val="auto"/>
              </w:rPr>
            </w:pPr>
          </w:p>
        </w:tc>
      </w:tr>
      <w:tr>
        <w:trPr>
          <w:trHeight w:val="208"/>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Diluted Loss per Share</w:t>
            </w: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2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480" w:hanging="312"/>
        <w:spacing w:after="0"/>
        <w:tabs>
          <w:tab w:leader="none" w:pos="48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Loss on Termination of ABL Credit Agreement was included in “Interest Expense Net” in 2020, which has been reclassified to be presented on a comparable basis with 2021.</w:t>
      </w:r>
    </w:p>
    <w:p>
      <w:pPr>
        <w:ind w:left="480" w:hanging="312"/>
        <w:spacing w:after="0" w:line="187" w:lineRule="auto"/>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Reorganization Items is included in “Other Expense, Net” on the Condensed Consolidated Statements of Operations table.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6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before Certain Operating Expenses to Adjusted EBITDA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Supplemental Schedule for Impairments and Other (Charges) Credits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7"/>
              </w:rPr>
              <w:t>Quarter Ended</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Nine Months Ended</w:t>
            </w:r>
          </w:p>
        </w:tc>
      </w:tr>
      <w:tr>
        <w:trPr>
          <w:trHeight w:val="222"/>
        </w:trPr>
        <w:tc>
          <w:tcPr>
            <w:tcW w:w="4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9/30/21</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6/30/21</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9/30/20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9/30/21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9/30/20</w:t>
            </w: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Western Hemisphere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28</w:t>
            </w:r>
          </w:p>
        </w:tc>
        <w:tc>
          <w:tcPr>
            <w:tcW w:w="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4900" w:type="dxa"/>
            <w:vAlign w:val="bottom"/>
            <w:tcBorders>
              <w:top w:val="single" w:sz="8" w:color="auto"/>
              <w:bottom w:val="single" w:sz="8" w:color="auto"/>
            </w:tcBorders>
            <w:shd w:val="clear" w:color="auto" w:fill="CCEEFF"/>
          </w:tcPr>
          <w:p>
            <w:pPr>
              <w:ind w:left="140"/>
              <w:spacing w:after="0" w:line="222"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58</w:t>
            </w:r>
          </w:p>
        </w:tc>
        <w:tc>
          <w:tcPr>
            <w:tcW w:w="2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2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4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Eastern Hemisphere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900" w:type="dxa"/>
            <w:vAlign w:val="bottom"/>
            <w:tcBorders>
              <w:bottom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4900" w:type="dxa"/>
            <w:vAlign w:val="bottom"/>
            <w:tcBorders>
              <w:bottom w:val="single" w:sz="8" w:color="auto"/>
            </w:tcBorders>
          </w:tcPr>
          <w:p>
            <w:pPr>
              <w:ind w:left="140"/>
              <w:spacing w:after="0" w:line="222"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93</w:t>
            </w:r>
          </w:p>
        </w:tc>
        <w:tc>
          <w:tcPr>
            <w:tcW w:w="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277</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2"/>
        </w:trPr>
        <w:tc>
          <w:tcPr>
            <w:tcW w:w="4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4900" w:type="dxa"/>
            <w:vAlign w:val="bottom"/>
            <w:tcBorders>
              <w:top w:val="single" w:sz="8" w:color="auto"/>
              <w:bottom w:val="single" w:sz="8" w:color="auto"/>
            </w:tcBorders>
          </w:tcPr>
          <w:p>
            <w:pPr>
              <w:ind w:left="140"/>
              <w:spacing w:after="0" w:line="222"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2"/>
        </w:trPr>
        <w:tc>
          <w:tcPr>
            <w:tcW w:w="4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Consolidated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7"/>
        </w:trPr>
        <w:tc>
          <w:tcPr>
            <w:tcW w:w="4900" w:type="dxa"/>
            <w:vAlign w:val="bottom"/>
            <w:tcBorders>
              <w:bottom w:val="single" w:sz="8" w:color="auto"/>
            </w:tcBorders>
            <w:shd w:val="clear" w:color="auto" w:fill="CCEEFF"/>
          </w:tcPr>
          <w:p>
            <w:pPr>
              <w:ind w:left="140"/>
              <w:spacing w:after="0" w:line="222"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136</w:t>
            </w:r>
          </w:p>
        </w:tc>
        <w:tc>
          <w:tcPr>
            <w:tcW w:w="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0"/>
        </w:trPr>
        <w:tc>
          <w:tcPr>
            <w:tcW w:w="4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8"/>
        </w:trPr>
        <w:tc>
          <w:tcPr>
            <w:tcW w:w="490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b w:val="1"/>
                <w:bCs w:val="1"/>
                <w:color w:val="auto"/>
              </w:rPr>
              <w:t>Impairments and Other (Charges) Credits</w:t>
            </w:r>
            <w:r>
              <w:rPr>
                <w:rFonts w:ascii="Arial" w:cs="Arial" w:eastAsia="Arial" w:hAnsi="Arial"/>
                <w:sz w:val="23"/>
                <w:szCs w:val="23"/>
                <w:b w:val="1"/>
                <w:bCs w:val="1"/>
                <w:color w:val="auto"/>
                <w:vertAlign w:val="superscript"/>
              </w:rPr>
              <w:t>[3]</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color w:val="auto"/>
              </w:rPr>
              <w:t>Long-lived Asset Impairments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color w:val="auto"/>
              </w:rPr>
              <w:t>Inventory Charges</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(Charges) Credits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4900" w:type="dxa"/>
            <w:vAlign w:val="bottom"/>
            <w:tcBorders>
              <w:top w:val="single" w:sz="8" w:color="auto"/>
              <w:bottom w:val="single" w:sz="8" w:color="auto"/>
            </w:tcBorders>
          </w:tcPr>
          <w:p>
            <w:pPr>
              <w:ind w:left="140"/>
              <w:spacing w:after="0" w:line="222" w:lineRule="exact"/>
              <w:rPr>
                <w:sz w:val="20"/>
                <w:szCs w:val="20"/>
                <w:color w:val="auto"/>
              </w:rPr>
            </w:pPr>
            <w:r>
              <w:rPr>
                <w:rFonts w:ascii="Arial" w:cs="Arial" w:eastAsia="Arial" w:hAnsi="Arial"/>
                <w:sz w:val="18"/>
                <w:szCs w:val="18"/>
                <w:color w:val="auto"/>
              </w:rPr>
              <w:t>Total Impairments and Other (Charges) Credits</w:t>
            </w:r>
            <w:r>
              <w:rPr>
                <w:rFonts w:ascii="Arial" w:cs="Arial" w:eastAsia="Arial" w:hAnsi="Arial"/>
                <w:sz w:val="23"/>
                <w:szCs w:val="23"/>
                <w:color w:val="auto"/>
                <w:vertAlign w:val="superscript"/>
              </w:rPr>
              <w:t>[3]</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 w:lineRule="exact"/>
        <w:rPr>
          <w:sz w:val="20"/>
          <w:szCs w:val="20"/>
          <w:color w:val="auto"/>
        </w:rPr>
      </w:pPr>
    </w:p>
    <w:p>
      <w:pPr>
        <w:ind w:left="480" w:hanging="312"/>
        <w:spacing w:after="0"/>
        <w:tabs>
          <w:tab w:leader="none" w:pos="48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Adjusted EBITDA is calculated as operating income (loss) before certain operating expenses plus depreciation and amortization plus share-based compensation.</w:t>
      </w:r>
    </w:p>
    <w:p>
      <w:pPr>
        <w:ind w:left="500" w:hanging="332"/>
        <w:spacing w:after="0" w:line="203" w:lineRule="auto"/>
        <w:tabs>
          <w:tab w:leader="none" w:pos="487"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Other is a $12 million gain on sale of operational assets in the third quarter and nine months ended of 2020 netted into the Other (Charges) Credits caption in the breakout of Impairments and Other (Charges) Credits, and is part of our Eastern Hemisphere Adjusted EBITDA.</w:t>
      </w:r>
    </w:p>
    <w:p>
      <w:pPr>
        <w:spacing w:after="0" w:line="1" w:lineRule="exact"/>
        <w:rPr>
          <w:rFonts w:ascii="Arial" w:cs="Arial" w:eastAsia="Arial" w:hAnsi="Arial"/>
          <w:sz w:val="19"/>
          <w:szCs w:val="19"/>
          <w:color w:val="auto"/>
          <w:vertAlign w:val="superscript"/>
        </w:rPr>
      </w:pPr>
    </w:p>
    <w:p>
      <w:pPr>
        <w:ind w:left="480" w:hanging="312"/>
        <w:spacing w:after="0" w:line="208" w:lineRule="auto"/>
        <w:tabs>
          <w:tab w:leader="none" w:pos="48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Impairments and Other (Charges) Credits primarily represent charges on long-lived assets, goodwill, certain inventory charges and other (charges) credits like certain gains on asset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67" w:right="339" w:bottom="1440" w:gutter="0" w:footer="0" w:header="0"/>
        </w:sectPr>
      </w:pPr>
    </w:p>
    <w:bookmarkStart w:id="17" w:name="page18"/>
    <w:bookmarkEnd w:id="17"/>
    <w:p>
      <w:pPr>
        <w:jc w:val="center"/>
        <w:ind w:right="160"/>
        <w:spacing w:after="0"/>
        <w:rPr>
          <w:sz w:val="20"/>
          <w:szCs w:val="20"/>
          <w:color w:val="auto"/>
        </w:rPr>
      </w:pPr>
      <w:r>
        <w:rPr>
          <w:rFonts w:ascii="Arial" w:cs="Arial" w:eastAsia="Arial" w:hAnsi="Arial"/>
          <w:sz w:val="17"/>
          <w:szCs w:val="17"/>
          <w:b w:val="1"/>
          <w:bCs w:val="1"/>
          <w:color w:val="auto"/>
        </w:rPr>
        <w:t>Weatherford International plc</w:t>
      </w:r>
    </w:p>
    <w:p>
      <w:pPr>
        <w:spacing w:after="0" w:line="24" w:lineRule="exact"/>
        <w:rPr>
          <w:sz w:val="20"/>
          <w:szCs w:val="20"/>
          <w:color w:val="auto"/>
        </w:rPr>
      </w:pPr>
    </w:p>
    <w:p>
      <w:pPr>
        <w:jc w:val="center"/>
        <w:ind w:right="160"/>
        <w:spacing w:after="0"/>
        <w:rPr>
          <w:sz w:val="20"/>
          <w:szCs w:val="20"/>
          <w:color w:val="auto"/>
        </w:rPr>
      </w:pPr>
      <w:r>
        <w:rPr>
          <w:rFonts w:ascii="Arial" w:cs="Arial" w:eastAsia="Arial" w:hAnsi="Arial"/>
          <w:sz w:val="17"/>
          <w:szCs w:val="17"/>
          <w:i w:val="1"/>
          <w:iCs w:val="1"/>
          <w:color w:val="auto"/>
        </w:rPr>
        <w:t>($ in Millions)</w:t>
      </w:r>
    </w:p>
    <w:p>
      <w:pPr>
        <w:spacing w:after="0" w:line="19"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Reconciliation of GAAP to Non-GAAP Financial Measures</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Net Loss to Adjusted EBITDA (Unaudited)</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33"/>
        </w:trPr>
        <w:tc>
          <w:tcPr>
            <w:tcW w:w="4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Quarter Ended</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2"/>
        </w:trPr>
        <w:tc>
          <w:tcPr>
            <w:tcW w:w="4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w w:val="99"/>
              </w:rPr>
              <w:t>9/30/21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6/30/21</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9/30/20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9/30/21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9/30/20</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Loss Attributable to Weatherford</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(78)</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w:t>
            </w:r>
          </w:p>
        </w:tc>
        <w:tc>
          <w:tcPr>
            <w:tcW w:w="0" w:type="dxa"/>
            <w:vAlign w:val="bottom"/>
          </w:tcPr>
          <w:p>
            <w:pPr>
              <w:spacing w:after="0"/>
              <w:rPr>
                <w:sz w:val="1"/>
                <w:szCs w:val="1"/>
                <w:color w:val="auto"/>
              </w:rPr>
            </w:pPr>
          </w:p>
        </w:tc>
      </w:tr>
      <w:tr>
        <w:trPr>
          <w:trHeight w:val="215"/>
        </w:trPr>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Attributable to Noncontrolling Interests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17</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(1,704)</w:t>
            </w:r>
          </w:p>
        </w:tc>
        <w:tc>
          <w:tcPr>
            <w:tcW w:w="0" w:type="dxa"/>
            <w:vAlign w:val="bottom"/>
          </w:tcPr>
          <w:p>
            <w:pPr>
              <w:spacing w:after="0"/>
              <w:rPr>
                <w:sz w:val="1"/>
                <w:szCs w:val="1"/>
                <w:color w:val="auto"/>
              </w:rPr>
            </w:pPr>
          </w:p>
        </w:tc>
      </w:tr>
      <w:tr>
        <w:trPr>
          <w:trHeight w:val="215"/>
        </w:trPr>
        <w:tc>
          <w:tcPr>
            <w:tcW w:w="454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2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69</w:t>
            </w:r>
          </w:p>
        </w:tc>
        <w:tc>
          <w:tcPr>
            <w:tcW w:w="28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72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211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161"/>
        </w:trPr>
        <w:tc>
          <w:tcPr>
            <w:tcW w:w="4540" w:type="dxa"/>
            <w:vAlign w:val="bottom"/>
            <w:shd w:val="clear" w:color="auto" w:fill="CCEEFF"/>
          </w:tcPr>
          <w:p>
            <w:pPr>
              <w:ind w:left="220"/>
              <w:spacing w:after="0" w:line="161" w:lineRule="exact"/>
              <w:rPr>
                <w:sz w:val="20"/>
                <w:szCs w:val="20"/>
                <w:color w:val="auto"/>
              </w:rPr>
            </w:pPr>
            <w:r>
              <w:rPr>
                <w:rFonts w:ascii="Arial" w:cs="Arial" w:eastAsia="Arial" w:hAnsi="Arial"/>
                <w:sz w:val="17"/>
                <w:szCs w:val="17"/>
                <w:color w:val="auto"/>
                <w:w w:val="93"/>
              </w:rPr>
              <w:t>Loss on Extinguishment of Debt, Bond Redemption Premium</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59</w:t>
            </w: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59</w:t>
            </w:r>
          </w:p>
        </w:tc>
        <w:tc>
          <w:tcPr>
            <w:tcW w:w="2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and Loss on Termination of ABL Credit Agreement</w:t>
            </w: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40" w:type="dxa"/>
            <w:vAlign w:val="bottom"/>
          </w:tcPr>
          <w:p>
            <w:pPr>
              <w:ind w:left="220"/>
              <w:spacing w:after="0"/>
              <w:rPr>
                <w:sz w:val="20"/>
                <w:szCs w:val="20"/>
                <w:color w:val="auto"/>
              </w:rPr>
            </w:pPr>
            <w:r>
              <w:rPr>
                <w:rFonts w:ascii="Arial" w:cs="Arial" w:eastAsia="Arial" w:hAnsi="Arial"/>
                <w:sz w:val="17"/>
                <w:szCs w:val="17"/>
                <w:color w:val="auto"/>
              </w:rPr>
              <w:t>Income Tax Provision</w:t>
            </w:r>
          </w:p>
        </w:tc>
        <w:tc>
          <w:tcPr>
            <w:tcW w:w="2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28</w:t>
            </w:r>
          </w:p>
        </w:tc>
        <w:tc>
          <w:tcPr>
            <w:tcW w:w="28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66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5"/>
        </w:trPr>
        <w:tc>
          <w:tcPr>
            <w:tcW w:w="45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112</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114</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337</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08"/>
        </w:trPr>
        <w:tc>
          <w:tcPr>
            <w:tcW w:w="4540" w:type="dxa"/>
            <w:vAlign w:val="bottom"/>
          </w:tcPr>
          <w:p>
            <w:pPr>
              <w:ind w:left="20"/>
              <w:spacing w:after="0"/>
              <w:rPr>
                <w:sz w:val="20"/>
                <w:szCs w:val="20"/>
                <w:color w:val="auto"/>
              </w:rPr>
            </w:pPr>
            <w:r>
              <w:rPr>
                <w:rFonts w:ascii="Arial" w:cs="Arial" w:eastAsia="Arial" w:hAnsi="Arial"/>
                <w:sz w:val="17"/>
                <w:szCs w:val="17"/>
                <w:b w:val="1"/>
                <w:bCs w:val="1"/>
                <w:color w:val="auto"/>
              </w:rPr>
              <w:t>EBITDA</w:t>
            </w:r>
          </w:p>
        </w:tc>
        <w:tc>
          <w:tcPr>
            <w:tcW w:w="2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179</w:t>
            </w:r>
          </w:p>
        </w:tc>
        <w:tc>
          <w:tcPr>
            <w:tcW w:w="28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128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401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(1,057)</w:t>
            </w: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7"/>
                <w:szCs w:val="17"/>
                <w:b w:val="1"/>
                <w:bCs w:val="1"/>
                <w:color w:val="auto"/>
              </w:rPr>
              <w:t>Other Adjustments: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20"/>
              <w:spacing w:after="0" w:line="228" w:lineRule="exact"/>
              <w:rPr>
                <w:sz w:val="20"/>
                <w:szCs w:val="20"/>
                <w:color w:val="auto"/>
              </w:rPr>
            </w:pPr>
            <w:r>
              <w:rPr>
                <w:rFonts w:ascii="Arial" w:cs="Arial" w:eastAsia="Arial" w:hAnsi="Arial"/>
                <w:sz w:val="17"/>
                <w:szCs w:val="17"/>
                <w:color w:val="auto"/>
              </w:rPr>
              <w:t xml:space="preserve">Impairments and Other Charges (Credits) </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0" w:type="dxa"/>
            <w:vAlign w:val="bottom"/>
          </w:tcPr>
          <w:p>
            <w:pPr>
              <w:spacing w:after="0"/>
              <w:rPr>
                <w:sz w:val="1"/>
                <w:szCs w:val="1"/>
                <w:color w:val="auto"/>
              </w:rPr>
            </w:pPr>
          </w:p>
        </w:tc>
      </w:tr>
      <w:tr>
        <w:trPr>
          <w:trHeight w:val="228"/>
        </w:trPr>
        <w:tc>
          <w:tcPr>
            <w:tcW w:w="4540" w:type="dxa"/>
            <w:vAlign w:val="bottom"/>
          </w:tcPr>
          <w:p>
            <w:pPr>
              <w:ind w:left="220"/>
              <w:spacing w:after="0"/>
              <w:rPr>
                <w:sz w:val="20"/>
                <w:szCs w:val="20"/>
                <w:color w:val="auto"/>
              </w:rPr>
            </w:pPr>
            <w:r>
              <w:rPr>
                <w:rFonts w:ascii="Arial" w:cs="Arial" w:eastAsia="Arial" w:hAnsi="Arial"/>
                <w:sz w:val="17"/>
                <w:szCs w:val="17"/>
                <w:color w:val="auto"/>
              </w:rPr>
              <w:t>Restructuring Charges</w:t>
            </w:r>
          </w:p>
        </w:tc>
        <w:tc>
          <w:tcPr>
            <w:tcW w:w="20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Compensation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540" w:type="dxa"/>
            <w:vAlign w:val="bottom"/>
            <w:tcBorders>
              <w:bottom w:val="single" w:sz="8" w:color="auto"/>
            </w:tcBorders>
          </w:tcPr>
          <w:p>
            <w:pPr>
              <w:ind w:left="220"/>
              <w:spacing w:after="0" w:line="214" w:lineRule="exact"/>
              <w:rPr>
                <w:sz w:val="20"/>
                <w:szCs w:val="20"/>
                <w:color w:val="auto"/>
              </w:rPr>
            </w:pPr>
            <w:r>
              <w:rPr>
                <w:rFonts w:ascii="Arial" w:cs="Arial" w:eastAsia="Arial" w:hAnsi="Arial"/>
                <w:sz w:val="17"/>
                <w:szCs w:val="17"/>
                <w:color w:val="auto"/>
              </w:rPr>
              <w:t xml:space="preserve">Other Expense, Net </w:t>
            </w:r>
            <w:r>
              <w:rPr>
                <w:rFonts w:ascii="Arial" w:cs="Arial" w:eastAsia="Arial" w:hAnsi="Arial"/>
                <w:sz w:val="22"/>
                <w:szCs w:val="22"/>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11</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19</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33"/>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179</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136</w:t>
            </w: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417</w:t>
            </w:r>
          </w:p>
        </w:tc>
        <w:tc>
          <w:tcPr>
            <w:tcW w:w="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Impairments and Other Charges (Credits) for Adjusted EBITDA excludes a $12 million Gain on Sale of Operational Assets in 2020.</w:t>
      </w:r>
    </w:p>
    <w:p>
      <w:pPr>
        <w:ind w:left="320" w:hanging="312"/>
        <w:spacing w:after="0" w:line="187" w:lineRule="auto"/>
        <w:tabs>
          <w:tab w:leader="none" w:pos="320"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Reorganization Items in 2020 is included in “Other Expense, Net”.</w:t>
      </w: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Supplemental Reconciliation of Non-GAAP Financial Measures</w:t>
      </w:r>
    </w:p>
    <w:p>
      <w:pPr>
        <w:spacing w:after="0" w:line="2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Adjusted EBITDA to Free Cash Flow (Unaudited)</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4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Quarter Ended</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8"/>
                <w:szCs w:val="18"/>
                <w:b w:val="1"/>
                <w:bCs w:val="1"/>
                <w:color w:val="auto"/>
              </w:rPr>
              <w:t>Nine Months Ended</w:t>
            </w:r>
          </w:p>
        </w:tc>
      </w:tr>
      <w:tr>
        <w:trPr>
          <w:trHeight w:val="222"/>
        </w:trPr>
        <w:tc>
          <w:tcPr>
            <w:tcW w:w="4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9/30/21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9"/>
              </w:rPr>
              <w:t>6/30/21</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9/30/20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9"/>
              </w:rPr>
              <w:t>9/30/21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9/30/20</w:t>
            </w:r>
          </w:p>
        </w:tc>
      </w:tr>
      <w:tr>
        <w:trPr>
          <w:trHeight w:val="22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28"/>
        </w:trPr>
        <w:tc>
          <w:tcPr>
            <w:tcW w:w="4740" w:type="dxa"/>
            <w:vAlign w:val="bottom"/>
          </w:tcPr>
          <w:p>
            <w:pPr>
              <w:ind w:left="200"/>
              <w:spacing w:after="0"/>
              <w:rPr>
                <w:sz w:val="20"/>
                <w:szCs w:val="20"/>
                <w:color w:val="auto"/>
              </w:rPr>
            </w:pPr>
            <w:r>
              <w:rPr>
                <w:rFonts w:ascii="Arial" w:cs="Arial" w:eastAsia="Arial" w:hAnsi="Arial"/>
                <w:sz w:val="18"/>
                <w:szCs w:val="18"/>
                <w:color w:val="auto"/>
              </w:rPr>
              <w:t>Cash From (Used) for Working Capital</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8"/>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for Property, Plant and Equipment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8"/>
        </w:trPr>
        <w:tc>
          <w:tcPr>
            <w:tcW w:w="4740" w:type="dxa"/>
            <w:vAlign w:val="bottom"/>
          </w:tcPr>
          <w:p>
            <w:pPr>
              <w:ind w:left="200"/>
              <w:spacing w:after="0"/>
              <w:rPr>
                <w:sz w:val="20"/>
                <w:szCs w:val="20"/>
                <w:color w:val="auto"/>
              </w:rPr>
            </w:pPr>
            <w:r>
              <w:rPr>
                <w:rFonts w:ascii="Arial" w:cs="Arial" w:eastAsia="Arial" w:hAnsi="Arial"/>
                <w:sz w:val="18"/>
                <w:szCs w:val="18"/>
                <w:color w:val="auto"/>
              </w:rPr>
              <w:t>Cash Paid for Taxes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8"/>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Severance and Restructuring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8"/>
        </w:trPr>
        <w:tc>
          <w:tcPr>
            <w:tcW w:w="4740" w:type="dxa"/>
            <w:vAlign w:val="bottom"/>
          </w:tcPr>
          <w:p>
            <w:pPr>
              <w:ind w:left="200"/>
              <w:spacing w:after="0"/>
              <w:rPr>
                <w:sz w:val="20"/>
                <w:szCs w:val="20"/>
                <w:color w:val="auto"/>
              </w:rPr>
            </w:pPr>
            <w:r>
              <w:rPr>
                <w:rFonts w:ascii="Arial" w:cs="Arial" w:eastAsia="Arial" w:hAnsi="Arial"/>
                <w:sz w:val="18"/>
                <w:szCs w:val="18"/>
                <w:color w:val="auto"/>
              </w:rPr>
              <w:t>Proceeds from Disposition of Assets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E&amp;O Inventory Charges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8"/>
        </w:trPr>
        <w:tc>
          <w:tcPr>
            <w:tcW w:w="4740" w:type="dxa"/>
            <w:vAlign w:val="bottom"/>
          </w:tcPr>
          <w:p>
            <w:pPr>
              <w:ind w:left="200"/>
              <w:spacing w:after="0"/>
              <w:rPr>
                <w:sz w:val="20"/>
                <w:szCs w:val="20"/>
                <w:color w:val="auto"/>
              </w:rPr>
            </w:pPr>
            <w:r>
              <w:rPr>
                <w:rFonts w:ascii="Arial" w:cs="Arial" w:eastAsia="Arial" w:hAnsi="Arial"/>
                <w:sz w:val="18"/>
                <w:szCs w:val="18"/>
                <w:color w:val="auto"/>
              </w:rPr>
              <w:t>Increase (Decrease) in Accruals, Net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8"/>
        </w:trPr>
        <w:tc>
          <w:tcPr>
            <w:tcW w:w="4740" w:type="dxa"/>
            <w:vAlign w:val="bottom"/>
            <w:tcBorders>
              <w:bottom w:val="single" w:sz="8" w:color="auto"/>
            </w:tcBorders>
            <w:shd w:val="clear" w:color="auto" w:fill="CCEEFF"/>
          </w:tcPr>
          <w:p>
            <w:pPr>
              <w:ind w:left="200"/>
              <w:spacing w:after="0" w:line="229"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Unlevered Free Cash Flow</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22"/>
        </w:trPr>
        <w:tc>
          <w:tcPr>
            <w:tcW w:w="4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2"/>
        </w:trPr>
        <w:tc>
          <w:tcPr>
            <w:tcW w:w="4740" w:type="dxa"/>
            <w:vAlign w:val="bottom"/>
            <w:tcBorders>
              <w:bottom w:val="single" w:sz="8" w:color="auto"/>
            </w:tcBorders>
          </w:tcPr>
          <w:p>
            <w:pPr>
              <w:ind w:left="20"/>
              <w:spacing w:after="0" w:line="222" w:lineRule="exact"/>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23"/>
                <w:szCs w:val="23"/>
                <w:b w:val="1"/>
                <w:bCs w:val="1"/>
                <w:color w:val="auto"/>
                <w:vertAlign w:val="superscript"/>
              </w:rPr>
              <w:t>[4]</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ind w:left="320" w:hanging="312"/>
        <w:spacing w:after="0" w:line="236" w:lineRule="auto"/>
        <w:tabs>
          <w:tab w:leader="none" w:pos="320"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Other primarily includes accruals net of payments for leases, change in our allowance for credit losses and foreign currency exchange impact.</w:t>
      </w:r>
    </w:p>
    <w:p>
      <w:pPr>
        <w:jc w:val="both"/>
        <w:ind w:left="340" w:hanging="332"/>
        <w:spacing w:after="0" w:line="220" w:lineRule="auto"/>
        <w:tabs>
          <w:tab w:leader="none" w:pos="334"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Free cash flow is a non-GAAP measure calculated as cash flows provided by operating activities, less capital expenditures for property, plant and equipment plus proceeds from the disposition of assets. Management believes free cash flow is useful to understand liquidity and should be considered in addition to but not substitute cash flows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sectPr>
      <w:pgSz w:w="11900" w:h="16838" w:orient="portrait"/>
      <w:cols w:equalWidth="0" w:num="1">
        <w:col w:w="11080"/>
      </w:cols>
      <w:pgMar w:left="480" w:top="9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lvl w:ilvl="1">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2021-11-01T15:25:18Z</dcterms:created>
  <dcterms:modified xsi:type="dcterms:W3CDTF">2021-11-01T15:25:18Z</dcterms:modified>
</cp:coreProperties>
</file>