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0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As filed with the Securities and Exchange Commission on December 14, 2018</w:t>
      </w:r>
    </w:p>
    <w:p>
      <w:pPr>
        <w:spacing w:after="0" w:line="2" w:lineRule="exact"/>
        <w:rPr>
          <w:sz w:val="24"/>
          <w:szCs w:val="24"/>
          <w:color w:val="auto"/>
        </w:rPr>
      </w:pPr>
    </w:p>
    <w:p>
      <w:pPr>
        <w:ind w:left="10028"/>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6757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52" w:lineRule="exact"/>
        <w:rPr>
          <w:sz w:val="24"/>
          <w:szCs w:val="24"/>
          <w:color w:val="auto"/>
        </w:rPr>
      </w:pPr>
    </w:p>
    <w:p>
      <w:pPr>
        <w:jc w:val="center"/>
        <w:ind w:right="-7"/>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7"/>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69" w:lineRule="exact"/>
        <w:rPr>
          <w:sz w:val="24"/>
          <w:szCs w:val="24"/>
          <w:color w:val="auto"/>
        </w:rPr>
      </w:pPr>
    </w:p>
    <w:p>
      <w:pPr>
        <w:jc w:val="center"/>
        <w:ind w:right="-7"/>
        <w:spacing w:after="0"/>
        <w:rPr>
          <w:sz w:val="20"/>
          <w:szCs w:val="20"/>
          <w:color w:val="auto"/>
        </w:rPr>
      </w:pPr>
      <w:r>
        <w:rPr>
          <w:rFonts w:ascii="Arial" w:cs="Arial" w:eastAsia="Arial" w:hAnsi="Arial"/>
          <w:sz w:val="24"/>
          <w:szCs w:val="24"/>
          <w:b w:val="1"/>
          <w:bCs w:val="1"/>
          <w:color w:val="auto"/>
        </w:rPr>
        <w:t>FORM S-4</w:t>
      </w:r>
    </w:p>
    <w:p>
      <w:pPr>
        <w:spacing w:after="0" w:line="127"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REGISTRATION STATEMENT</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UNDER</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THE SECURITIES ACT OF 1933</w:t>
      </w:r>
    </w:p>
    <w:p>
      <w:pPr>
        <w:spacing w:after="0" w:line="85" w:lineRule="exact"/>
        <w:rPr>
          <w:sz w:val="24"/>
          <w:szCs w:val="24"/>
          <w:color w:val="auto"/>
        </w:rPr>
      </w:pPr>
    </w:p>
    <w:p>
      <w:pPr>
        <w:jc w:val="center"/>
        <w:ind w:right="-7"/>
        <w:spacing w:after="0"/>
        <w:rPr>
          <w:sz w:val="20"/>
          <w:szCs w:val="20"/>
          <w:color w:val="auto"/>
        </w:rPr>
      </w:pPr>
      <w:r>
        <w:rPr>
          <w:rFonts w:ascii="Arial" w:cs="Arial" w:eastAsia="Arial" w:hAnsi="Arial"/>
          <w:sz w:val="24"/>
          <w:szCs w:val="24"/>
          <w:b w:val="1"/>
          <w:bCs w:val="1"/>
          <w:color w:val="auto"/>
        </w:rPr>
        <w:t>Weatherford International, LLC</w:t>
      </w:r>
    </w:p>
    <w:p>
      <w:pPr>
        <w:spacing w:after="0" w:line="33" w:lineRule="exact"/>
        <w:rPr>
          <w:sz w:val="24"/>
          <w:szCs w:val="24"/>
          <w:color w:val="auto"/>
        </w:rPr>
      </w:pPr>
    </w:p>
    <w:p>
      <w:pPr>
        <w:ind w:left="4468"/>
        <w:spacing w:after="0"/>
        <w:rPr>
          <w:sz w:val="20"/>
          <w:szCs w:val="20"/>
          <w:color w:val="auto"/>
        </w:rPr>
      </w:pPr>
      <w:r>
        <w:rPr>
          <w:rFonts w:ascii="Arial" w:cs="Arial" w:eastAsia="Arial" w:hAnsi="Arial"/>
          <w:sz w:val="12"/>
          <w:szCs w:val="12"/>
          <w:color w:val="auto"/>
        </w:rPr>
        <w:t>(Exact name of registrant as specified in its charter)</w:t>
      </w:r>
    </w:p>
    <w:p>
      <w:pPr>
        <w:spacing w:after="0" w:line="77" w:lineRule="exact"/>
        <w:rPr>
          <w:sz w:val="24"/>
          <w:szCs w:val="24"/>
          <w:color w:val="auto"/>
        </w:rPr>
      </w:pPr>
    </w:p>
    <w:p>
      <w:pPr>
        <w:ind w:left="5468"/>
        <w:spacing w:after="0"/>
        <w:rPr>
          <w:sz w:val="20"/>
          <w:szCs w:val="20"/>
          <w:color w:val="auto"/>
        </w:rPr>
      </w:pPr>
      <w:r>
        <w:rPr>
          <w:rFonts w:ascii="Arial" w:cs="Arial" w:eastAsia="Arial" w:hAnsi="Arial"/>
          <w:sz w:val="12"/>
          <w:szCs w:val="12"/>
          <w:b w:val="1"/>
          <w:bCs w:val="1"/>
          <w:color w:val="auto"/>
        </w:rPr>
        <w:t>Delaware</w:t>
      </w:r>
    </w:p>
    <w:p>
      <w:pPr>
        <w:spacing w:after="0" w:line="2" w:lineRule="exact"/>
        <w:rPr>
          <w:sz w:val="24"/>
          <w:szCs w:val="24"/>
          <w:color w:val="auto"/>
        </w:rPr>
      </w:pPr>
    </w:p>
    <w:p>
      <w:pPr>
        <w:ind w:left="4268"/>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77" w:lineRule="exact"/>
        <w:rPr>
          <w:sz w:val="24"/>
          <w:szCs w:val="24"/>
          <w:color w:val="auto"/>
        </w:rPr>
      </w:pPr>
    </w:p>
    <w:p>
      <w:pPr>
        <w:ind w:left="5428"/>
        <w:spacing w:after="0"/>
        <w:rPr>
          <w:sz w:val="20"/>
          <w:szCs w:val="20"/>
          <w:color w:val="auto"/>
        </w:rPr>
      </w:pPr>
      <w:r>
        <w:rPr>
          <w:rFonts w:ascii="Arial" w:cs="Arial" w:eastAsia="Arial" w:hAnsi="Arial"/>
          <w:sz w:val="12"/>
          <w:szCs w:val="12"/>
          <w:b w:val="1"/>
          <w:bCs w:val="1"/>
          <w:color w:val="auto"/>
        </w:rPr>
        <w:t>04-2515019</w:t>
      </w:r>
    </w:p>
    <w:p>
      <w:pPr>
        <w:spacing w:after="0" w:line="2" w:lineRule="exact"/>
        <w:rPr>
          <w:sz w:val="24"/>
          <w:szCs w:val="24"/>
          <w:color w:val="auto"/>
        </w:rPr>
      </w:pPr>
    </w:p>
    <w:p>
      <w:pPr>
        <w:ind w:left="4728"/>
        <w:spacing w:after="0"/>
        <w:rPr>
          <w:sz w:val="20"/>
          <w:szCs w:val="20"/>
          <w:color w:val="auto"/>
        </w:rPr>
      </w:pPr>
      <w:r>
        <w:rPr>
          <w:rFonts w:ascii="Arial" w:cs="Arial" w:eastAsia="Arial" w:hAnsi="Arial"/>
          <w:sz w:val="12"/>
          <w:szCs w:val="12"/>
          <w:color w:val="auto"/>
        </w:rPr>
        <w:t>(I.R.S. Employer Identification Number)</w:t>
      </w:r>
    </w:p>
    <w:p>
      <w:pPr>
        <w:spacing w:after="0" w:line="77" w:lineRule="exact"/>
        <w:rPr>
          <w:sz w:val="24"/>
          <w:szCs w:val="24"/>
          <w:color w:val="auto"/>
        </w:rPr>
      </w:pPr>
    </w:p>
    <w:p>
      <w:pPr>
        <w:ind w:left="4588"/>
        <w:spacing w:after="0"/>
        <w:rPr>
          <w:sz w:val="20"/>
          <w:szCs w:val="20"/>
          <w:color w:val="auto"/>
        </w:rPr>
      </w:pPr>
      <w:r>
        <w:rPr>
          <w:rFonts w:ascii="Arial" w:cs="Arial" w:eastAsia="Arial" w:hAnsi="Arial"/>
          <w:sz w:val="12"/>
          <w:szCs w:val="12"/>
          <w:b w:val="1"/>
          <w:bCs w:val="1"/>
          <w:color w:val="auto"/>
        </w:rPr>
        <w:t>2000 St. James Place, Houston, Texas 77056</w:t>
      </w:r>
    </w:p>
    <w:p>
      <w:pPr>
        <w:jc w:val="center"/>
        <w:ind w:right="-7"/>
        <w:spacing w:after="0" w:line="222" w:lineRule="auto"/>
        <w:rPr>
          <w:sz w:val="20"/>
          <w:szCs w:val="20"/>
          <w:color w:val="auto"/>
        </w:rPr>
      </w:pPr>
      <w:r>
        <w:rPr>
          <w:rFonts w:ascii="Arial" w:cs="Arial" w:eastAsia="Arial" w:hAnsi="Arial"/>
          <w:sz w:val="12"/>
          <w:szCs w:val="12"/>
          <w:b w:val="1"/>
          <w:bCs w:val="1"/>
          <w:color w:val="auto"/>
        </w:rPr>
        <w:t>(713) 836-4000</w:t>
      </w:r>
    </w:p>
    <w:p>
      <w:pPr>
        <w:jc w:val="center"/>
        <w:ind w:right="-7"/>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69" w:lineRule="exact"/>
        <w:rPr>
          <w:sz w:val="24"/>
          <w:szCs w:val="24"/>
          <w:color w:val="auto"/>
        </w:rPr>
      </w:pPr>
    </w:p>
    <w:tbl>
      <w:tblPr>
        <w:tblLayout w:type="fixed"/>
        <w:tblInd w:w="948" w:type="dxa"/>
        <w:tblCellMar>
          <w:top w:w="0" w:type="dxa"/>
          <w:left w:w="0" w:type="dxa"/>
          <w:bottom w:w="0" w:type="dxa"/>
          <w:right w:w="0" w:type="dxa"/>
        </w:tblCellMar>
      </w:tblPr>
      <w:tr>
        <w:trPr>
          <w:trHeight w:val="138"/>
        </w:trPr>
        <w:tc>
          <w:tcPr>
            <w:tcW w:w="4780" w:type="dxa"/>
            <w:vAlign w:val="bottom"/>
          </w:tcPr>
          <w:p>
            <w:pPr>
              <w:jc w:val="center"/>
              <w:ind w:right="999"/>
              <w:spacing w:after="0"/>
              <w:rPr>
                <w:sz w:val="20"/>
                <w:szCs w:val="20"/>
                <w:color w:val="auto"/>
              </w:rPr>
            </w:pPr>
            <w:r>
              <w:rPr>
                <w:rFonts w:ascii="Arial" w:cs="Arial" w:eastAsia="Arial" w:hAnsi="Arial"/>
                <w:sz w:val="12"/>
                <w:szCs w:val="12"/>
                <w:b w:val="1"/>
                <w:bCs w:val="1"/>
                <w:color w:val="auto"/>
                <w:w w:val="93"/>
              </w:rPr>
              <w:t>Weatherford International public limited company</w:t>
            </w:r>
          </w:p>
        </w:tc>
        <w:tc>
          <w:tcPr>
            <w:tcW w:w="4780" w:type="dxa"/>
            <w:vAlign w:val="bottom"/>
          </w:tcPr>
          <w:p>
            <w:pPr>
              <w:jc w:val="center"/>
              <w:ind w:left="999"/>
              <w:spacing w:after="0"/>
              <w:rPr>
                <w:sz w:val="20"/>
                <w:szCs w:val="20"/>
                <w:color w:val="auto"/>
              </w:rPr>
            </w:pPr>
            <w:r>
              <w:rPr>
                <w:rFonts w:ascii="Arial" w:cs="Arial" w:eastAsia="Arial" w:hAnsi="Arial"/>
                <w:sz w:val="12"/>
                <w:szCs w:val="12"/>
                <w:b w:val="1"/>
                <w:bCs w:val="1"/>
                <w:color w:val="auto"/>
                <w:w w:val="95"/>
              </w:rPr>
              <w:t>Weatherford International Ltd.</w:t>
            </w:r>
          </w:p>
        </w:tc>
      </w:tr>
      <w:tr>
        <w:trPr>
          <w:trHeight w:val="155"/>
        </w:trPr>
        <w:tc>
          <w:tcPr>
            <w:tcW w:w="4780" w:type="dxa"/>
            <w:vAlign w:val="bottom"/>
          </w:tcPr>
          <w:p>
            <w:pPr>
              <w:jc w:val="center"/>
              <w:ind w:right="999"/>
              <w:spacing w:after="0"/>
              <w:rPr>
                <w:sz w:val="20"/>
                <w:szCs w:val="20"/>
                <w:color w:val="auto"/>
              </w:rPr>
            </w:pPr>
            <w:r>
              <w:rPr>
                <w:rFonts w:ascii="Arial" w:cs="Arial" w:eastAsia="Arial" w:hAnsi="Arial"/>
                <w:sz w:val="12"/>
                <w:szCs w:val="12"/>
                <w:color w:val="auto"/>
                <w:w w:val="92"/>
              </w:rPr>
              <w:t>(Exact name of co-registrant as specified in its charter)</w:t>
            </w:r>
          </w:p>
        </w:tc>
        <w:tc>
          <w:tcPr>
            <w:tcW w:w="4780" w:type="dxa"/>
            <w:vAlign w:val="bottom"/>
          </w:tcPr>
          <w:p>
            <w:pPr>
              <w:jc w:val="center"/>
              <w:ind w:left="999"/>
              <w:spacing w:after="0"/>
              <w:rPr>
                <w:sz w:val="20"/>
                <w:szCs w:val="20"/>
                <w:color w:val="auto"/>
              </w:rPr>
            </w:pPr>
            <w:r>
              <w:rPr>
                <w:rFonts w:ascii="Arial" w:cs="Arial" w:eastAsia="Arial" w:hAnsi="Arial"/>
                <w:sz w:val="12"/>
                <w:szCs w:val="12"/>
                <w:color w:val="auto"/>
                <w:w w:val="92"/>
              </w:rPr>
              <w:t>(Exact name of co-registrant as specified in its charter)</w:t>
            </w:r>
          </w:p>
        </w:tc>
      </w:tr>
      <w:tr>
        <w:trPr>
          <w:trHeight w:val="200"/>
        </w:trPr>
        <w:tc>
          <w:tcPr>
            <w:tcW w:w="4780" w:type="dxa"/>
            <w:vAlign w:val="bottom"/>
          </w:tcPr>
          <w:p>
            <w:pPr>
              <w:jc w:val="center"/>
              <w:ind w:right="1019"/>
              <w:spacing w:after="0"/>
              <w:rPr>
                <w:sz w:val="20"/>
                <w:szCs w:val="20"/>
                <w:color w:val="auto"/>
              </w:rPr>
            </w:pPr>
            <w:r>
              <w:rPr>
                <w:rFonts w:ascii="Arial" w:cs="Arial" w:eastAsia="Arial" w:hAnsi="Arial"/>
                <w:sz w:val="12"/>
                <w:szCs w:val="12"/>
                <w:b w:val="1"/>
                <w:bCs w:val="1"/>
                <w:color w:val="auto"/>
                <w:w w:val="96"/>
              </w:rPr>
              <w:t>Ireland</w:t>
            </w:r>
          </w:p>
        </w:tc>
        <w:tc>
          <w:tcPr>
            <w:tcW w:w="4780" w:type="dxa"/>
            <w:vAlign w:val="bottom"/>
          </w:tcPr>
          <w:p>
            <w:pPr>
              <w:jc w:val="center"/>
              <w:ind w:left="979"/>
              <w:spacing w:after="0"/>
              <w:rPr>
                <w:sz w:val="20"/>
                <w:szCs w:val="20"/>
                <w:color w:val="auto"/>
              </w:rPr>
            </w:pPr>
            <w:r>
              <w:rPr>
                <w:rFonts w:ascii="Arial" w:cs="Arial" w:eastAsia="Arial" w:hAnsi="Arial"/>
                <w:sz w:val="12"/>
                <w:szCs w:val="12"/>
                <w:b w:val="1"/>
                <w:bCs w:val="1"/>
                <w:color w:val="auto"/>
                <w:w w:val="96"/>
              </w:rPr>
              <w:t>Bermuda</w:t>
            </w:r>
          </w:p>
        </w:tc>
      </w:tr>
      <w:tr>
        <w:trPr>
          <w:trHeight w:val="155"/>
        </w:trPr>
        <w:tc>
          <w:tcPr>
            <w:tcW w:w="4780" w:type="dxa"/>
            <w:vAlign w:val="bottom"/>
          </w:tcPr>
          <w:p>
            <w:pPr>
              <w:jc w:val="center"/>
              <w:ind w:right="999"/>
              <w:spacing w:after="0"/>
              <w:rPr>
                <w:sz w:val="20"/>
                <w:szCs w:val="20"/>
                <w:color w:val="auto"/>
              </w:rPr>
            </w:pPr>
            <w:r>
              <w:rPr>
                <w:rFonts w:ascii="Arial" w:cs="Arial" w:eastAsia="Arial" w:hAnsi="Arial"/>
                <w:sz w:val="12"/>
                <w:szCs w:val="12"/>
                <w:color w:val="auto"/>
                <w:w w:val="94"/>
              </w:rPr>
              <w:t>(State or other jurisdiction of incorporation or organization)</w:t>
            </w:r>
          </w:p>
        </w:tc>
        <w:tc>
          <w:tcPr>
            <w:tcW w:w="4780" w:type="dxa"/>
            <w:vAlign w:val="bottom"/>
          </w:tcPr>
          <w:p>
            <w:pPr>
              <w:jc w:val="center"/>
              <w:ind w:left="979"/>
              <w:spacing w:after="0"/>
              <w:rPr>
                <w:sz w:val="20"/>
                <w:szCs w:val="20"/>
                <w:color w:val="auto"/>
              </w:rPr>
            </w:pPr>
            <w:r>
              <w:rPr>
                <w:rFonts w:ascii="Arial" w:cs="Arial" w:eastAsia="Arial" w:hAnsi="Arial"/>
                <w:sz w:val="12"/>
                <w:szCs w:val="12"/>
                <w:color w:val="auto"/>
                <w:w w:val="93"/>
              </w:rPr>
              <w:t>(State or other jurisdiction of incorporation or organization)</w:t>
            </w:r>
          </w:p>
        </w:tc>
      </w:tr>
      <w:tr>
        <w:trPr>
          <w:trHeight w:val="200"/>
        </w:trPr>
        <w:tc>
          <w:tcPr>
            <w:tcW w:w="4780" w:type="dxa"/>
            <w:vAlign w:val="bottom"/>
          </w:tcPr>
          <w:p>
            <w:pPr>
              <w:jc w:val="right"/>
              <w:ind w:right="2559"/>
              <w:spacing w:after="0"/>
              <w:rPr>
                <w:sz w:val="20"/>
                <w:szCs w:val="20"/>
                <w:color w:val="auto"/>
              </w:rPr>
            </w:pPr>
            <w:r>
              <w:rPr>
                <w:rFonts w:ascii="Arial" w:cs="Arial" w:eastAsia="Arial" w:hAnsi="Arial"/>
                <w:sz w:val="12"/>
                <w:szCs w:val="12"/>
                <w:b w:val="1"/>
                <w:bCs w:val="1"/>
                <w:color w:val="auto"/>
              </w:rPr>
              <w:t>98-0606750</w:t>
            </w:r>
          </w:p>
        </w:tc>
        <w:tc>
          <w:tcPr>
            <w:tcW w:w="4780" w:type="dxa"/>
            <w:vAlign w:val="bottom"/>
          </w:tcPr>
          <w:p>
            <w:pPr>
              <w:jc w:val="right"/>
              <w:ind w:right="1519"/>
              <w:spacing w:after="0"/>
              <w:rPr>
                <w:sz w:val="20"/>
                <w:szCs w:val="20"/>
                <w:color w:val="auto"/>
              </w:rPr>
            </w:pPr>
            <w:r>
              <w:rPr>
                <w:rFonts w:ascii="Arial" w:cs="Arial" w:eastAsia="Arial" w:hAnsi="Arial"/>
                <w:sz w:val="12"/>
                <w:szCs w:val="12"/>
                <w:b w:val="1"/>
                <w:bCs w:val="1"/>
                <w:color w:val="auto"/>
              </w:rPr>
              <w:t>98-0371344</w:t>
            </w:r>
          </w:p>
        </w:tc>
      </w:tr>
      <w:tr>
        <w:trPr>
          <w:trHeight w:val="155"/>
        </w:trPr>
        <w:tc>
          <w:tcPr>
            <w:tcW w:w="4780" w:type="dxa"/>
            <w:vAlign w:val="bottom"/>
          </w:tcPr>
          <w:p>
            <w:pPr>
              <w:jc w:val="center"/>
              <w:ind w:right="999"/>
              <w:spacing w:after="0"/>
              <w:rPr>
                <w:sz w:val="20"/>
                <w:szCs w:val="20"/>
                <w:color w:val="auto"/>
              </w:rPr>
            </w:pPr>
            <w:r>
              <w:rPr>
                <w:rFonts w:ascii="Arial" w:cs="Arial" w:eastAsia="Arial" w:hAnsi="Arial"/>
                <w:sz w:val="12"/>
                <w:szCs w:val="12"/>
                <w:color w:val="auto"/>
                <w:w w:val="95"/>
              </w:rPr>
              <w:t>(I.R.S. Employer Identification Number)</w:t>
            </w:r>
          </w:p>
        </w:tc>
        <w:tc>
          <w:tcPr>
            <w:tcW w:w="4780" w:type="dxa"/>
            <w:vAlign w:val="bottom"/>
          </w:tcPr>
          <w:p>
            <w:pPr>
              <w:jc w:val="center"/>
              <w:ind w:left="979"/>
              <w:spacing w:after="0"/>
              <w:rPr>
                <w:sz w:val="20"/>
                <w:szCs w:val="20"/>
                <w:color w:val="auto"/>
              </w:rPr>
            </w:pPr>
            <w:r>
              <w:rPr>
                <w:rFonts w:ascii="Arial" w:cs="Arial" w:eastAsia="Arial" w:hAnsi="Arial"/>
                <w:sz w:val="12"/>
                <w:szCs w:val="12"/>
                <w:color w:val="auto"/>
                <w:w w:val="94"/>
              </w:rPr>
              <w:t>(I.R.S. Employer Identification Number)</w:t>
            </w:r>
          </w:p>
        </w:tc>
      </w:tr>
      <w:tr>
        <w:trPr>
          <w:trHeight w:val="196"/>
        </w:trPr>
        <w:tc>
          <w:tcPr>
            <w:tcW w:w="4780" w:type="dxa"/>
            <w:vAlign w:val="bottom"/>
          </w:tcPr>
          <w:p>
            <w:pPr>
              <w:jc w:val="center"/>
              <w:ind w:right="999"/>
              <w:spacing w:after="0"/>
              <w:rPr>
                <w:sz w:val="20"/>
                <w:szCs w:val="20"/>
                <w:color w:val="auto"/>
              </w:rPr>
            </w:pPr>
            <w:r>
              <w:rPr>
                <w:rFonts w:ascii="Arial" w:cs="Arial" w:eastAsia="Arial" w:hAnsi="Arial"/>
                <w:sz w:val="12"/>
                <w:szCs w:val="12"/>
                <w:b w:val="1"/>
                <w:bCs w:val="1"/>
                <w:color w:val="auto"/>
                <w:w w:val="90"/>
              </w:rPr>
              <w:t>Weststrasse 1, 6340 Baar, Switzerland</w:t>
            </w:r>
          </w:p>
        </w:tc>
        <w:tc>
          <w:tcPr>
            <w:tcW w:w="4780" w:type="dxa"/>
            <w:vAlign w:val="bottom"/>
          </w:tcPr>
          <w:p>
            <w:pPr>
              <w:jc w:val="center"/>
              <w:ind w:left="979"/>
              <w:spacing w:after="0"/>
              <w:rPr>
                <w:sz w:val="20"/>
                <w:szCs w:val="20"/>
                <w:color w:val="auto"/>
              </w:rPr>
            </w:pPr>
            <w:r>
              <w:rPr>
                <w:rFonts w:ascii="Arial" w:cs="Arial" w:eastAsia="Arial" w:hAnsi="Arial"/>
                <w:sz w:val="12"/>
                <w:szCs w:val="12"/>
                <w:b w:val="1"/>
                <w:bCs w:val="1"/>
                <w:color w:val="auto"/>
                <w:w w:val="89"/>
              </w:rPr>
              <w:t>2000 St. James Place, Houston, Texas 77056</w:t>
            </w:r>
          </w:p>
        </w:tc>
      </w:tr>
      <w:tr>
        <w:trPr>
          <w:trHeight w:val="130"/>
        </w:trPr>
        <w:tc>
          <w:tcPr>
            <w:tcW w:w="4780" w:type="dxa"/>
            <w:vAlign w:val="bottom"/>
          </w:tcPr>
          <w:p>
            <w:pPr>
              <w:jc w:val="right"/>
              <w:ind w:right="2439"/>
              <w:spacing w:after="0" w:line="130" w:lineRule="exact"/>
              <w:rPr>
                <w:sz w:val="20"/>
                <w:szCs w:val="20"/>
                <w:color w:val="auto"/>
              </w:rPr>
            </w:pPr>
            <w:r>
              <w:rPr>
                <w:rFonts w:ascii="Arial" w:cs="Arial" w:eastAsia="Arial" w:hAnsi="Arial"/>
                <w:sz w:val="12"/>
                <w:szCs w:val="12"/>
                <w:b w:val="1"/>
                <w:bCs w:val="1"/>
                <w:color w:val="auto"/>
              </w:rPr>
              <w:t>+41.22.816.1500</w:t>
            </w:r>
          </w:p>
        </w:tc>
        <w:tc>
          <w:tcPr>
            <w:tcW w:w="4780" w:type="dxa"/>
            <w:vAlign w:val="bottom"/>
          </w:tcPr>
          <w:p>
            <w:pPr>
              <w:jc w:val="right"/>
              <w:ind w:right="1419"/>
              <w:spacing w:after="0" w:line="130" w:lineRule="exact"/>
              <w:rPr>
                <w:sz w:val="20"/>
                <w:szCs w:val="20"/>
                <w:color w:val="auto"/>
              </w:rPr>
            </w:pPr>
            <w:r>
              <w:rPr>
                <w:rFonts w:ascii="Arial" w:cs="Arial" w:eastAsia="Arial" w:hAnsi="Arial"/>
                <w:sz w:val="12"/>
                <w:szCs w:val="12"/>
                <w:b w:val="1"/>
                <w:bCs w:val="1"/>
                <w:color w:val="auto"/>
              </w:rPr>
              <w:t>(713) 836-4000</w:t>
            </w:r>
          </w:p>
        </w:tc>
      </w:tr>
      <w:tr>
        <w:trPr>
          <w:trHeight w:val="126"/>
        </w:trPr>
        <w:tc>
          <w:tcPr>
            <w:tcW w:w="4780" w:type="dxa"/>
            <w:vAlign w:val="bottom"/>
          </w:tcPr>
          <w:p>
            <w:pPr>
              <w:jc w:val="center"/>
              <w:ind w:right="999"/>
              <w:spacing w:after="0" w:line="126" w:lineRule="exact"/>
              <w:rPr>
                <w:sz w:val="20"/>
                <w:szCs w:val="20"/>
                <w:color w:val="auto"/>
              </w:rPr>
            </w:pPr>
            <w:r>
              <w:rPr>
                <w:rFonts w:ascii="Arial" w:cs="Arial" w:eastAsia="Arial" w:hAnsi="Arial"/>
                <w:sz w:val="12"/>
                <w:szCs w:val="12"/>
                <w:color w:val="auto"/>
                <w:w w:val="92"/>
              </w:rPr>
              <w:t>(Address, including zip code, and telephone number, including area code, of</w:t>
            </w:r>
          </w:p>
        </w:tc>
        <w:tc>
          <w:tcPr>
            <w:tcW w:w="4780" w:type="dxa"/>
            <w:vAlign w:val="bottom"/>
          </w:tcPr>
          <w:p>
            <w:pPr>
              <w:jc w:val="center"/>
              <w:ind w:left="999"/>
              <w:spacing w:after="0" w:line="126" w:lineRule="exact"/>
              <w:rPr>
                <w:sz w:val="20"/>
                <w:szCs w:val="20"/>
                <w:color w:val="auto"/>
              </w:rPr>
            </w:pPr>
            <w:r>
              <w:rPr>
                <w:rFonts w:ascii="Arial" w:cs="Arial" w:eastAsia="Arial" w:hAnsi="Arial"/>
                <w:sz w:val="12"/>
                <w:szCs w:val="12"/>
                <w:color w:val="auto"/>
                <w:w w:val="92"/>
              </w:rPr>
              <w:t>(Address, including zip code, and telephone number, including area code, of</w:t>
            </w:r>
          </w:p>
        </w:tc>
      </w:tr>
      <w:tr>
        <w:trPr>
          <w:trHeight w:val="155"/>
        </w:trPr>
        <w:tc>
          <w:tcPr>
            <w:tcW w:w="4780" w:type="dxa"/>
            <w:vAlign w:val="bottom"/>
          </w:tcPr>
          <w:p>
            <w:pPr>
              <w:jc w:val="center"/>
              <w:ind w:right="1019"/>
              <w:spacing w:after="0"/>
              <w:rPr>
                <w:sz w:val="20"/>
                <w:szCs w:val="20"/>
                <w:color w:val="auto"/>
              </w:rPr>
            </w:pPr>
            <w:r>
              <w:rPr>
                <w:rFonts w:ascii="Arial" w:cs="Arial" w:eastAsia="Arial" w:hAnsi="Arial"/>
                <w:sz w:val="12"/>
                <w:szCs w:val="12"/>
                <w:color w:val="auto"/>
                <w:w w:val="93"/>
              </w:rPr>
              <w:t>co-registrant’s principal executive offices)</w:t>
            </w:r>
          </w:p>
        </w:tc>
        <w:tc>
          <w:tcPr>
            <w:tcW w:w="4780" w:type="dxa"/>
            <w:vAlign w:val="bottom"/>
          </w:tcPr>
          <w:p>
            <w:pPr>
              <w:jc w:val="center"/>
              <w:ind w:left="979"/>
              <w:spacing w:after="0"/>
              <w:rPr>
                <w:sz w:val="20"/>
                <w:szCs w:val="20"/>
                <w:color w:val="auto"/>
              </w:rPr>
            </w:pPr>
            <w:r>
              <w:rPr>
                <w:rFonts w:ascii="Arial" w:cs="Arial" w:eastAsia="Arial" w:hAnsi="Arial"/>
                <w:sz w:val="12"/>
                <w:szCs w:val="12"/>
                <w:color w:val="auto"/>
                <w:w w:val="93"/>
              </w:rPr>
              <w:t>co-registrant’s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114935</wp:posOffset>
            </wp:positionV>
            <wp:extent cx="18313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34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Christina M. Ibrahim</w:t>
      </w:r>
    </w:p>
    <w:p>
      <w:pPr>
        <w:jc w:val="center"/>
        <w:ind w:right="-7"/>
        <w:spacing w:after="0" w:line="222" w:lineRule="auto"/>
        <w:rPr>
          <w:sz w:val="20"/>
          <w:szCs w:val="20"/>
          <w:color w:val="auto"/>
        </w:rPr>
      </w:pPr>
      <w:r>
        <w:rPr>
          <w:rFonts w:ascii="Arial" w:cs="Arial" w:eastAsia="Arial" w:hAnsi="Arial"/>
          <w:sz w:val="12"/>
          <w:szCs w:val="12"/>
          <w:b w:val="1"/>
          <w:bCs w:val="1"/>
          <w:color w:val="auto"/>
        </w:rPr>
        <w:t>Weatherford International plc</w:t>
      </w:r>
    </w:p>
    <w:p>
      <w:pPr>
        <w:jc w:val="center"/>
        <w:ind w:right="-7"/>
        <w:spacing w:after="0" w:line="219" w:lineRule="auto"/>
        <w:rPr>
          <w:sz w:val="20"/>
          <w:szCs w:val="20"/>
          <w:color w:val="auto"/>
        </w:rPr>
      </w:pPr>
      <w:r>
        <w:rPr>
          <w:rFonts w:ascii="Arial" w:cs="Arial" w:eastAsia="Arial" w:hAnsi="Arial"/>
          <w:sz w:val="12"/>
          <w:szCs w:val="12"/>
          <w:b w:val="1"/>
          <w:bCs w:val="1"/>
          <w:color w:val="auto"/>
        </w:rPr>
        <w:t>Executive Vice President, General Counsel,</w:t>
      </w:r>
    </w:p>
    <w:p>
      <w:pPr>
        <w:jc w:val="center"/>
        <w:ind w:right="-7"/>
        <w:spacing w:after="0" w:line="219" w:lineRule="auto"/>
        <w:rPr>
          <w:sz w:val="20"/>
          <w:szCs w:val="20"/>
          <w:color w:val="auto"/>
        </w:rPr>
      </w:pPr>
      <w:r>
        <w:rPr>
          <w:rFonts w:ascii="Arial" w:cs="Arial" w:eastAsia="Arial" w:hAnsi="Arial"/>
          <w:sz w:val="12"/>
          <w:szCs w:val="12"/>
          <w:b w:val="1"/>
          <w:bCs w:val="1"/>
          <w:color w:val="auto"/>
        </w:rPr>
        <w:t>Chief Compliance Officer and Corporate Secretary</w:t>
      </w:r>
    </w:p>
    <w:p>
      <w:pPr>
        <w:jc w:val="center"/>
        <w:ind w:right="-7"/>
        <w:spacing w:after="0" w:line="219" w:lineRule="auto"/>
        <w:rPr>
          <w:sz w:val="20"/>
          <w:szCs w:val="20"/>
          <w:color w:val="auto"/>
        </w:rPr>
      </w:pPr>
      <w:r>
        <w:rPr>
          <w:rFonts w:ascii="Arial" w:cs="Arial" w:eastAsia="Arial" w:hAnsi="Arial"/>
          <w:sz w:val="12"/>
          <w:szCs w:val="12"/>
          <w:b w:val="1"/>
          <w:bCs w:val="1"/>
          <w:color w:val="auto"/>
        </w:rPr>
        <w:t>2000 St. James Place</w:t>
      </w:r>
    </w:p>
    <w:p>
      <w:pPr>
        <w:jc w:val="center"/>
        <w:ind w:right="-7"/>
        <w:spacing w:after="0" w:line="219" w:lineRule="auto"/>
        <w:rPr>
          <w:sz w:val="20"/>
          <w:szCs w:val="20"/>
          <w:color w:val="auto"/>
        </w:rPr>
      </w:pPr>
      <w:r>
        <w:rPr>
          <w:rFonts w:ascii="Arial" w:cs="Arial" w:eastAsia="Arial" w:hAnsi="Arial"/>
          <w:sz w:val="12"/>
          <w:szCs w:val="12"/>
          <w:b w:val="1"/>
          <w:bCs w:val="1"/>
          <w:color w:val="auto"/>
        </w:rPr>
        <w:t>Houston, Texas 77056</w:t>
      </w:r>
    </w:p>
    <w:p>
      <w:pPr>
        <w:jc w:val="center"/>
        <w:ind w:right="-7"/>
        <w:spacing w:after="0" w:line="219" w:lineRule="auto"/>
        <w:rPr>
          <w:sz w:val="20"/>
          <w:szCs w:val="20"/>
          <w:color w:val="auto"/>
        </w:rPr>
      </w:pPr>
      <w:r>
        <w:rPr>
          <w:rFonts w:ascii="Arial" w:cs="Arial" w:eastAsia="Arial" w:hAnsi="Arial"/>
          <w:sz w:val="12"/>
          <w:szCs w:val="12"/>
          <w:b w:val="1"/>
          <w:bCs w:val="1"/>
          <w:color w:val="auto"/>
        </w:rPr>
        <w:t>(713) 836-4000</w:t>
      </w:r>
    </w:p>
    <w:p>
      <w:pPr>
        <w:jc w:val="center"/>
        <w:ind w:right="-7"/>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7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With a copy to:</w:t>
      </w:r>
    </w:p>
    <w:p>
      <w:pPr>
        <w:spacing w:after="0" w:line="9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John M. Greer</w:t>
      </w:r>
    </w:p>
    <w:p>
      <w:pPr>
        <w:jc w:val="center"/>
        <w:ind w:right="-7"/>
        <w:spacing w:after="0" w:line="222" w:lineRule="auto"/>
        <w:rPr>
          <w:sz w:val="20"/>
          <w:szCs w:val="20"/>
          <w:color w:val="auto"/>
        </w:rPr>
      </w:pPr>
      <w:r>
        <w:rPr>
          <w:rFonts w:ascii="Arial" w:cs="Arial" w:eastAsia="Arial" w:hAnsi="Arial"/>
          <w:sz w:val="12"/>
          <w:szCs w:val="12"/>
          <w:b w:val="1"/>
          <w:bCs w:val="1"/>
          <w:color w:val="auto"/>
        </w:rPr>
        <w:t>Ryan J. Maierson</w:t>
      </w:r>
    </w:p>
    <w:p>
      <w:pPr>
        <w:jc w:val="center"/>
        <w:ind w:right="-7"/>
        <w:spacing w:after="0" w:line="219" w:lineRule="auto"/>
        <w:rPr>
          <w:sz w:val="20"/>
          <w:szCs w:val="20"/>
          <w:color w:val="auto"/>
        </w:rPr>
      </w:pPr>
      <w:r>
        <w:rPr>
          <w:rFonts w:ascii="Arial" w:cs="Arial" w:eastAsia="Arial" w:hAnsi="Arial"/>
          <w:sz w:val="12"/>
          <w:szCs w:val="12"/>
          <w:color w:val="auto"/>
        </w:rPr>
        <w:t>Latham &amp; Watkins LLP</w:t>
      </w:r>
    </w:p>
    <w:p>
      <w:pPr>
        <w:jc w:val="center"/>
        <w:ind w:right="-7"/>
        <w:spacing w:after="0" w:line="219" w:lineRule="auto"/>
        <w:rPr>
          <w:sz w:val="20"/>
          <w:szCs w:val="20"/>
          <w:color w:val="auto"/>
        </w:rPr>
      </w:pPr>
      <w:r>
        <w:rPr>
          <w:rFonts w:ascii="Arial" w:cs="Arial" w:eastAsia="Arial" w:hAnsi="Arial"/>
          <w:sz w:val="12"/>
          <w:szCs w:val="12"/>
          <w:color w:val="auto"/>
        </w:rPr>
        <w:t>811 Main Street, Suite 3700</w:t>
      </w:r>
    </w:p>
    <w:p>
      <w:pPr>
        <w:jc w:val="center"/>
        <w:ind w:right="-7"/>
        <w:spacing w:after="0" w:line="219" w:lineRule="auto"/>
        <w:rPr>
          <w:sz w:val="20"/>
          <w:szCs w:val="20"/>
          <w:color w:val="auto"/>
        </w:rPr>
      </w:pPr>
      <w:r>
        <w:rPr>
          <w:rFonts w:ascii="Arial" w:cs="Arial" w:eastAsia="Arial" w:hAnsi="Arial"/>
          <w:sz w:val="12"/>
          <w:szCs w:val="12"/>
          <w:color w:val="auto"/>
        </w:rPr>
        <w:t>Houston, Texas 77002</w:t>
      </w:r>
    </w:p>
    <w:p>
      <w:pPr>
        <w:jc w:val="center"/>
        <w:ind w:right="-7"/>
        <w:spacing w:after="0"/>
        <w:rPr>
          <w:sz w:val="20"/>
          <w:szCs w:val="20"/>
          <w:color w:val="auto"/>
        </w:rPr>
      </w:pPr>
      <w:r>
        <w:rPr>
          <w:rFonts w:ascii="Arial" w:cs="Arial" w:eastAsia="Arial" w:hAnsi="Arial"/>
          <w:sz w:val="12"/>
          <w:szCs w:val="12"/>
          <w:color w:val="auto"/>
        </w:rPr>
        <w:t>(713) 546-5400</w:t>
      </w:r>
    </w:p>
    <w:p>
      <w:pPr>
        <w:spacing w:after="0" w:line="77"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Approximate date of commencement of proposed sale of the securities to the public: As soon as practicable after the effective date of this Registration Statement.</w:t>
      </w:r>
    </w:p>
    <w:p>
      <w:pPr>
        <w:spacing w:after="0" w:line="95" w:lineRule="exact"/>
        <w:rPr>
          <w:sz w:val="24"/>
          <w:szCs w:val="24"/>
          <w:color w:val="auto"/>
        </w:rPr>
      </w:pPr>
    </w:p>
    <w:p>
      <w:pPr>
        <w:ind w:left="8"/>
        <w:spacing w:after="0"/>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 o</w:t>
      </w:r>
    </w:p>
    <w:p>
      <w:pPr>
        <w:spacing w:after="0" w:line="91" w:lineRule="exact"/>
        <w:rPr>
          <w:sz w:val="24"/>
          <w:szCs w:val="24"/>
          <w:color w:val="auto"/>
        </w:rPr>
      </w:pPr>
    </w:p>
    <w:p>
      <w:pPr>
        <w:ind w:left="8" w:right="120"/>
        <w:spacing w:after="0" w:line="248"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70" w:lineRule="exact"/>
        <w:rPr>
          <w:sz w:val="24"/>
          <w:szCs w:val="24"/>
          <w:color w:val="auto"/>
        </w:rPr>
      </w:pPr>
    </w:p>
    <w:p>
      <w:pPr>
        <w:ind w:left="8" w:right="160"/>
        <w:spacing w:after="0" w:line="248"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70" w:lineRule="exact"/>
        <w:rPr>
          <w:sz w:val="24"/>
          <w:szCs w:val="24"/>
          <w:color w:val="auto"/>
        </w:rPr>
      </w:pPr>
    </w:p>
    <w:p>
      <w:pPr>
        <w:ind w:left="8" w:right="420"/>
        <w:spacing w:after="0" w:line="24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8" w:type="dxa"/>
        <w:tblCellMar>
          <w:top w:w="0" w:type="dxa"/>
          <w:left w:w="0" w:type="dxa"/>
          <w:bottom w:w="0" w:type="dxa"/>
          <w:right w:w="0" w:type="dxa"/>
        </w:tblCellMar>
      </w:tblPr>
      <w:tr>
        <w:trPr>
          <w:trHeight w:val="138"/>
        </w:trPr>
        <w:tc>
          <w:tcPr>
            <w:tcW w:w="14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000" w:type="dxa"/>
            <w:vAlign w:val="bottom"/>
          </w:tcPr>
          <w:p>
            <w:pPr>
              <w:ind w:left="320"/>
              <w:spacing w:after="0"/>
              <w:rPr>
                <w:sz w:val="20"/>
                <w:szCs w:val="20"/>
                <w:color w:val="auto"/>
              </w:rPr>
            </w:pPr>
            <w:r>
              <w:rPr>
                <w:rFonts w:ascii="Arial" w:cs="Arial" w:eastAsia="Arial" w:hAnsi="Arial"/>
                <w:sz w:val="12"/>
                <w:szCs w:val="12"/>
                <w:color w:val="auto"/>
              </w:rPr>
              <w:t>x</w:t>
            </w:r>
          </w:p>
        </w:tc>
        <w:tc>
          <w:tcPr>
            <w:tcW w:w="5340" w:type="dxa"/>
            <w:vAlign w:val="bottom"/>
          </w:tcPr>
          <w:p>
            <w:pPr>
              <w:ind w:left="3640"/>
              <w:spacing w:after="0"/>
              <w:rPr>
                <w:sz w:val="20"/>
                <w:szCs w:val="20"/>
                <w:color w:val="auto"/>
              </w:rPr>
            </w:pPr>
            <w:r>
              <w:rPr>
                <w:rFonts w:ascii="Arial" w:cs="Arial" w:eastAsia="Arial" w:hAnsi="Arial"/>
                <w:sz w:val="12"/>
                <w:szCs w:val="12"/>
                <w:color w:val="auto"/>
              </w:rPr>
              <w:t>Accelerated filer</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o</w:t>
            </w:r>
          </w:p>
        </w:tc>
      </w:tr>
      <w:tr>
        <w:trPr>
          <w:trHeight w:val="126"/>
        </w:trPr>
        <w:tc>
          <w:tcPr>
            <w:tcW w:w="1400" w:type="dxa"/>
            <w:vAlign w:val="bottom"/>
          </w:tcPr>
          <w:p>
            <w:pPr>
              <w:spacing w:after="0" w:line="126" w:lineRule="exact"/>
              <w:rPr>
                <w:sz w:val="20"/>
                <w:szCs w:val="20"/>
                <w:color w:val="auto"/>
              </w:rPr>
            </w:pPr>
            <w:r>
              <w:rPr>
                <w:rFonts w:ascii="Arial" w:cs="Arial" w:eastAsia="Arial" w:hAnsi="Arial"/>
                <w:sz w:val="12"/>
                <w:szCs w:val="12"/>
                <w:color w:val="auto"/>
              </w:rPr>
              <w:t>Non-accelerated filer</w:t>
            </w:r>
          </w:p>
        </w:tc>
        <w:tc>
          <w:tcPr>
            <w:tcW w:w="4000" w:type="dxa"/>
            <w:vAlign w:val="bottom"/>
          </w:tcPr>
          <w:p>
            <w:pPr>
              <w:ind w:left="320"/>
              <w:spacing w:after="0" w:line="126" w:lineRule="exact"/>
              <w:rPr>
                <w:sz w:val="20"/>
                <w:szCs w:val="20"/>
                <w:color w:val="auto"/>
              </w:rPr>
            </w:pPr>
            <w:r>
              <w:rPr>
                <w:rFonts w:ascii="Arial" w:cs="Arial" w:eastAsia="Arial" w:hAnsi="Arial"/>
                <w:sz w:val="12"/>
                <w:szCs w:val="12"/>
                <w:color w:val="auto"/>
              </w:rPr>
              <w:t>o</w:t>
            </w:r>
          </w:p>
        </w:tc>
        <w:tc>
          <w:tcPr>
            <w:tcW w:w="5340" w:type="dxa"/>
            <w:vAlign w:val="bottom"/>
          </w:tcPr>
          <w:p>
            <w:pPr>
              <w:ind w:left="3640"/>
              <w:spacing w:after="0" w:line="126" w:lineRule="exact"/>
              <w:rPr>
                <w:sz w:val="20"/>
                <w:szCs w:val="20"/>
                <w:color w:val="auto"/>
              </w:rPr>
            </w:pPr>
            <w:r>
              <w:rPr>
                <w:rFonts w:ascii="Arial" w:cs="Arial" w:eastAsia="Arial" w:hAnsi="Arial"/>
                <w:sz w:val="12"/>
                <w:szCs w:val="12"/>
                <w:color w:val="auto"/>
              </w:rPr>
              <w:t>Smaller reporting company</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o</w:t>
            </w:r>
          </w:p>
        </w:tc>
      </w:tr>
      <w:tr>
        <w:trPr>
          <w:trHeight w:val="155"/>
        </w:trPr>
        <w:tc>
          <w:tcPr>
            <w:tcW w:w="14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5340" w:type="dxa"/>
            <w:vAlign w:val="bottom"/>
          </w:tcPr>
          <w:p>
            <w:pPr>
              <w:ind w:left="3640"/>
              <w:spacing w:after="0"/>
              <w:rPr>
                <w:sz w:val="20"/>
                <w:szCs w:val="20"/>
                <w:color w:val="auto"/>
              </w:rPr>
            </w:pPr>
            <w:r>
              <w:rPr>
                <w:rFonts w:ascii="Arial" w:cs="Arial" w:eastAsia="Arial" w:hAnsi="Arial"/>
                <w:sz w:val="12"/>
                <w:szCs w:val="12"/>
                <w:color w:val="auto"/>
              </w:rPr>
              <w:t>Emerging growth company</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o</w:t>
            </w:r>
          </w:p>
        </w:tc>
      </w:tr>
    </w:tbl>
    <w:p>
      <w:pPr>
        <w:spacing w:after="0" w:line="74" w:lineRule="exact"/>
        <w:rPr>
          <w:sz w:val="24"/>
          <w:szCs w:val="24"/>
          <w:color w:val="auto"/>
        </w:rPr>
      </w:pPr>
    </w:p>
    <w:p>
      <w:pPr>
        <w:ind w:left="8" w:right="120"/>
        <w:spacing w:after="0" w:line="248"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7(a)(2) (B) of the Securities Act. o</w:t>
      </w:r>
    </w:p>
    <w:p>
      <w:pPr>
        <w:spacing w:after="0" w:line="70" w:lineRule="exact"/>
        <w:rPr>
          <w:sz w:val="24"/>
          <w:szCs w:val="24"/>
          <w:color w:val="auto"/>
        </w:rPr>
      </w:pPr>
    </w:p>
    <w:p>
      <w:pPr>
        <w:ind w:left="8"/>
        <w:spacing w:after="0"/>
        <w:rPr>
          <w:sz w:val="20"/>
          <w:szCs w:val="20"/>
          <w:color w:val="auto"/>
        </w:rPr>
      </w:pPr>
      <w:r>
        <w:rPr>
          <w:rFonts w:ascii="Arial" w:cs="Arial" w:eastAsia="Arial" w:hAnsi="Arial"/>
          <w:sz w:val="12"/>
          <w:szCs w:val="12"/>
          <w:color w:val="auto"/>
        </w:rPr>
        <w:t>If applicable, place an X in the box to designate the appropriate rule provision relied upon in conducting this transaction:</w:t>
      </w:r>
    </w:p>
    <w:p>
      <w:pPr>
        <w:spacing w:after="0" w:line="89" w:lineRule="exact"/>
        <w:rPr>
          <w:sz w:val="24"/>
          <w:szCs w:val="24"/>
          <w:color w:val="auto"/>
        </w:rPr>
      </w:pPr>
    </w:p>
    <w:p>
      <w:pPr>
        <w:ind w:left="268"/>
        <w:spacing w:after="0"/>
        <w:rPr>
          <w:sz w:val="20"/>
          <w:szCs w:val="20"/>
          <w:color w:val="auto"/>
        </w:rPr>
      </w:pPr>
      <w:r>
        <w:rPr>
          <w:rFonts w:ascii="Arial" w:cs="Arial" w:eastAsia="Arial" w:hAnsi="Arial"/>
          <w:sz w:val="12"/>
          <w:szCs w:val="12"/>
          <w:color w:val="auto"/>
        </w:rPr>
        <w:t>Exchange Act Rule 13e-4(i) (Cross-Border Issuer Tender Offer) o</w:t>
      </w:r>
    </w:p>
    <w:p>
      <w:pPr>
        <w:ind w:left="268"/>
        <w:spacing w:after="0"/>
        <w:rPr>
          <w:sz w:val="20"/>
          <w:szCs w:val="20"/>
          <w:color w:val="auto"/>
        </w:rPr>
      </w:pPr>
      <w:r>
        <w:rPr>
          <w:rFonts w:ascii="Arial" w:cs="Arial" w:eastAsia="Arial" w:hAnsi="Arial"/>
          <w:sz w:val="12"/>
          <w:szCs w:val="12"/>
          <w:color w:val="auto"/>
        </w:rPr>
        <w:t>Exchange Act Rule 14d-1(d) (Cross-Border Third-Party Tender Offer) o</w:t>
      </w:r>
    </w:p>
    <w:p>
      <w:pPr>
        <w:spacing w:after="0" w:line="7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CALCULATION OF REGISTRATION FEE</w:t>
      </w:r>
    </w:p>
    <w:p>
      <w:pPr>
        <w:spacing w:after="0" w:line="8" w:lineRule="exact"/>
        <w:rPr>
          <w:sz w:val="24"/>
          <w:szCs w:val="24"/>
          <w:color w:val="auto"/>
        </w:rPr>
      </w:pPr>
    </w:p>
    <w:tbl>
      <w:tblPr>
        <w:tblLayout w:type="fixed"/>
        <w:tblInd w:w="8" w:type="dxa"/>
        <w:tblCellMar>
          <w:top w:w="0" w:type="dxa"/>
          <w:left w:w="0" w:type="dxa"/>
          <w:bottom w:w="0" w:type="dxa"/>
          <w:right w:w="0" w:type="dxa"/>
        </w:tblCellMar>
      </w:tblPr>
      <w:tr>
        <w:trPr>
          <w:trHeight w:val="106"/>
        </w:trPr>
        <w:tc>
          <w:tcPr>
            <w:tcW w:w="39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288"/>
              <w:spacing w:after="0"/>
              <w:rPr>
                <w:sz w:val="20"/>
                <w:szCs w:val="20"/>
                <w:color w:val="auto"/>
              </w:rPr>
            </w:pPr>
            <w:r>
              <w:rPr>
                <w:rFonts w:ascii="Arial" w:cs="Arial" w:eastAsia="Arial" w:hAnsi="Arial"/>
                <w:sz w:val="9"/>
                <w:szCs w:val="9"/>
                <w:b w:val="1"/>
                <w:bCs w:val="1"/>
                <w:color w:val="auto"/>
                <w:w w:val="86"/>
              </w:rPr>
              <w:t>Proposed</w:t>
            </w:r>
          </w:p>
        </w:tc>
        <w:tc>
          <w:tcPr>
            <w:tcW w:w="36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r>
      <w:tr>
        <w:trPr>
          <w:trHeight w:val="103"/>
        </w:trPr>
        <w:tc>
          <w:tcPr>
            <w:tcW w:w="3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jc w:val="center"/>
              <w:ind w:right="567"/>
              <w:spacing w:after="0"/>
              <w:rPr>
                <w:sz w:val="20"/>
                <w:szCs w:val="20"/>
                <w:color w:val="auto"/>
              </w:rPr>
            </w:pPr>
            <w:r>
              <w:rPr>
                <w:rFonts w:ascii="Arial" w:cs="Arial" w:eastAsia="Arial" w:hAnsi="Arial"/>
                <w:sz w:val="9"/>
                <w:szCs w:val="9"/>
                <w:b w:val="1"/>
                <w:bCs w:val="1"/>
                <w:color w:val="auto"/>
                <w:w w:val="93"/>
              </w:rPr>
              <w:t>Amount</w:t>
            </w:r>
          </w:p>
        </w:tc>
        <w:tc>
          <w:tcPr>
            <w:tcW w:w="1500" w:type="dxa"/>
            <w:vAlign w:val="bottom"/>
          </w:tcPr>
          <w:p>
            <w:pPr>
              <w:jc w:val="center"/>
              <w:ind w:right="207"/>
              <w:spacing w:after="0"/>
              <w:rPr>
                <w:sz w:val="20"/>
                <w:szCs w:val="20"/>
                <w:color w:val="auto"/>
              </w:rPr>
            </w:pPr>
            <w:r>
              <w:rPr>
                <w:rFonts w:ascii="Arial" w:cs="Arial" w:eastAsia="Arial" w:hAnsi="Arial"/>
                <w:sz w:val="9"/>
                <w:szCs w:val="9"/>
                <w:b w:val="1"/>
                <w:bCs w:val="1"/>
                <w:color w:val="auto"/>
                <w:w w:val="86"/>
              </w:rPr>
              <w:t>Proposed</w:t>
            </w:r>
          </w:p>
        </w:tc>
        <w:tc>
          <w:tcPr>
            <w:tcW w:w="300" w:type="dxa"/>
            <w:vAlign w:val="bottom"/>
          </w:tcPr>
          <w:p>
            <w:pPr>
              <w:spacing w:after="0"/>
              <w:rPr>
                <w:sz w:val="8"/>
                <w:szCs w:val="8"/>
                <w:color w:val="auto"/>
              </w:rPr>
            </w:pPr>
          </w:p>
        </w:tc>
        <w:tc>
          <w:tcPr>
            <w:tcW w:w="1300" w:type="dxa"/>
            <w:vAlign w:val="bottom"/>
          </w:tcPr>
          <w:p>
            <w:pPr>
              <w:jc w:val="center"/>
              <w:ind w:right="308"/>
              <w:spacing w:after="0"/>
              <w:rPr>
                <w:sz w:val="20"/>
                <w:szCs w:val="20"/>
                <w:color w:val="auto"/>
              </w:rPr>
            </w:pPr>
            <w:r>
              <w:rPr>
                <w:rFonts w:ascii="Arial" w:cs="Arial" w:eastAsia="Arial" w:hAnsi="Arial"/>
                <w:sz w:val="9"/>
                <w:szCs w:val="9"/>
                <w:b w:val="1"/>
                <w:bCs w:val="1"/>
                <w:color w:val="auto"/>
              </w:rPr>
              <w:t>Maximum</w:t>
            </w: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03"/>
        </w:trPr>
        <w:tc>
          <w:tcPr>
            <w:tcW w:w="3920" w:type="dxa"/>
            <w:vAlign w:val="bottom"/>
          </w:tcPr>
          <w:p>
            <w:pPr>
              <w:jc w:val="center"/>
              <w:ind w:left="705"/>
              <w:spacing w:after="0"/>
              <w:rPr>
                <w:sz w:val="20"/>
                <w:szCs w:val="20"/>
                <w:color w:val="auto"/>
              </w:rPr>
            </w:pPr>
            <w:r>
              <w:rPr>
                <w:rFonts w:ascii="Arial" w:cs="Arial" w:eastAsia="Arial" w:hAnsi="Arial"/>
                <w:sz w:val="9"/>
                <w:szCs w:val="9"/>
                <w:b w:val="1"/>
                <w:bCs w:val="1"/>
                <w:color w:val="auto"/>
                <w:w w:val="92"/>
              </w:rPr>
              <w:t>Title of Each Class of</w:t>
            </w:r>
          </w:p>
        </w:tc>
        <w:tc>
          <w:tcPr>
            <w:tcW w:w="1340" w:type="dxa"/>
            <w:vAlign w:val="bottom"/>
          </w:tcPr>
          <w:p>
            <w:pPr>
              <w:spacing w:after="0"/>
              <w:rPr>
                <w:sz w:val="8"/>
                <w:szCs w:val="8"/>
                <w:color w:val="auto"/>
              </w:rPr>
            </w:pPr>
          </w:p>
        </w:tc>
        <w:tc>
          <w:tcPr>
            <w:tcW w:w="1460" w:type="dxa"/>
            <w:vAlign w:val="bottom"/>
          </w:tcPr>
          <w:p>
            <w:pPr>
              <w:jc w:val="center"/>
              <w:ind w:right="567"/>
              <w:spacing w:after="0"/>
              <w:rPr>
                <w:sz w:val="20"/>
                <w:szCs w:val="20"/>
                <w:color w:val="auto"/>
              </w:rPr>
            </w:pPr>
            <w:r>
              <w:rPr>
                <w:rFonts w:ascii="Arial" w:cs="Arial" w:eastAsia="Arial" w:hAnsi="Arial"/>
                <w:sz w:val="9"/>
                <w:szCs w:val="9"/>
                <w:b w:val="1"/>
                <w:bCs w:val="1"/>
                <w:color w:val="auto"/>
                <w:w w:val="92"/>
              </w:rPr>
              <w:t>to be</w:t>
            </w:r>
          </w:p>
        </w:tc>
        <w:tc>
          <w:tcPr>
            <w:tcW w:w="1500" w:type="dxa"/>
            <w:vAlign w:val="bottom"/>
          </w:tcPr>
          <w:p>
            <w:pPr>
              <w:jc w:val="center"/>
              <w:ind w:right="207"/>
              <w:spacing w:after="0"/>
              <w:rPr>
                <w:sz w:val="20"/>
                <w:szCs w:val="20"/>
                <w:color w:val="auto"/>
              </w:rPr>
            </w:pPr>
            <w:r>
              <w:rPr>
                <w:rFonts w:ascii="Arial" w:cs="Arial" w:eastAsia="Arial" w:hAnsi="Arial"/>
                <w:sz w:val="9"/>
                <w:szCs w:val="9"/>
                <w:b w:val="1"/>
                <w:bCs w:val="1"/>
                <w:color w:val="auto"/>
                <w:w w:val="94"/>
              </w:rPr>
              <w:t>Offering Price</w:t>
            </w:r>
          </w:p>
        </w:tc>
        <w:tc>
          <w:tcPr>
            <w:tcW w:w="300" w:type="dxa"/>
            <w:vAlign w:val="bottom"/>
          </w:tcPr>
          <w:p>
            <w:pPr>
              <w:spacing w:after="0"/>
              <w:rPr>
                <w:sz w:val="8"/>
                <w:szCs w:val="8"/>
                <w:color w:val="auto"/>
              </w:rPr>
            </w:pPr>
          </w:p>
        </w:tc>
        <w:tc>
          <w:tcPr>
            <w:tcW w:w="1300" w:type="dxa"/>
            <w:vAlign w:val="bottom"/>
          </w:tcPr>
          <w:p>
            <w:pPr>
              <w:jc w:val="center"/>
              <w:ind w:right="288"/>
              <w:spacing w:after="0"/>
              <w:rPr>
                <w:sz w:val="20"/>
                <w:szCs w:val="20"/>
                <w:color w:val="auto"/>
              </w:rPr>
            </w:pPr>
            <w:r>
              <w:rPr>
                <w:rFonts w:ascii="Arial" w:cs="Arial" w:eastAsia="Arial" w:hAnsi="Arial"/>
                <w:sz w:val="9"/>
                <w:szCs w:val="9"/>
                <w:b w:val="1"/>
                <w:bCs w:val="1"/>
                <w:color w:val="auto"/>
                <w:w w:val="89"/>
              </w:rPr>
              <w:t>Aggregate</w:t>
            </w:r>
          </w:p>
        </w:tc>
        <w:tc>
          <w:tcPr>
            <w:tcW w:w="360" w:type="dxa"/>
            <w:vAlign w:val="bottom"/>
          </w:tcPr>
          <w:p>
            <w:pPr>
              <w:spacing w:after="0"/>
              <w:rPr>
                <w:sz w:val="8"/>
                <w:szCs w:val="8"/>
                <w:color w:val="auto"/>
              </w:rPr>
            </w:pPr>
          </w:p>
        </w:tc>
        <w:tc>
          <w:tcPr>
            <w:tcW w:w="1260" w:type="dxa"/>
            <w:vAlign w:val="bottom"/>
          </w:tcPr>
          <w:p>
            <w:pPr>
              <w:jc w:val="right"/>
              <w:ind w:right="525"/>
              <w:spacing w:after="0"/>
              <w:rPr>
                <w:sz w:val="20"/>
                <w:szCs w:val="20"/>
                <w:color w:val="auto"/>
              </w:rPr>
            </w:pPr>
            <w:r>
              <w:rPr>
                <w:rFonts w:ascii="Arial" w:cs="Arial" w:eastAsia="Arial" w:hAnsi="Arial"/>
                <w:sz w:val="9"/>
                <w:szCs w:val="9"/>
                <w:b w:val="1"/>
                <w:bCs w:val="1"/>
                <w:color w:val="auto"/>
              </w:rPr>
              <w:t>Amount of</w:t>
            </w:r>
          </w:p>
        </w:tc>
      </w:tr>
      <w:tr>
        <w:trPr>
          <w:trHeight w:val="114"/>
        </w:trPr>
        <w:tc>
          <w:tcPr>
            <w:tcW w:w="3920" w:type="dxa"/>
            <w:vAlign w:val="bottom"/>
            <w:tcBorders>
              <w:bottom w:val="single" w:sz="8" w:color="auto"/>
            </w:tcBorders>
          </w:tcPr>
          <w:p>
            <w:pPr>
              <w:jc w:val="center"/>
              <w:ind w:left="705"/>
              <w:spacing w:after="0"/>
              <w:rPr>
                <w:sz w:val="20"/>
                <w:szCs w:val="20"/>
                <w:color w:val="auto"/>
              </w:rPr>
            </w:pPr>
            <w:r>
              <w:rPr>
                <w:rFonts w:ascii="Arial" w:cs="Arial" w:eastAsia="Arial" w:hAnsi="Arial"/>
                <w:sz w:val="9"/>
                <w:szCs w:val="9"/>
                <w:b w:val="1"/>
                <w:bCs w:val="1"/>
                <w:color w:val="auto"/>
                <w:w w:val="89"/>
              </w:rPr>
              <w:t>Securities to be Registered</w:t>
            </w:r>
          </w:p>
        </w:tc>
        <w:tc>
          <w:tcPr>
            <w:tcW w:w="13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center"/>
              <w:ind w:right="567"/>
              <w:spacing w:after="0"/>
              <w:rPr>
                <w:sz w:val="20"/>
                <w:szCs w:val="20"/>
                <w:color w:val="auto"/>
              </w:rPr>
            </w:pPr>
            <w:r>
              <w:rPr>
                <w:rFonts w:ascii="Arial" w:cs="Arial" w:eastAsia="Arial" w:hAnsi="Arial"/>
                <w:sz w:val="9"/>
                <w:szCs w:val="9"/>
                <w:b w:val="1"/>
                <w:bCs w:val="1"/>
                <w:color w:val="auto"/>
                <w:w w:val="85"/>
              </w:rPr>
              <w:t>Registered</w:t>
            </w:r>
          </w:p>
        </w:tc>
        <w:tc>
          <w:tcPr>
            <w:tcW w:w="1500" w:type="dxa"/>
            <w:vAlign w:val="bottom"/>
            <w:tcBorders>
              <w:bottom w:val="single" w:sz="8" w:color="auto"/>
            </w:tcBorders>
          </w:tcPr>
          <w:p>
            <w:pPr>
              <w:jc w:val="center"/>
              <w:ind w:right="207"/>
              <w:spacing w:after="0"/>
              <w:rPr>
                <w:sz w:val="20"/>
                <w:szCs w:val="20"/>
                <w:color w:val="auto"/>
              </w:rPr>
            </w:pPr>
            <w:r>
              <w:rPr>
                <w:rFonts w:ascii="Arial" w:cs="Arial" w:eastAsia="Arial" w:hAnsi="Arial"/>
                <w:sz w:val="9"/>
                <w:szCs w:val="9"/>
                <w:b w:val="1"/>
                <w:bCs w:val="1"/>
                <w:color w:val="auto"/>
                <w:w w:val="91"/>
              </w:rPr>
              <w:t>Per Note(1)</w:t>
            </w:r>
          </w:p>
        </w:tc>
        <w:tc>
          <w:tcPr>
            <w:tcW w:w="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center"/>
              <w:ind w:right="308"/>
              <w:spacing w:after="0"/>
              <w:rPr>
                <w:sz w:val="20"/>
                <w:szCs w:val="20"/>
                <w:color w:val="auto"/>
              </w:rPr>
            </w:pPr>
            <w:r>
              <w:rPr>
                <w:rFonts w:ascii="Arial" w:cs="Arial" w:eastAsia="Arial" w:hAnsi="Arial"/>
                <w:sz w:val="9"/>
                <w:szCs w:val="9"/>
                <w:b w:val="1"/>
                <w:bCs w:val="1"/>
                <w:color w:val="auto"/>
                <w:w w:val="93"/>
              </w:rPr>
              <w:t>Offering Price(1)</w:t>
            </w:r>
          </w:p>
        </w:tc>
        <w:tc>
          <w:tcPr>
            <w:tcW w:w="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9"/>
                <w:szCs w:val="9"/>
                <w:b w:val="1"/>
                <w:bCs w:val="1"/>
                <w:color w:val="auto"/>
              </w:rPr>
              <w:t>Registration Fee</w:t>
            </w:r>
          </w:p>
        </w:tc>
      </w:tr>
      <w:tr>
        <w:trPr>
          <w:trHeight w:val="117"/>
        </w:trPr>
        <w:tc>
          <w:tcPr>
            <w:tcW w:w="392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9.875% Senior Notes due 2025</w:t>
            </w:r>
          </w:p>
        </w:tc>
        <w:tc>
          <w:tcPr>
            <w:tcW w:w="1340" w:type="dxa"/>
            <w:vAlign w:val="bottom"/>
            <w:tcBorders>
              <w:bottom w:val="single" w:sz="8" w:color="auto"/>
            </w:tcBorders>
          </w:tcPr>
          <w:p>
            <w:pPr>
              <w:jc w:val="right"/>
              <w:ind w:right="139"/>
              <w:spacing w:after="0" w:line="118" w:lineRule="exact"/>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307"/>
              <w:spacing w:after="0" w:line="118" w:lineRule="exact"/>
              <w:rPr>
                <w:sz w:val="20"/>
                <w:szCs w:val="20"/>
                <w:color w:val="auto"/>
              </w:rPr>
            </w:pPr>
            <w:r>
              <w:rPr>
                <w:rFonts w:ascii="Arial" w:cs="Arial" w:eastAsia="Arial" w:hAnsi="Arial"/>
                <w:sz w:val="12"/>
                <w:szCs w:val="12"/>
                <w:color w:val="auto"/>
              </w:rPr>
              <w:t>596,040,000</w:t>
            </w:r>
          </w:p>
        </w:tc>
        <w:tc>
          <w:tcPr>
            <w:tcW w:w="1500" w:type="dxa"/>
            <w:vAlign w:val="bottom"/>
            <w:tcBorders>
              <w:bottom w:val="single" w:sz="8" w:color="auto"/>
            </w:tcBorders>
          </w:tcPr>
          <w:p>
            <w:pPr>
              <w:jc w:val="right"/>
              <w:ind w:right="47"/>
              <w:spacing w:after="0" w:line="118" w:lineRule="exact"/>
              <w:rPr>
                <w:sz w:val="20"/>
                <w:szCs w:val="20"/>
                <w:color w:val="auto"/>
              </w:rPr>
            </w:pPr>
            <w:r>
              <w:rPr>
                <w:rFonts w:ascii="Arial" w:cs="Arial" w:eastAsia="Arial" w:hAnsi="Arial"/>
                <w:sz w:val="12"/>
                <w:szCs w:val="12"/>
                <w:color w:val="auto"/>
              </w:rPr>
              <w:t>100%</w:t>
            </w:r>
          </w:p>
        </w:tc>
        <w:tc>
          <w:tcPr>
            <w:tcW w:w="300" w:type="dxa"/>
            <w:vAlign w:val="bottom"/>
            <w:tcBorders>
              <w:bottom w:val="single" w:sz="8" w:color="auto"/>
            </w:tcBorders>
          </w:tcPr>
          <w:p>
            <w:pPr>
              <w:jc w:val="right"/>
              <w:ind w:right="79"/>
              <w:spacing w:after="0" w:line="118"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88"/>
              <w:spacing w:after="0" w:line="118" w:lineRule="exact"/>
              <w:rPr>
                <w:sz w:val="20"/>
                <w:szCs w:val="20"/>
                <w:color w:val="auto"/>
              </w:rPr>
            </w:pPr>
            <w:r>
              <w:rPr>
                <w:rFonts w:ascii="Arial" w:cs="Arial" w:eastAsia="Arial" w:hAnsi="Arial"/>
                <w:sz w:val="12"/>
                <w:szCs w:val="12"/>
                <w:color w:val="auto"/>
              </w:rPr>
              <w:t>596,040,000</w:t>
            </w:r>
          </w:p>
        </w:tc>
        <w:tc>
          <w:tcPr>
            <w:tcW w:w="360" w:type="dxa"/>
            <w:vAlign w:val="bottom"/>
            <w:tcBorders>
              <w:bottom w:val="single" w:sz="8" w:color="auto"/>
            </w:tcBorders>
          </w:tcPr>
          <w:p>
            <w:pPr>
              <w:jc w:val="right"/>
              <w:ind w:right="99"/>
              <w:spacing w:after="0" w:line="118" w:lineRule="exact"/>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65"/>
              <w:spacing w:after="0" w:line="118" w:lineRule="exact"/>
              <w:rPr>
                <w:sz w:val="20"/>
                <w:szCs w:val="20"/>
                <w:color w:val="auto"/>
              </w:rPr>
            </w:pPr>
            <w:r>
              <w:rPr>
                <w:rFonts w:ascii="Arial" w:cs="Arial" w:eastAsia="Arial" w:hAnsi="Arial"/>
                <w:sz w:val="12"/>
                <w:szCs w:val="12"/>
                <w:color w:val="auto"/>
              </w:rPr>
              <w:t>72,240.05</w:t>
            </w:r>
          </w:p>
        </w:tc>
      </w:tr>
      <w:tr>
        <w:trPr>
          <w:trHeight w:val="117"/>
        </w:trPr>
        <w:tc>
          <w:tcPr>
            <w:tcW w:w="392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Guarantees of 9.875% Senior Notes due 2025(2)</w:t>
            </w:r>
          </w:p>
        </w:tc>
        <w:tc>
          <w:tcPr>
            <w:tcW w:w="13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307"/>
              <w:spacing w:after="0" w:line="118" w:lineRule="exact"/>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147"/>
              <w:spacing w:after="0" w:line="118"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88"/>
              <w:spacing w:after="0" w:line="118"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65"/>
              <w:spacing w:after="0" w:line="118" w:lineRule="exact"/>
              <w:rPr>
                <w:sz w:val="20"/>
                <w:szCs w:val="20"/>
                <w:color w:val="auto"/>
              </w:rPr>
            </w:pPr>
            <w:r>
              <w:rPr>
                <w:rFonts w:ascii="Arial" w:cs="Arial" w:eastAsia="Arial" w:hAnsi="Arial"/>
                <w:sz w:val="12"/>
                <w:szCs w:val="12"/>
                <w:color w:val="auto"/>
              </w:rPr>
              <w:t>—</w:t>
            </w:r>
          </w:p>
        </w:tc>
      </w:tr>
      <w:tr>
        <w:trPr>
          <w:trHeight w:val="117"/>
        </w:trPr>
        <w:tc>
          <w:tcPr>
            <w:tcW w:w="3920" w:type="dxa"/>
            <w:vAlign w:val="bottom"/>
            <w:tcBorders>
              <w:bottom w:val="single" w:sz="8" w:color="auto"/>
            </w:tcBorders>
          </w:tcPr>
          <w:p>
            <w:pPr>
              <w:ind w:left="140"/>
              <w:spacing w:after="0" w:line="118" w:lineRule="exact"/>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tcPr>
          <w:p>
            <w:pPr>
              <w:jc w:val="right"/>
              <w:ind w:right="139"/>
              <w:spacing w:after="0" w:line="118" w:lineRule="exact"/>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307"/>
              <w:spacing w:after="0" w:line="118" w:lineRule="exact"/>
              <w:rPr>
                <w:sz w:val="20"/>
                <w:szCs w:val="20"/>
                <w:color w:val="auto"/>
              </w:rPr>
            </w:pPr>
            <w:r>
              <w:rPr>
                <w:rFonts w:ascii="Arial" w:cs="Arial" w:eastAsia="Arial" w:hAnsi="Arial"/>
                <w:sz w:val="12"/>
                <w:szCs w:val="12"/>
                <w:color w:val="auto"/>
              </w:rPr>
              <w:t>596,040,000</w:t>
            </w:r>
          </w:p>
        </w:tc>
        <w:tc>
          <w:tcPr>
            <w:tcW w:w="1500" w:type="dxa"/>
            <w:vAlign w:val="bottom"/>
            <w:tcBorders>
              <w:bottom w:val="single" w:sz="8" w:color="auto"/>
            </w:tcBorders>
          </w:tcPr>
          <w:p>
            <w:pPr>
              <w:jc w:val="right"/>
              <w:ind w:right="147"/>
              <w:spacing w:after="0" w:line="118"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79"/>
              <w:spacing w:after="0" w:line="118"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88"/>
              <w:spacing w:after="0" w:line="118" w:lineRule="exact"/>
              <w:rPr>
                <w:sz w:val="20"/>
                <w:szCs w:val="20"/>
                <w:color w:val="auto"/>
              </w:rPr>
            </w:pPr>
            <w:r>
              <w:rPr>
                <w:rFonts w:ascii="Arial" w:cs="Arial" w:eastAsia="Arial" w:hAnsi="Arial"/>
                <w:sz w:val="12"/>
                <w:szCs w:val="12"/>
                <w:color w:val="auto"/>
              </w:rPr>
              <w:t>596,040,000</w:t>
            </w:r>
          </w:p>
        </w:tc>
        <w:tc>
          <w:tcPr>
            <w:tcW w:w="360" w:type="dxa"/>
            <w:vAlign w:val="bottom"/>
            <w:tcBorders>
              <w:bottom w:val="single" w:sz="8" w:color="auto"/>
            </w:tcBorders>
          </w:tcPr>
          <w:p>
            <w:pPr>
              <w:jc w:val="right"/>
              <w:ind w:right="99"/>
              <w:spacing w:after="0" w:line="118" w:lineRule="exact"/>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65"/>
              <w:spacing w:after="0" w:line="118" w:lineRule="exact"/>
              <w:rPr>
                <w:sz w:val="20"/>
                <w:szCs w:val="20"/>
                <w:color w:val="auto"/>
              </w:rPr>
            </w:pPr>
            <w:r>
              <w:rPr>
                <w:rFonts w:ascii="Arial" w:cs="Arial" w:eastAsia="Arial" w:hAnsi="Arial"/>
                <w:sz w:val="12"/>
                <w:szCs w:val="12"/>
                <w:color w:val="auto"/>
              </w:rPr>
              <w:t>72,240.05</w:t>
            </w:r>
          </w:p>
        </w:tc>
      </w:tr>
    </w:tbl>
    <w:p>
      <w:pPr>
        <w:spacing w:after="0" w:line="7" w:lineRule="exact"/>
        <w:rPr>
          <w:sz w:val="24"/>
          <w:szCs w:val="24"/>
          <w:color w:val="auto"/>
        </w:rPr>
      </w:pPr>
    </w:p>
    <w:p>
      <w:pPr>
        <w:ind w:left="248" w:hanging="248"/>
        <w:spacing w:after="0"/>
        <w:tabs>
          <w:tab w:leader="none" w:pos="248"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purposes of calculating the registration fee pursuant to Rule 457(f) of the Securities Act of 1933, as amended (the “Securities Act”).</w:t>
      </w:r>
    </w:p>
    <w:p>
      <w:pPr>
        <w:spacing w:after="0" w:line="90" w:lineRule="exact"/>
        <w:rPr>
          <w:rFonts w:ascii="Arial" w:cs="Arial" w:eastAsia="Arial" w:hAnsi="Arial"/>
          <w:sz w:val="12"/>
          <w:szCs w:val="12"/>
          <w:color w:val="auto"/>
        </w:rPr>
      </w:pPr>
    </w:p>
    <w:p>
      <w:pPr>
        <w:ind w:left="248" w:hanging="248"/>
        <w:spacing w:after="0"/>
        <w:tabs>
          <w:tab w:leader="none" w:pos="248" w:val="left"/>
        </w:tabs>
        <w:numPr>
          <w:ilvl w:val="0"/>
          <w:numId w:val="1"/>
        </w:numPr>
        <w:rPr>
          <w:rFonts w:ascii="Arial" w:cs="Arial" w:eastAsia="Arial" w:hAnsi="Arial"/>
          <w:sz w:val="12"/>
          <w:szCs w:val="12"/>
          <w:color w:val="auto"/>
        </w:rPr>
      </w:pPr>
      <w:r>
        <w:rPr>
          <w:rFonts w:ascii="Arial" w:cs="Arial" w:eastAsia="Arial" w:hAnsi="Arial"/>
          <w:sz w:val="12"/>
          <w:szCs w:val="12"/>
          <w:color w:val="auto"/>
        </w:rPr>
        <w:t>No separate consideration will be received for the guarantees, and no separate fee is payable pursuant to Rule 457(a) of the rules and regulations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2675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67" w:lineRule="exact"/>
        <w:rPr>
          <w:sz w:val="24"/>
          <w:szCs w:val="24"/>
          <w:color w:val="auto"/>
        </w:rPr>
      </w:pPr>
    </w:p>
    <w:p>
      <w:pPr>
        <w:jc w:val="both"/>
        <w:ind w:left="8" w:right="240" w:firstLine="275"/>
        <w:spacing w:after="0" w:line="237" w:lineRule="auto"/>
        <w:rPr>
          <w:sz w:val="20"/>
          <w:szCs w:val="20"/>
          <w:color w:val="auto"/>
        </w:rPr>
      </w:pPr>
      <w:r>
        <w:rPr>
          <w:rFonts w:ascii="Arial" w:cs="Arial" w:eastAsia="Arial" w:hAnsi="Arial"/>
          <w:sz w:val="12"/>
          <w:szCs w:val="12"/>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2675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267575" cy="2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244475</wp:posOffset>
            </wp:positionV>
            <wp:extent cx="728726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220" w:right="219" w:bottom="1440" w:gutter="0" w:footer="0" w:header="0"/>
        </w:sectPr>
      </w:pPr>
    </w:p>
    <w:bookmarkStart w:id="1" w:name="page2"/>
    <w:bookmarkEnd w:id="1"/>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both"/>
        <w:ind w:left="20" w:right="80"/>
        <w:spacing w:after="0" w:line="272" w:lineRule="auto"/>
        <w:rPr>
          <w:sz w:val="20"/>
          <w:szCs w:val="20"/>
          <w:color w:val="auto"/>
        </w:rPr>
      </w:pPr>
      <w:r>
        <w:rPr>
          <w:rFonts w:ascii="Arial" w:cs="Arial" w:eastAsia="Arial" w:hAnsi="Arial"/>
          <w:sz w:val="15"/>
          <w:szCs w:val="15"/>
          <w:b w:val="1"/>
          <w:bCs w:val="1"/>
          <w:color w:val="FF4040"/>
        </w:rPr>
        <w:t>The information in this prospectus is not complete and may be changed. We may not sell the securities described herein until the registration statement filed with the Securities and Exchange Commission is declared effective. This prospectus is not an offer to sell the securities described herein and it is not soliciting an offer to buy such securities in any jurisdiction where such declared offering is not permitted.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4040"/>
        </w:rPr>
        <w:t>SUBJECT TO COMPLETION, DATED DECEMBER 14, 2018</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132080</wp:posOffset>
            </wp:positionV>
            <wp:extent cx="726440" cy="334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Weatherford International, LLC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 Delaware limited liability company)</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Offer to Exchange</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Up to $600,000,000 of</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9.875% Senior Notes due 2025 (CUSIP Nos. 94707J AA5 and U9432J AA2)</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that Have Not Been Registered Under</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Up to $600,000,000 of</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9.875% Senior Notes due 2025</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that Have Been Registered Under</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183" w:lineRule="exact"/>
        <w:rPr>
          <w:sz w:val="20"/>
          <w:szCs w:val="20"/>
          <w:color w:val="auto"/>
        </w:rPr>
      </w:pPr>
    </w:p>
    <w:p>
      <w:pPr>
        <w:ind w:left="380"/>
        <w:spacing w:after="0"/>
        <w:tabs>
          <w:tab w:leader="none" w:pos="6820" w:val="left"/>
        </w:tabs>
        <w:rPr>
          <w:sz w:val="20"/>
          <w:szCs w:val="20"/>
          <w:color w:val="auto"/>
        </w:rPr>
      </w:pPr>
      <w:r>
        <w:rPr>
          <w:rFonts w:ascii="Arial" w:cs="Arial" w:eastAsia="Arial" w:hAnsi="Arial"/>
          <w:sz w:val="15"/>
          <w:szCs w:val="15"/>
          <w:i w:val="1"/>
          <w:iCs w:val="1"/>
          <w:color w:val="auto"/>
        </w:rPr>
        <w:t>The exchange offer and related withdrawal rights will expire at 5:00 p.m., New York City time, on</w:t>
      </w:r>
      <w:r>
        <w:rPr>
          <w:sz w:val="20"/>
          <w:szCs w:val="20"/>
          <w:color w:val="auto"/>
        </w:rPr>
        <w:tab/>
      </w:r>
      <w:r>
        <w:rPr>
          <w:rFonts w:ascii="Arial" w:cs="Arial" w:eastAsia="Arial" w:hAnsi="Arial"/>
          <w:sz w:val="13"/>
          <w:szCs w:val="13"/>
          <w:i w:val="1"/>
          <w:iCs w:val="1"/>
          <w:color w:val="auto"/>
        </w:rPr>
        <w:t>, 2019, unless extended.</w:t>
      </w:r>
    </w:p>
    <w:p>
      <w:pPr>
        <w:spacing w:after="0" w:line="194" w:lineRule="exact"/>
        <w:rPr>
          <w:sz w:val="20"/>
          <w:szCs w:val="20"/>
          <w:color w:val="auto"/>
        </w:rPr>
      </w:pPr>
    </w:p>
    <w:p>
      <w:pPr>
        <w:ind w:left="20" w:right="40" w:firstLine="374"/>
        <w:spacing w:after="0" w:line="260" w:lineRule="auto"/>
        <w:rPr>
          <w:sz w:val="20"/>
          <w:szCs w:val="20"/>
          <w:color w:val="auto"/>
        </w:rPr>
      </w:pPr>
      <w:r>
        <w:rPr>
          <w:rFonts w:ascii="Arial" w:cs="Arial" w:eastAsia="Arial" w:hAnsi="Arial"/>
          <w:sz w:val="15"/>
          <w:szCs w:val="15"/>
          <w:color w:val="auto"/>
        </w:rPr>
        <w:t>We are offering to exchange (the “exchange offer”) up to $600 million aggregate principal amount of our new 9.875% Senior Notes due 2025, which have been registered under the Securities Act of 1933, as amended (the “Securities Act”), which we refer to in this prospectus as the “new notes,” for any and all of our outstanding unregistered 9.875% Senior Notes due 2025, referred to in this prospectus as the “old notes.” We issued $600 million of the old notes on February 28, 2018 in a transaction not requiring registration under the Securities Act. We are offering you new notes in exchange for old notes in order to satisfy our registration obligations agreed to in connection with such transaction. The old notes and the new notes are collectively referred to in this prospectus as the “notes,” and they will be treated as a single class under the indenture dated June 18, 2007, as amended and supplemented (the “indenture”), governing them.</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Please read “Risk Factors” beginning on page 8 for a discussion of factors you should consider before participating in the exchange offer.</w:t>
      </w:r>
    </w:p>
    <w:p>
      <w:pPr>
        <w:spacing w:after="0" w:line="217" w:lineRule="exact"/>
        <w:rPr>
          <w:sz w:val="20"/>
          <w:szCs w:val="20"/>
          <w:color w:val="auto"/>
        </w:rPr>
      </w:pPr>
    </w:p>
    <w:p>
      <w:pPr>
        <w:ind w:left="20" w:right="260" w:firstLine="374"/>
        <w:spacing w:after="0" w:line="269" w:lineRule="auto"/>
        <w:rPr>
          <w:sz w:val="20"/>
          <w:szCs w:val="20"/>
          <w:color w:val="auto"/>
        </w:rPr>
      </w:pPr>
      <w:r>
        <w:rPr>
          <w:rFonts w:ascii="Arial" w:cs="Arial" w:eastAsia="Arial" w:hAnsi="Arial"/>
          <w:sz w:val="15"/>
          <w:szCs w:val="15"/>
          <w:color w:val="auto"/>
        </w:rPr>
        <w:t>We will exchange new notes for all outstanding old notes that are validly tendered and not withdrawn before expiration of the exchange offer. You may withdraw tenders of old notes at any time prior to the expiration of the exchange offer. The procedures related to this exchange are more fully described in “Exchange Offer—Procedures for Tendering.” If you fail to tender your old notes, you will continue to hold unregistered notes that you will not be able to transfer freely.</w:t>
      </w:r>
    </w:p>
    <w:p>
      <w:pPr>
        <w:spacing w:after="0" w:line="152" w:lineRule="exact"/>
        <w:rPr>
          <w:sz w:val="20"/>
          <w:szCs w:val="20"/>
          <w:color w:val="auto"/>
        </w:rPr>
      </w:pPr>
    </w:p>
    <w:p>
      <w:pPr>
        <w:ind w:left="20" w:right="80" w:firstLine="374"/>
        <w:spacing w:after="0" w:line="264" w:lineRule="auto"/>
        <w:rPr>
          <w:sz w:val="20"/>
          <w:szCs w:val="20"/>
          <w:color w:val="auto"/>
        </w:rPr>
      </w:pPr>
      <w:r>
        <w:rPr>
          <w:rFonts w:ascii="Arial" w:cs="Arial" w:eastAsia="Arial" w:hAnsi="Arial"/>
          <w:sz w:val="15"/>
          <w:szCs w:val="15"/>
          <w:color w:val="auto"/>
        </w:rPr>
        <w:t>The terms of the new notes are substantially identical to the terms of the old notes, except that the transfer restrictions, registration rights and provisions for additional interest relating to the old notes do not apply to the new notes. Please read “Description of New Notes” for more details on the terms of the new notes. We will not receive any cash proceeds from the issuance of the new notes in the exchange offer. No public market currently exists for the notes. We do not intend to apply for listing of the new notes on any securities exchange or arrange for them to be quoted on any quotation system.</w:t>
      </w:r>
    </w:p>
    <w:p>
      <w:pPr>
        <w:spacing w:after="0" w:line="157" w:lineRule="exact"/>
        <w:rPr>
          <w:sz w:val="20"/>
          <w:szCs w:val="20"/>
          <w:color w:val="auto"/>
        </w:rPr>
      </w:pPr>
    </w:p>
    <w:p>
      <w:pPr>
        <w:ind w:left="20" w:right="40" w:firstLine="374"/>
        <w:spacing w:after="0" w:line="262" w:lineRule="auto"/>
        <w:rPr>
          <w:sz w:val="20"/>
          <w:szCs w:val="20"/>
          <w:color w:val="auto"/>
        </w:rPr>
      </w:pPr>
      <w:r>
        <w:rPr>
          <w:rFonts w:ascii="Arial" w:cs="Arial" w:eastAsia="Arial" w:hAnsi="Arial"/>
          <w:sz w:val="15"/>
          <w:szCs w:val="15"/>
          <w:color w:val="auto"/>
        </w:rPr>
        <w:t>Each broker-dealer that receives new notes for its own account pursuant to this offering must acknowledge that it will deliver this prospectus in connection with any resale of such new notes.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Please read “Plan of Distribution.”</w:t>
      </w:r>
    </w:p>
    <w:p>
      <w:pPr>
        <w:spacing w:after="0" w:line="153" w:lineRule="exact"/>
        <w:rPr>
          <w:sz w:val="20"/>
          <w:szCs w:val="20"/>
          <w:color w:val="auto"/>
        </w:rPr>
      </w:pPr>
    </w:p>
    <w:p>
      <w:pPr>
        <w:ind w:left="20" w:right="180" w:firstLine="374"/>
        <w:spacing w:after="0" w:line="290"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80" w:type="dxa"/>
            <w:vAlign w:val="bottom"/>
          </w:tcPr>
          <w:p>
            <w:pPr>
              <w:ind w:left="4260"/>
              <w:spacing w:after="0"/>
              <w:rPr>
                <w:sz w:val="20"/>
                <w:szCs w:val="20"/>
                <w:color w:val="auto"/>
              </w:rPr>
            </w:pPr>
            <w:r>
              <w:rPr>
                <w:rFonts w:ascii="Arial" w:cs="Arial" w:eastAsia="Arial" w:hAnsi="Arial"/>
                <w:sz w:val="15"/>
                <w:szCs w:val="15"/>
                <w:b w:val="1"/>
                <w:bCs w:val="1"/>
                <w:color w:val="auto"/>
              </w:rPr>
              <w:t>The date of this prospectus is</w:t>
            </w:r>
          </w:p>
        </w:tc>
        <w:tc>
          <w:tcPr>
            <w:tcW w:w="5000" w:type="dxa"/>
            <w:vAlign w:val="bottom"/>
          </w:tcPr>
          <w:p>
            <w:pPr>
              <w:jc w:val="right"/>
              <w:ind w:right="4184"/>
              <w:spacing w:after="0"/>
              <w:rPr>
                <w:sz w:val="20"/>
                <w:szCs w:val="20"/>
                <w:color w:val="auto"/>
              </w:rPr>
            </w:pPr>
            <w:r>
              <w:rPr>
                <w:rFonts w:ascii="Arial" w:cs="Arial" w:eastAsia="Arial" w:hAnsi="Arial"/>
                <w:sz w:val="15"/>
                <w:szCs w:val="15"/>
                <w:b w:val="1"/>
                <w:bCs w:val="1"/>
                <w:color w:val="auto"/>
              </w:rPr>
              <w:t>, 2018</w:t>
            </w:r>
          </w:p>
        </w:tc>
      </w:tr>
      <w:tr>
        <w:trPr>
          <w:trHeight w:val="293"/>
        </w:trPr>
        <w:tc>
          <w:tcPr>
            <w:tcW w:w="648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firstLine="374"/>
        <w:spacing w:after="0" w:line="283" w:lineRule="auto"/>
        <w:rPr>
          <w:sz w:val="20"/>
          <w:szCs w:val="20"/>
          <w:color w:val="auto"/>
        </w:rPr>
      </w:pPr>
      <w:r>
        <w:rPr>
          <w:rFonts w:ascii="Arial" w:cs="Arial" w:eastAsia="Arial" w:hAnsi="Arial"/>
          <w:sz w:val="14"/>
          <w:szCs w:val="14"/>
          <w:b w:val="1"/>
          <w:bCs w:val="1"/>
          <w:color w:val="auto"/>
        </w:rPr>
        <w:t>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or soliciting an offer to buy these securities in any jurisdiction where an offer or solicitation is not authorized or in which the person making that offer or solicitation is not qualified to do so or to anyone whom it is unlawful to make an offer or solicitation. You should not assume that the information contained in this prospectus, as well as the information we previously filed with the Securities and Exchange Commission that is incorporated by reference herein, is accurate as of any date other than its respective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155575</wp:posOffset>
            </wp:positionV>
            <wp:extent cx="728726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7160" w:type="dxa"/>
            <w:vAlign w:val="bottom"/>
            <w:gridSpan w:val="17"/>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Table of Contents</w:t>
              </w:r>
            </w:hyperlink>
          </w:p>
        </w:tc>
        <w:tc>
          <w:tcPr>
            <w:tcW w:w="4280" w:type="dxa"/>
            <w:vAlign w:val="bottom"/>
          </w:tcPr>
          <w:p>
            <w:pPr>
              <w:spacing w:after="0"/>
              <w:rPr>
                <w:sz w:val="14"/>
                <w:szCs w:val="14"/>
                <w:color w:val="auto"/>
              </w:rPr>
            </w:pPr>
          </w:p>
        </w:tc>
      </w:tr>
      <w:tr>
        <w:trPr>
          <w:trHeight w:val="381"/>
        </w:trPr>
        <w:tc>
          <w:tcPr>
            <w:tcW w:w="6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15"/>
                <w:szCs w:val="15"/>
                <w:b w:val="1"/>
                <w:bCs w:val="1"/>
                <w:color w:val="auto"/>
              </w:rPr>
              <w:t>TABLE OF CONTENTS</w:t>
            </w:r>
          </w:p>
        </w:tc>
        <w:tc>
          <w:tcPr>
            <w:tcW w:w="4280" w:type="dxa"/>
            <w:vAlign w:val="bottom"/>
          </w:tcPr>
          <w:p>
            <w:pPr>
              <w:spacing w:after="0"/>
              <w:rPr>
                <w:sz w:val="24"/>
                <w:szCs w:val="24"/>
                <w:color w:val="auto"/>
              </w:rPr>
            </w:pPr>
          </w:p>
        </w:tc>
      </w:tr>
      <w:tr>
        <w:trPr>
          <w:trHeight w:val="332"/>
        </w:trPr>
        <w:tc>
          <w:tcPr>
            <w:tcW w:w="2480" w:type="dxa"/>
            <w:vAlign w:val="bottom"/>
            <w:tcBorders>
              <w:bottom w:val="single" w:sz="8" w:color="0000EE"/>
            </w:tcBorders>
            <w:gridSpan w:val="9"/>
          </w:tcPr>
          <w:p>
            <w:pPr>
              <w:spacing w:after="0"/>
              <w:rPr>
                <w:rFonts w:ascii="Arial" w:cs="Arial" w:eastAsia="Arial" w:hAnsi="Arial"/>
                <w:sz w:val="15"/>
                <w:szCs w:val="15"/>
                <w:color w:val="0000EE"/>
                <w:w w:val="96"/>
              </w:rPr>
            </w:pPr>
            <w:hyperlink w:anchor="page5">
              <w:r>
                <w:rPr>
                  <w:rFonts w:ascii="Arial" w:cs="Arial" w:eastAsia="Arial" w:hAnsi="Arial"/>
                  <w:sz w:val="15"/>
                  <w:szCs w:val="15"/>
                  <w:color w:val="0000EE"/>
                  <w:w w:val="96"/>
                </w:rPr>
                <w:t>FORWARD-LOOKING STATEMENTS</w:t>
              </w:r>
            </w:hyperlink>
          </w:p>
        </w:tc>
        <w:tc>
          <w:tcPr>
            <w:tcW w:w="4680" w:type="dxa"/>
            <w:vAlign w:val="bottom"/>
            <w:gridSpan w:val="8"/>
          </w:tcPr>
          <w:p>
            <w:pPr>
              <w:spacing w:after="0"/>
              <w:rPr>
                <w:sz w:val="24"/>
                <w:szCs w:val="24"/>
                <w:color w:val="auto"/>
              </w:rPr>
            </w:pPr>
          </w:p>
        </w:tc>
        <w:tc>
          <w:tcPr>
            <w:tcW w:w="4280" w:type="dxa"/>
            <w:vAlign w:val="bottom"/>
          </w:tcPr>
          <w:p>
            <w:pPr>
              <w:jc w:val="right"/>
              <w:spacing w:after="0"/>
              <w:rPr>
                <w:sz w:val="20"/>
                <w:szCs w:val="20"/>
                <w:color w:val="auto"/>
              </w:rPr>
            </w:pPr>
            <w:r>
              <w:rPr>
                <w:rFonts w:ascii="Arial" w:cs="Arial" w:eastAsia="Arial" w:hAnsi="Arial"/>
                <w:sz w:val="15"/>
                <w:szCs w:val="15"/>
                <w:color w:val="auto"/>
              </w:rPr>
              <w:t>ii</w:t>
            </w:r>
          </w:p>
        </w:tc>
      </w:tr>
      <w:tr>
        <w:trPr>
          <w:trHeight w:val="163"/>
        </w:trPr>
        <w:tc>
          <w:tcPr>
            <w:tcW w:w="1760" w:type="dxa"/>
            <w:vAlign w:val="bottom"/>
            <w:tcBorders>
              <w:bottom w:val="single" w:sz="8" w:color="0000EE"/>
            </w:tcBorders>
            <w:gridSpan w:val="7"/>
          </w:tcPr>
          <w:p>
            <w:pPr>
              <w:spacing w:after="0" w:line="163" w:lineRule="exact"/>
              <w:rPr>
                <w:rFonts w:ascii="Arial" w:cs="Arial" w:eastAsia="Arial" w:hAnsi="Arial"/>
                <w:sz w:val="15"/>
                <w:szCs w:val="15"/>
                <w:color w:val="0000EE"/>
                <w:w w:val="94"/>
              </w:rPr>
            </w:pPr>
            <w:hyperlink w:anchor="page7">
              <w:r>
                <w:rPr>
                  <w:rFonts w:ascii="Arial" w:cs="Arial" w:eastAsia="Arial" w:hAnsi="Arial"/>
                  <w:sz w:val="15"/>
                  <w:szCs w:val="15"/>
                  <w:color w:val="0000EE"/>
                  <w:w w:val="94"/>
                </w:rPr>
                <w:t>PROSPECTUS SUMMARY</w:t>
              </w:r>
            </w:hyperlink>
          </w:p>
        </w:tc>
        <w:tc>
          <w:tcPr>
            <w:tcW w:w="5400" w:type="dxa"/>
            <w:vAlign w:val="bottom"/>
            <w:gridSpan w:val="10"/>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1</w:t>
            </w:r>
          </w:p>
        </w:tc>
      </w:tr>
      <w:tr>
        <w:trPr>
          <w:trHeight w:val="163"/>
        </w:trPr>
        <w:tc>
          <w:tcPr>
            <w:tcW w:w="7160" w:type="dxa"/>
            <w:vAlign w:val="bottom"/>
            <w:gridSpan w:val="17"/>
          </w:tcPr>
          <w:p>
            <w:pPr>
              <w:spacing w:after="0" w:line="163" w:lineRule="exact"/>
              <w:rPr>
                <w:rFonts w:ascii="Arial" w:cs="Arial" w:eastAsia="Arial" w:hAnsi="Arial"/>
                <w:sz w:val="15"/>
                <w:szCs w:val="15"/>
                <w:color w:val="0000EE"/>
              </w:rPr>
            </w:pPr>
            <w:hyperlink w:anchor="page14">
              <w:r>
                <w:rPr>
                  <w:rFonts w:ascii="Arial" w:cs="Arial" w:eastAsia="Arial" w:hAnsi="Arial"/>
                  <w:sz w:val="15"/>
                  <w:szCs w:val="15"/>
                  <w:color w:val="0000EE"/>
                </w:rPr>
                <w:t>RISK FACTORS</w:t>
              </w:r>
            </w:hyperlink>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w:t>
            </w:r>
          </w:p>
        </w:tc>
      </w:tr>
      <w:tr>
        <w:trPr>
          <w:trHeight w:val="20"/>
        </w:trPr>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63"/>
        </w:trPr>
        <w:tc>
          <w:tcPr>
            <w:tcW w:w="1340" w:type="dxa"/>
            <w:vAlign w:val="bottom"/>
            <w:tcBorders>
              <w:bottom w:val="single" w:sz="8" w:color="0000EE"/>
            </w:tcBorders>
            <w:gridSpan w:val="5"/>
          </w:tcPr>
          <w:p>
            <w:pPr>
              <w:spacing w:after="0" w:line="163" w:lineRule="exact"/>
              <w:rPr>
                <w:rFonts w:ascii="Arial" w:cs="Arial" w:eastAsia="Arial" w:hAnsi="Arial"/>
                <w:sz w:val="15"/>
                <w:szCs w:val="15"/>
                <w:color w:val="0000EE"/>
                <w:w w:val="91"/>
              </w:rPr>
            </w:pPr>
            <w:hyperlink w:anchor="page25">
              <w:r>
                <w:rPr>
                  <w:rFonts w:ascii="Arial" w:cs="Arial" w:eastAsia="Arial" w:hAnsi="Arial"/>
                  <w:sz w:val="15"/>
                  <w:szCs w:val="15"/>
                  <w:color w:val="0000EE"/>
                  <w:w w:val="91"/>
                </w:rPr>
                <w:t>USE OF PROCEEDS</w:t>
              </w:r>
            </w:hyperlink>
          </w:p>
        </w:tc>
        <w:tc>
          <w:tcPr>
            <w:tcW w:w="5820" w:type="dxa"/>
            <w:vAlign w:val="bottom"/>
            <w:gridSpan w:val="12"/>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19</w:t>
            </w:r>
          </w:p>
        </w:tc>
      </w:tr>
      <w:tr>
        <w:trPr>
          <w:trHeight w:val="163"/>
        </w:trPr>
        <w:tc>
          <w:tcPr>
            <w:tcW w:w="7160" w:type="dxa"/>
            <w:vAlign w:val="bottom"/>
            <w:gridSpan w:val="17"/>
          </w:tcPr>
          <w:p>
            <w:pPr>
              <w:spacing w:after="0" w:line="163" w:lineRule="exact"/>
              <w:rPr>
                <w:rFonts w:ascii="Arial" w:cs="Arial" w:eastAsia="Arial" w:hAnsi="Arial"/>
                <w:sz w:val="15"/>
                <w:szCs w:val="15"/>
                <w:color w:val="0000EE"/>
              </w:rPr>
            </w:pPr>
            <w:hyperlink w:anchor="page26">
              <w:r>
                <w:rPr>
                  <w:rFonts w:ascii="Arial" w:cs="Arial" w:eastAsia="Arial" w:hAnsi="Arial"/>
                  <w:sz w:val="15"/>
                  <w:szCs w:val="15"/>
                  <w:color w:val="0000EE"/>
                </w:rPr>
                <w:t>EXCHANGE OFFER</w:t>
              </w:r>
            </w:hyperlink>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20</w:t>
            </w:r>
          </w:p>
        </w:tc>
      </w:tr>
      <w:tr>
        <w:trPr>
          <w:trHeight w:val="20"/>
        </w:trPr>
        <w:tc>
          <w:tcPr>
            <w:tcW w:w="6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63"/>
        </w:trPr>
        <w:tc>
          <w:tcPr>
            <w:tcW w:w="2940" w:type="dxa"/>
            <w:vAlign w:val="bottom"/>
            <w:tcBorders>
              <w:bottom w:val="single" w:sz="8" w:color="0000EE"/>
            </w:tcBorders>
            <w:gridSpan w:val="12"/>
          </w:tcPr>
          <w:p>
            <w:pPr>
              <w:spacing w:after="0" w:line="163" w:lineRule="exact"/>
              <w:rPr>
                <w:rFonts w:ascii="Arial" w:cs="Arial" w:eastAsia="Arial" w:hAnsi="Arial"/>
                <w:sz w:val="15"/>
                <w:szCs w:val="15"/>
                <w:color w:val="0000EE"/>
                <w:w w:val="95"/>
              </w:rPr>
            </w:pPr>
            <w:hyperlink w:anchor="page32">
              <w:r>
                <w:rPr>
                  <w:rFonts w:ascii="Arial" w:cs="Arial" w:eastAsia="Arial" w:hAnsi="Arial"/>
                  <w:sz w:val="15"/>
                  <w:szCs w:val="15"/>
                  <w:color w:val="0000EE"/>
                  <w:w w:val="95"/>
                </w:rPr>
                <w:t>DESCRIPTION OF OTHER INDEBTEDNESS</w:t>
              </w:r>
            </w:hyperlink>
          </w:p>
        </w:tc>
        <w:tc>
          <w:tcPr>
            <w:tcW w:w="4220" w:type="dxa"/>
            <w:vAlign w:val="bottom"/>
            <w:gridSpan w:val="5"/>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26</w:t>
            </w:r>
          </w:p>
        </w:tc>
      </w:tr>
      <w:tr>
        <w:trPr>
          <w:trHeight w:val="163"/>
        </w:trPr>
        <w:tc>
          <w:tcPr>
            <w:tcW w:w="2140" w:type="dxa"/>
            <w:vAlign w:val="bottom"/>
            <w:tcBorders>
              <w:bottom w:val="single" w:sz="8" w:color="0000EE"/>
            </w:tcBorders>
            <w:gridSpan w:val="8"/>
          </w:tcPr>
          <w:p>
            <w:pPr>
              <w:spacing w:after="0" w:line="163" w:lineRule="exact"/>
              <w:rPr>
                <w:rFonts w:ascii="Arial" w:cs="Arial" w:eastAsia="Arial" w:hAnsi="Arial"/>
                <w:sz w:val="15"/>
                <w:szCs w:val="15"/>
                <w:color w:val="0000EE"/>
                <w:w w:val="95"/>
              </w:rPr>
            </w:pPr>
            <w:hyperlink w:anchor="page36">
              <w:r>
                <w:rPr>
                  <w:rFonts w:ascii="Arial" w:cs="Arial" w:eastAsia="Arial" w:hAnsi="Arial"/>
                  <w:sz w:val="15"/>
                  <w:szCs w:val="15"/>
                  <w:color w:val="0000EE"/>
                  <w:w w:val="95"/>
                </w:rPr>
                <w:t>DESCRIPTION OF NEW NOTES</w:t>
              </w:r>
            </w:hyperlink>
          </w:p>
        </w:tc>
        <w:tc>
          <w:tcPr>
            <w:tcW w:w="5020" w:type="dxa"/>
            <w:vAlign w:val="bottom"/>
            <w:gridSpan w:val="9"/>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30</w:t>
            </w:r>
          </w:p>
        </w:tc>
      </w:tr>
      <w:tr>
        <w:trPr>
          <w:trHeight w:val="163"/>
        </w:trPr>
        <w:tc>
          <w:tcPr>
            <w:tcW w:w="7160" w:type="dxa"/>
            <w:vAlign w:val="bottom"/>
            <w:gridSpan w:val="17"/>
          </w:tcPr>
          <w:p>
            <w:pPr>
              <w:spacing w:after="0" w:line="163" w:lineRule="exact"/>
              <w:rPr>
                <w:rFonts w:ascii="Arial" w:cs="Arial" w:eastAsia="Arial" w:hAnsi="Arial"/>
                <w:sz w:val="15"/>
                <w:szCs w:val="15"/>
                <w:color w:val="0000EE"/>
              </w:rPr>
            </w:pPr>
            <w:hyperlink w:anchor="page83">
              <w:r>
                <w:rPr>
                  <w:rFonts w:ascii="Arial" w:cs="Arial" w:eastAsia="Arial" w:hAnsi="Arial"/>
                  <w:sz w:val="15"/>
                  <w:szCs w:val="15"/>
                  <w:color w:val="0000EE"/>
                </w:rPr>
                <w:t>MATERIAL UNITED STATES FEDERAL INCOME TAX CONSEQUENCES</w:t>
              </w:r>
            </w:hyperlink>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77</w:t>
            </w:r>
          </w:p>
        </w:tc>
      </w:tr>
      <w:tr>
        <w:trPr>
          <w:trHeight w:val="163"/>
        </w:trPr>
        <w:tc>
          <w:tcPr>
            <w:tcW w:w="2760" w:type="dxa"/>
            <w:vAlign w:val="bottom"/>
            <w:tcBorders>
              <w:top w:val="single" w:sz="8" w:color="0000EE"/>
              <w:bottom w:val="single" w:sz="8" w:color="0000EE"/>
            </w:tcBorders>
            <w:gridSpan w:val="10"/>
          </w:tcPr>
          <w:p>
            <w:pPr>
              <w:spacing w:after="0" w:line="163" w:lineRule="exact"/>
              <w:rPr>
                <w:rFonts w:ascii="Arial" w:cs="Arial" w:eastAsia="Arial" w:hAnsi="Arial"/>
                <w:sz w:val="15"/>
                <w:szCs w:val="15"/>
                <w:color w:val="0000EE"/>
                <w:w w:val="96"/>
              </w:rPr>
            </w:pPr>
            <w:hyperlink w:anchor="page85">
              <w:r>
                <w:rPr>
                  <w:rFonts w:ascii="Arial" w:cs="Arial" w:eastAsia="Arial" w:hAnsi="Arial"/>
                  <w:sz w:val="15"/>
                  <w:szCs w:val="15"/>
                  <w:color w:val="0000EE"/>
                  <w:w w:val="96"/>
                </w:rPr>
                <w:t>CERTAIN IRISH TAX CONSIDERATIONS</w:t>
              </w:r>
            </w:hyperlink>
          </w:p>
        </w:tc>
        <w:tc>
          <w:tcPr>
            <w:tcW w:w="2120" w:type="dxa"/>
            <w:vAlign w:val="bottom"/>
            <w:tcBorders>
              <w:top w:val="single" w:sz="8" w:color="0000EE"/>
            </w:tcBorders>
            <w:gridSpan w:val="5"/>
          </w:tcPr>
          <w:p>
            <w:pPr>
              <w:spacing w:after="0"/>
              <w:rPr>
                <w:sz w:val="14"/>
                <w:szCs w:val="14"/>
                <w:color w:val="auto"/>
              </w:rPr>
            </w:pPr>
          </w:p>
        </w:tc>
        <w:tc>
          <w:tcPr>
            <w:tcW w:w="2280" w:type="dxa"/>
            <w:vAlign w:val="bottom"/>
            <w:gridSpan w:val="2"/>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79</w:t>
            </w:r>
          </w:p>
        </w:tc>
      </w:tr>
      <w:tr>
        <w:trPr>
          <w:trHeight w:val="163"/>
        </w:trPr>
        <w:tc>
          <w:tcPr>
            <w:tcW w:w="3120" w:type="dxa"/>
            <w:vAlign w:val="bottom"/>
            <w:tcBorders>
              <w:bottom w:val="single" w:sz="8" w:color="0000EE"/>
            </w:tcBorders>
            <w:gridSpan w:val="13"/>
          </w:tcPr>
          <w:p>
            <w:pPr>
              <w:spacing w:after="0" w:line="163" w:lineRule="exact"/>
              <w:rPr>
                <w:rFonts w:ascii="Arial" w:cs="Arial" w:eastAsia="Arial" w:hAnsi="Arial"/>
                <w:sz w:val="15"/>
                <w:szCs w:val="15"/>
                <w:color w:val="0000EE"/>
                <w:w w:val="97"/>
              </w:rPr>
            </w:pPr>
            <w:hyperlink w:anchor="page86">
              <w:r>
                <w:rPr>
                  <w:rFonts w:ascii="Arial" w:cs="Arial" w:eastAsia="Arial" w:hAnsi="Arial"/>
                  <w:sz w:val="15"/>
                  <w:szCs w:val="15"/>
                  <w:color w:val="0000EE"/>
                  <w:w w:val="97"/>
                </w:rPr>
                <w:t>CERTAIN BERMUDA TAX CONSIDERATIONS</w:t>
              </w:r>
            </w:hyperlink>
          </w:p>
        </w:tc>
        <w:tc>
          <w:tcPr>
            <w:tcW w:w="4040" w:type="dxa"/>
            <w:vAlign w:val="bottom"/>
            <w:gridSpan w:val="4"/>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80</w:t>
            </w:r>
          </w:p>
        </w:tc>
      </w:tr>
      <w:tr>
        <w:trPr>
          <w:trHeight w:val="163"/>
        </w:trPr>
        <w:tc>
          <w:tcPr>
            <w:tcW w:w="7160" w:type="dxa"/>
            <w:vAlign w:val="bottom"/>
            <w:gridSpan w:val="17"/>
          </w:tcPr>
          <w:p>
            <w:pPr>
              <w:spacing w:after="0" w:line="163" w:lineRule="exact"/>
              <w:rPr>
                <w:rFonts w:ascii="Arial" w:cs="Arial" w:eastAsia="Arial" w:hAnsi="Arial"/>
                <w:sz w:val="15"/>
                <w:szCs w:val="15"/>
                <w:color w:val="0000EE"/>
              </w:rPr>
            </w:pPr>
            <w:hyperlink w:anchor="page87">
              <w:r>
                <w:rPr>
                  <w:rFonts w:ascii="Arial" w:cs="Arial" w:eastAsia="Arial" w:hAnsi="Arial"/>
                  <w:sz w:val="15"/>
                  <w:szCs w:val="15"/>
                  <w:color w:val="0000EE"/>
                </w:rPr>
                <w:t>CERTAIN SWISS TAX CONSIDERATIONS</w:t>
              </w:r>
            </w:hyperlink>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81</w:t>
            </w:r>
          </w:p>
        </w:tc>
      </w:tr>
      <w:tr>
        <w:trPr>
          <w:trHeight w:val="163"/>
        </w:trPr>
        <w:tc>
          <w:tcPr>
            <w:tcW w:w="2800" w:type="dxa"/>
            <w:vAlign w:val="bottom"/>
            <w:tcBorders>
              <w:top w:val="single" w:sz="8" w:color="0000EE"/>
            </w:tcBorders>
            <w:gridSpan w:val="11"/>
          </w:tcPr>
          <w:p>
            <w:pPr>
              <w:spacing w:after="0" w:line="163" w:lineRule="exact"/>
              <w:rPr>
                <w:rFonts w:ascii="Arial" w:cs="Arial" w:eastAsia="Arial" w:hAnsi="Arial"/>
                <w:sz w:val="15"/>
                <w:szCs w:val="15"/>
                <w:color w:val="0000EE"/>
              </w:rPr>
            </w:pPr>
            <w:hyperlink w:anchor="page89">
              <w:r>
                <w:rPr>
                  <w:rFonts w:ascii="Arial" w:cs="Arial" w:eastAsia="Arial" w:hAnsi="Arial"/>
                  <w:sz w:val="15"/>
                  <w:szCs w:val="15"/>
                  <w:color w:val="0000EE"/>
                </w:rPr>
                <w:t>PLAN OF DISTRIBUTION</w:t>
              </w:r>
            </w:hyperlink>
          </w:p>
        </w:tc>
        <w:tc>
          <w:tcPr>
            <w:tcW w:w="4360" w:type="dxa"/>
            <w:vAlign w:val="bottom"/>
            <w:gridSpan w:val="6"/>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83</w:t>
            </w:r>
          </w:p>
        </w:tc>
      </w:tr>
      <w:tr>
        <w:trPr>
          <w:trHeight w:val="163"/>
        </w:trPr>
        <w:tc>
          <w:tcPr>
            <w:tcW w:w="1720" w:type="dxa"/>
            <w:vAlign w:val="bottom"/>
            <w:tcBorders>
              <w:top w:val="single" w:sz="8" w:color="0000EE"/>
            </w:tcBorders>
            <w:gridSpan w:val="6"/>
          </w:tcPr>
          <w:p>
            <w:pPr>
              <w:spacing w:after="0" w:line="163" w:lineRule="exact"/>
              <w:rPr>
                <w:rFonts w:ascii="Arial" w:cs="Arial" w:eastAsia="Arial" w:hAnsi="Arial"/>
                <w:sz w:val="15"/>
                <w:szCs w:val="15"/>
                <w:color w:val="0000EE"/>
              </w:rPr>
            </w:pPr>
            <w:hyperlink w:anchor="page91">
              <w:r>
                <w:rPr>
                  <w:rFonts w:ascii="Arial" w:cs="Arial" w:eastAsia="Arial" w:hAnsi="Arial"/>
                  <w:sz w:val="15"/>
                  <w:szCs w:val="15"/>
                  <w:color w:val="0000EE"/>
                </w:rPr>
                <w:t>LEGAL MATTERS</w:t>
              </w:r>
            </w:hyperlink>
          </w:p>
        </w:tc>
        <w:tc>
          <w:tcPr>
            <w:tcW w:w="5440" w:type="dxa"/>
            <w:vAlign w:val="bottom"/>
            <w:gridSpan w:val="11"/>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85</w:t>
            </w:r>
          </w:p>
        </w:tc>
      </w:tr>
      <w:tr>
        <w:trPr>
          <w:trHeight w:val="163"/>
        </w:trPr>
        <w:tc>
          <w:tcPr>
            <w:tcW w:w="1220" w:type="dxa"/>
            <w:vAlign w:val="bottom"/>
            <w:tcBorders>
              <w:top w:val="single" w:sz="8" w:color="0000EE"/>
            </w:tcBorders>
            <w:gridSpan w:val="4"/>
          </w:tcPr>
          <w:p>
            <w:pPr>
              <w:spacing w:after="0" w:line="163" w:lineRule="exact"/>
              <w:rPr>
                <w:rFonts w:ascii="Arial" w:cs="Arial" w:eastAsia="Arial" w:hAnsi="Arial"/>
                <w:sz w:val="15"/>
                <w:szCs w:val="15"/>
                <w:color w:val="0000EE"/>
              </w:rPr>
            </w:pPr>
            <w:hyperlink w:anchor="page91">
              <w:r>
                <w:rPr>
                  <w:rFonts w:ascii="Arial" w:cs="Arial" w:eastAsia="Arial" w:hAnsi="Arial"/>
                  <w:sz w:val="15"/>
                  <w:szCs w:val="15"/>
                  <w:color w:val="0000EE"/>
                </w:rPr>
                <w:t>EXPERTS</w:t>
              </w:r>
            </w:hyperlink>
          </w:p>
        </w:tc>
        <w:tc>
          <w:tcPr>
            <w:tcW w:w="5940" w:type="dxa"/>
            <w:vAlign w:val="bottom"/>
            <w:gridSpan w:val="13"/>
          </w:tcPr>
          <w:p>
            <w:pPr>
              <w:spacing w:after="0"/>
              <w:rPr>
                <w:sz w:val="14"/>
                <w:szCs w:val="14"/>
                <w:color w:val="auto"/>
              </w:rPr>
            </w:pPr>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85</w:t>
            </w:r>
          </w:p>
        </w:tc>
      </w:tr>
      <w:tr>
        <w:trPr>
          <w:trHeight w:val="20"/>
        </w:trPr>
        <w:tc>
          <w:tcPr>
            <w:tcW w:w="640" w:type="dxa"/>
            <w:vAlign w:val="bottom"/>
            <w:shd w:val="clear" w:color="auto" w:fill="0000EE"/>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63"/>
        </w:trPr>
        <w:tc>
          <w:tcPr>
            <w:tcW w:w="7160" w:type="dxa"/>
            <w:vAlign w:val="bottom"/>
            <w:gridSpan w:val="17"/>
          </w:tcPr>
          <w:p>
            <w:pPr>
              <w:spacing w:after="0" w:line="163" w:lineRule="exact"/>
              <w:rPr>
                <w:rFonts w:ascii="Arial" w:cs="Arial" w:eastAsia="Arial" w:hAnsi="Arial"/>
                <w:sz w:val="15"/>
                <w:szCs w:val="15"/>
                <w:color w:val="0000EE"/>
              </w:rPr>
            </w:pPr>
            <w:hyperlink w:anchor="page92">
              <w:r>
                <w:rPr>
                  <w:rFonts w:ascii="Arial" w:cs="Arial" w:eastAsia="Arial" w:hAnsi="Arial"/>
                  <w:sz w:val="15"/>
                  <w:szCs w:val="15"/>
                  <w:color w:val="0000EE"/>
                </w:rPr>
                <w:t>WHERE YOU CAN FIND ADDITIONAL INFORMATION; INCORPORATION BY REFERENCE</w:t>
              </w:r>
            </w:hyperlink>
          </w:p>
        </w:tc>
        <w:tc>
          <w:tcPr>
            <w:tcW w:w="4280" w:type="dxa"/>
            <w:vAlign w:val="bottom"/>
          </w:tcPr>
          <w:p>
            <w:pPr>
              <w:jc w:val="right"/>
              <w:spacing w:after="0" w:line="163" w:lineRule="exact"/>
              <w:rPr>
                <w:sz w:val="20"/>
                <w:szCs w:val="20"/>
                <w:color w:val="auto"/>
              </w:rPr>
            </w:pPr>
            <w:r>
              <w:rPr>
                <w:rFonts w:ascii="Arial" w:cs="Arial" w:eastAsia="Arial" w:hAnsi="Arial"/>
                <w:sz w:val="15"/>
                <w:szCs w:val="15"/>
                <w:color w:val="auto"/>
              </w:rPr>
              <w:t>86</w:t>
            </w:r>
          </w:p>
        </w:tc>
      </w:tr>
      <w:tr>
        <w:trPr>
          <w:trHeight w:val="289"/>
        </w:trPr>
        <w:tc>
          <w:tcPr>
            <w:tcW w:w="6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0" w:type="dxa"/>
            <w:vAlign w:val="bottom"/>
            <w:tcBorders>
              <w:top w:val="single" w:sz="8" w:color="0000EE"/>
              <w:bottom w:val="single" w:sz="8" w:color="808080"/>
            </w:tcBorders>
          </w:tcPr>
          <w:p>
            <w:pPr>
              <w:spacing w:after="0"/>
              <w:rPr>
                <w:sz w:val="24"/>
                <w:szCs w:val="24"/>
                <w:color w:val="auto"/>
              </w:rPr>
            </w:pPr>
          </w:p>
        </w:tc>
        <w:tc>
          <w:tcPr>
            <w:tcW w:w="1320" w:type="dxa"/>
            <w:vAlign w:val="bottom"/>
            <w:tcBorders>
              <w:top w:val="single" w:sz="8" w:color="0000EE"/>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280" w:type="dxa"/>
            <w:vAlign w:val="bottom"/>
          </w:tcPr>
          <w:p>
            <w:pPr>
              <w:spacing w:after="0"/>
              <w:rPr>
                <w:sz w:val="24"/>
                <w:szCs w:val="24"/>
                <w:color w:val="auto"/>
              </w:rPr>
            </w:pPr>
          </w:p>
        </w:tc>
      </w:tr>
    </w:tbl>
    <w:p>
      <w:pPr>
        <w:spacing w:after="0" w:line="260" w:lineRule="exact"/>
        <w:rPr>
          <w:sz w:val="20"/>
          <w:szCs w:val="20"/>
          <w:color w:val="auto"/>
        </w:rPr>
      </w:pPr>
    </w:p>
    <w:p>
      <w:pPr>
        <w:ind w:firstLine="549"/>
        <w:spacing w:after="0" w:line="266" w:lineRule="auto"/>
        <w:rPr>
          <w:sz w:val="20"/>
          <w:szCs w:val="20"/>
          <w:color w:val="auto"/>
        </w:rPr>
      </w:pPr>
      <w:r>
        <w:rPr>
          <w:rFonts w:ascii="Arial" w:cs="Arial" w:eastAsia="Arial" w:hAnsi="Arial"/>
          <w:sz w:val="15"/>
          <w:szCs w:val="15"/>
          <w:b w:val="1"/>
          <w:bCs w:val="1"/>
          <w:color w:val="auto"/>
        </w:rPr>
        <w:t>This prospectus incorporates important business and financial information about us that is not included or delivered with this prospectus. Such information is available without charge to holders of the old notes upon written or oral request made to Weatherford International plc, 2000 St. James Place, Houston, Texas 77056, Attention: Investor Relations, Telephone: (713) 836-4000. To obtain timely delivery of any requested information, holders of the old notes must make any request no later than , 2019, which is five business days prior to the expiration of the exchange offer.</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the context requires otherwise or unless otherwise noted herein, as used in this prospectus:</w:t>
      </w:r>
    </w:p>
    <w:p>
      <w:pPr>
        <w:spacing w:after="0" w:line="194" w:lineRule="exact"/>
        <w:rPr>
          <w:sz w:val="20"/>
          <w:szCs w:val="20"/>
          <w:color w:val="auto"/>
        </w:rPr>
      </w:pPr>
    </w:p>
    <w:p>
      <w:pPr>
        <w:ind w:left="1060" w:hanging="519"/>
        <w:spacing w:after="0"/>
        <w:tabs>
          <w:tab w:leader="none" w:pos="106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“Weatherford Ireland” refers to Weatherford International plc, an Irish public limited company.</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“Weatherford Bermuda” refers to Weatherford International Ltd., a Bermuda exempted company and wholly owned, indirect subsidiary of Weatherford Ireland.</w:t>
      </w:r>
    </w:p>
    <w:p>
      <w:pPr>
        <w:spacing w:after="0" w:line="205" w:lineRule="exact"/>
        <w:rPr>
          <w:rFonts w:ascii="Arial" w:cs="Arial" w:eastAsia="Arial" w:hAnsi="Arial"/>
          <w:sz w:val="14"/>
          <w:szCs w:val="14"/>
          <w:color w:val="auto"/>
        </w:rPr>
      </w:pPr>
    </w:p>
    <w:p>
      <w:pPr>
        <w:ind w:left="1060" w:hanging="519"/>
        <w:spacing w:after="0"/>
        <w:tabs>
          <w:tab w:leader="none" w:pos="10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“Weatherford Delaware” refers to Weatherford International, LLC, a Delaware limited liability company and wholly owned, indirect subsidiary of Weatherford Ireland.</w:t>
      </w:r>
    </w:p>
    <w:p>
      <w:pPr>
        <w:spacing w:after="0" w:line="205" w:lineRule="exact"/>
        <w:rPr>
          <w:rFonts w:ascii="Arial" w:cs="Arial" w:eastAsia="Arial" w:hAnsi="Arial"/>
          <w:sz w:val="14"/>
          <w:szCs w:val="14"/>
          <w:color w:val="auto"/>
        </w:rPr>
      </w:pPr>
    </w:p>
    <w:p>
      <w:pPr>
        <w:ind w:left="1100" w:right="300" w:hanging="559"/>
        <w:spacing w:after="0" w:line="284" w:lineRule="auto"/>
        <w:tabs>
          <w:tab w:leader="none" w:pos="1069"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“us” or “our” refers to Weatherford Ireland and its subsidiaries (including Weatherford Bermuda and Weatherford Delaware) on a consolidated basis, unless in relation to the terms of the new notes, in which case such terms refer to Weatherford Delaware, as the issuer of the new notes.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FORWARD-LOOKING STATEMENTS</w:t>
      </w:r>
    </w:p>
    <w:p>
      <w:pPr>
        <w:spacing w:after="0" w:line="198" w:lineRule="exact"/>
        <w:rPr>
          <w:sz w:val="20"/>
          <w:szCs w:val="20"/>
          <w:color w:val="auto"/>
        </w:rPr>
      </w:pPr>
    </w:p>
    <w:p>
      <w:pPr>
        <w:jc w:val="both"/>
        <w:ind w:right="120" w:firstLine="549"/>
        <w:spacing w:after="0" w:line="264" w:lineRule="auto"/>
        <w:rPr>
          <w:sz w:val="20"/>
          <w:szCs w:val="20"/>
          <w:color w:val="auto"/>
        </w:rPr>
      </w:pPr>
      <w:r>
        <w:rPr>
          <w:rFonts w:ascii="Arial" w:cs="Arial" w:eastAsia="Arial" w:hAnsi="Arial"/>
          <w:sz w:val="15"/>
          <w:szCs w:val="15"/>
          <w:color w:val="auto"/>
        </w:rPr>
        <w:t>This prospectus includes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57" w:lineRule="exact"/>
        <w:rPr>
          <w:sz w:val="20"/>
          <w:szCs w:val="20"/>
          <w:color w:val="auto"/>
        </w:rPr>
      </w:pPr>
    </w:p>
    <w:p>
      <w:pPr>
        <w:ind w:firstLine="549"/>
        <w:spacing w:after="0" w:line="279" w:lineRule="auto"/>
        <w:rPr>
          <w:sz w:val="20"/>
          <w:szCs w:val="20"/>
          <w:color w:val="auto"/>
        </w:rPr>
      </w:pPr>
      <w:r>
        <w:rPr>
          <w:rFonts w:ascii="Arial" w:cs="Arial" w:eastAsia="Arial" w:hAnsi="Arial"/>
          <w:sz w:val="14"/>
          <w:szCs w:val="14"/>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in this prospectus, Weatherford Ireland’s Annual Report on Form 10-K for the year ended December 31, 2017 (the “Form 10-K”) and the following:</w:t>
      </w:r>
    </w:p>
    <w:p>
      <w:pPr>
        <w:spacing w:after="0" w:line="151" w:lineRule="exact"/>
        <w:rPr>
          <w:sz w:val="20"/>
          <w:szCs w:val="20"/>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price and price volatility of oil, natural gas and natural gas liquids;</w:t>
      </w:r>
    </w:p>
    <w:p>
      <w:pPr>
        <w:spacing w:after="0" w:line="193" w:lineRule="exact"/>
        <w:rPr>
          <w:rFonts w:ascii="Arial" w:cs="Arial" w:eastAsia="Arial" w:hAnsi="Arial"/>
          <w:sz w:val="15"/>
          <w:szCs w:val="15"/>
          <w:color w:val="auto"/>
        </w:rPr>
      </w:pPr>
    </w:p>
    <w:p>
      <w:pPr>
        <w:ind w:left="1100" w:right="300" w:hanging="559"/>
        <w:spacing w:after="0" w:line="284" w:lineRule="auto"/>
        <w:tabs>
          <w:tab w:leader="none" w:pos="1069" w:val="left"/>
        </w:tabs>
        <w:numPr>
          <w:ilvl w:val="0"/>
          <w:numId w:val="3"/>
        </w:numPr>
        <w:rPr>
          <w:rFonts w:ascii="Arial" w:cs="Arial" w:eastAsia="Arial" w:hAnsi="Arial"/>
          <w:sz w:val="15"/>
          <w:szCs w:val="15"/>
          <w:color w:val="auto"/>
        </w:rPr>
      </w:pPr>
      <w:r>
        <w:rPr>
          <w:rFonts w:ascii="Arial" w:cs="Arial" w:eastAsia="Arial" w:hAnsi="Arial"/>
          <w:sz w:val="15"/>
          <w:szCs w:val="15"/>
          <w:color w:val="auto"/>
        </w:rPr>
        <w:t>global political, economic and market conditions, political disturbances, war, terrorist attacks, changes in global trade policies, weak local economic conditions and international currency fluctuations;</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nonrealization of expected benefits from our acquisitions or business dispositions and our ability to timely execute or close such acquisitions and dispositions;</w:t>
      </w:r>
    </w:p>
    <w:p>
      <w:pPr>
        <w:spacing w:after="0" w:line="205" w:lineRule="exact"/>
        <w:rPr>
          <w:rFonts w:ascii="Arial" w:cs="Arial" w:eastAsia="Arial" w:hAnsi="Arial"/>
          <w:sz w:val="14"/>
          <w:szCs w:val="14"/>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divest certain non-core assets of our business;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realize expected revenues and profitability levels from current and future contracts;</w:t>
      </w:r>
    </w:p>
    <w:p>
      <w:pPr>
        <w:spacing w:after="0" w:line="193" w:lineRule="exact"/>
        <w:rPr>
          <w:rFonts w:ascii="Arial" w:cs="Arial" w:eastAsia="Arial" w:hAnsi="Arial"/>
          <w:sz w:val="15"/>
          <w:szCs w:val="15"/>
          <w:color w:val="auto"/>
        </w:rPr>
      </w:pPr>
    </w:p>
    <w:p>
      <w:pPr>
        <w:ind w:left="1100" w:right="480" w:hanging="559"/>
        <w:spacing w:after="0" w:line="365" w:lineRule="auto"/>
        <w:tabs>
          <w:tab w:leader="none" w:pos="1069"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94" w:lineRule="exact"/>
        <w:rPr>
          <w:rFonts w:ascii="Arial" w:cs="Arial" w:eastAsia="Arial" w:hAnsi="Arial"/>
          <w:sz w:val="13"/>
          <w:szCs w:val="13"/>
          <w:color w:val="auto"/>
        </w:rPr>
      </w:pPr>
    </w:p>
    <w:p>
      <w:pPr>
        <w:ind w:left="1100" w:right="80" w:hanging="559"/>
        <w:spacing w:after="0" w:line="284" w:lineRule="auto"/>
        <w:tabs>
          <w:tab w:leader="none" w:pos="1069"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high level of indebtedness and its impact on our ability to generate sufficient liquidity or cash flow to fund our operations or otherwise meet our obligations as they come due;</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meet the continued listing standards required by the New York Stock Exchange (the “NYSE”);</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increases in the prices and availability of our raw materials;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potential non-cash asset impairment charges for long-lived assets, goodwill, intangible assets or other assets;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to our effective tax rate;</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realize cost savings and business enhancements from our transformation efforts;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downturns in our industry which could affect the carrying value of our goodwill;</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60" w:hanging="519"/>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member-country quota compliance within the Organization of Petroleum Exporting Countries;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adverse weather conditions in certain regions of our operations;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realize the expected benefits from our redomestication from Switzerland to Ireland and to maintain our Swiss tax residency;</w:t>
      </w:r>
    </w:p>
    <w:p>
      <w:pPr>
        <w:spacing w:after="0" w:line="193" w:lineRule="exact"/>
        <w:rPr>
          <w:rFonts w:ascii="Arial" w:cs="Arial" w:eastAsia="Arial" w:hAnsi="Arial"/>
          <w:sz w:val="15"/>
          <w:szCs w:val="15"/>
          <w:color w:val="auto"/>
        </w:rPr>
      </w:pPr>
    </w:p>
    <w:p>
      <w:pPr>
        <w:ind w:left="1100" w:right="80" w:hanging="559"/>
        <w:spacing w:after="0" w:line="284" w:lineRule="auto"/>
        <w:tabs>
          <w:tab w:leader="none" w:pos="1069"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ensure on-going compliance with current and future laws and government regulations, including but not limited to environmental and tax and accounting laws, rules and regulations;</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attract, motivate and retain employees, including key personnel;</w:t>
      </w:r>
    </w:p>
    <w:p>
      <w:pPr>
        <w:spacing w:after="0" w:line="193" w:lineRule="exact"/>
        <w:rPr>
          <w:rFonts w:ascii="Arial" w:cs="Arial" w:eastAsia="Arial" w:hAnsi="Arial"/>
          <w:sz w:val="15"/>
          <w:szCs w:val="15"/>
          <w:color w:val="auto"/>
        </w:rPr>
      </w:pPr>
    </w:p>
    <w:p>
      <w:pPr>
        <w:ind w:left="1100" w:right="480" w:hanging="559"/>
        <w:spacing w:after="0" w:line="322" w:lineRule="auto"/>
        <w:tabs>
          <w:tab w:leader="none" w:pos="1069" w:val="left"/>
        </w:tabs>
        <w:numPr>
          <w:ilvl w:val="0"/>
          <w:numId w:val="4"/>
        </w:numPr>
        <w:rPr>
          <w:rFonts w:ascii="Arial" w:cs="Arial" w:eastAsia="Arial" w:hAnsi="Arial"/>
          <w:sz w:val="14"/>
          <w:szCs w:val="14"/>
          <w:color w:val="auto"/>
        </w:rPr>
      </w:pPr>
      <w:r>
        <w:rPr>
          <w:rFonts w:ascii="Arial" w:cs="Arial" w:eastAsia="Arial" w:hAnsi="Arial"/>
          <w:sz w:val="14"/>
          <w:szCs w:val="14"/>
          <w:color w:val="auto"/>
        </w:rPr>
        <w:t>limited authorized share capital, access to capital, significantly higher cost of capital, or difficulty or inability to raise additional funds in the equity or debt capital markets or from other financing sources, including as a result of changes in market conditions, our financial condition or our credit rating; and</w:t>
      </w:r>
    </w:p>
    <w:p>
      <w:pPr>
        <w:spacing w:after="0" w:line="117" w:lineRule="exact"/>
        <w:rPr>
          <w:rFonts w:ascii="Arial" w:cs="Arial" w:eastAsia="Arial" w:hAnsi="Arial"/>
          <w:sz w:val="14"/>
          <w:szCs w:val="14"/>
          <w:color w:val="auto"/>
        </w:rPr>
      </w:pPr>
    </w:p>
    <w:p>
      <w:pPr>
        <w:ind w:left="1100" w:right="220" w:hanging="559"/>
        <w:spacing w:after="0" w:line="284" w:lineRule="auto"/>
        <w:tabs>
          <w:tab w:leader="none" w:pos="1069"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timely extend and/or refinance our Credit Agreements (as defined below) on terms favorable to us and comply with restrictions and covenants contained therein.</w:t>
      </w:r>
    </w:p>
    <w:p>
      <w:pPr>
        <w:spacing w:after="0" w:line="141"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Finally, our future results will depend upon various other risks and uncertainties, including, but not limited to, those detailed in our other filings with the Securities and Exchange Commission (the “SEC”) under the Securities Exchange Act of 1934, as amended (the “Exchange Act”), and the Securities Act. For additional information regarding risks and uncertainties, see “Where You Can Find More Information.” Developments in any of these areas could cause actual results to differ materially from those anticipated or projected or cause a significant reduction in the market price of our ordinary shares or notes. The foregoing list of risks and uncertainties may not contain all of the risks and uncertainties that could affect us. In addition, in light of these risks and uncertainties, the matters referred to in the forward-looking statements in this prospectus may not in fact occur. Accordingly, undue reliance should not be placed on these statements. We undertake no obligation to publicly update or revise any forward-looking statements as a result of new information, future events or otherwise, except as otherwise provided by law.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PROSPECTUS SUMMARY</w:t>
      </w:r>
    </w:p>
    <w:p>
      <w:pPr>
        <w:spacing w:after="0" w:line="198" w:lineRule="exact"/>
        <w:rPr>
          <w:sz w:val="20"/>
          <w:szCs w:val="20"/>
          <w:color w:val="auto"/>
        </w:rPr>
      </w:pPr>
    </w:p>
    <w:p>
      <w:pPr>
        <w:ind w:right="20" w:firstLine="549"/>
        <w:spacing w:after="0" w:line="289" w:lineRule="auto"/>
        <w:rPr>
          <w:sz w:val="20"/>
          <w:szCs w:val="20"/>
          <w:color w:val="auto"/>
        </w:rPr>
      </w:pPr>
      <w:r>
        <w:rPr>
          <w:rFonts w:ascii="Arial" w:cs="Arial" w:eastAsia="Arial" w:hAnsi="Arial"/>
          <w:sz w:val="14"/>
          <w:szCs w:val="14"/>
          <w:i w:val="1"/>
          <w:iCs w:val="1"/>
          <w:color w:val="auto"/>
        </w:rPr>
        <w:t>This summary provides a brief overview of information included or incorporated by reference in this prospectus. Because it is abbreviated, this summary does not contain all of the information that you should consider before investing in the notes. You should read the entire prospectus carefully, including the section entitled “Risk Factors” in this prospectus, in our Annual Report on Form 10-K for the fiscal year ended December 31, 2017 and our Quarterly Reports on Form 10-Q for the fiscal quarters ended March 31, 2018, June 30, 2018 and September 30, 2018, which are incorporated herein by reference, before making a decision to exchange old notes for new notes.</w:t>
      </w:r>
    </w:p>
    <w:p>
      <w:pPr>
        <w:spacing w:after="0" w:line="140" w:lineRule="exact"/>
        <w:rPr>
          <w:sz w:val="20"/>
          <w:szCs w:val="20"/>
          <w:color w:val="auto"/>
        </w:rPr>
      </w:pPr>
    </w:p>
    <w:p>
      <w:pPr>
        <w:ind w:firstLine="549"/>
        <w:spacing w:after="0" w:line="282" w:lineRule="auto"/>
        <w:rPr>
          <w:sz w:val="20"/>
          <w:szCs w:val="20"/>
          <w:color w:val="auto"/>
        </w:rPr>
      </w:pPr>
      <w:r>
        <w:rPr>
          <w:rFonts w:ascii="Arial" w:cs="Arial" w:eastAsia="Arial" w:hAnsi="Arial"/>
          <w:sz w:val="14"/>
          <w:szCs w:val="14"/>
          <w:i w:val="1"/>
          <w:iCs w:val="1"/>
          <w:color w:val="auto"/>
        </w:rPr>
        <w:t>Unless the context requires otherwise or unless otherwise noted, as used in this prospectus: “Weatherford Ireland” refers to Weatherford International plc, an Irish public limited company, and a guarantor of the new notes; “Weatherford Bermuda” refers to Weatherford International Ltd., a Bermuda exempted company and wholly owned, indirect subsidiary of Weatherford Ireland, and a guarantor of the new notes; “Weatherford Delaware” refers to Weatherford International, LLC, a Delaware limited liability company and wholly owned, indirect subsidiary of Weatherford Ireland, and the issuer of the new notes; and, “we,” “us” or “our” refers to Weatherford Ireland and its subsidiaries (including Weatherford Bermuda and Weatherford Delaware) on a consolidated basis, unless in relation to the terms of the new notes, in which case such terms refer to Weatherford Delaware, as the issuer of the new notes. The financial statements incorporated by reference in this prospectus are those of Weatherford Ireland.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Overview</w:t>
      </w:r>
    </w:p>
    <w:p>
      <w:pPr>
        <w:spacing w:after="0" w:line="198" w:lineRule="exact"/>
        <w:rPr>
          <w:sz w:val="20"/>
          <w:szCs w:val="20"/>
          <w:color w:val="auto"/>
        </w:rPr>
      </w:pPr>
    </w:p>
    <w:p>
      <w:pPr>
        <w:ind w:right="140" w:firstLine="549"/>
        <w:spacing w:after="0" w:line="269" w:lineRule="auto"/>
        <w:rPr>
          <w:sz w:val="20"/>
          <w:szCs w:val="20"/>
          <w:color w:val="auto"/>
        </w:rPr>
      </w:pPr>
      <w:r>
        <w:rPr>
          <w:rFonts w:ascii="Arial" w:cs="Arial" w:eastAsia="Arial" w:hAnsi="Arial"/>
          <w:sz w:val="15"/>
          <w:szCs w:val="15"/>
          <w:color w:val="auto"/>
        </w:rPr>
        <w:t>We are a multinational oilfield service company and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approximately 90 countries and have service and sales locations in nearly all of the oil and natural gas producing regions in the world.</w:t>
      </w:r>
    </w:p>
    <w:p>
      <w:pPr>
        <w:spacing w:after="0" w:line="152" w:lineRule="exact"/>
        <w:rPr>
          <w:sz w:val="20"/>
          <w:szCs w:val="20"/>
          <w:color w:val="auto"/>
        </w:rPr>
      </w:pPr>
    </w:p>
    <w:p>
      <w:pPr>
        <w:ind w:right="360" w:firstLine="549"/>
        <w:spacing w:after="0" w:line="269" w:lineRule="auto"/>
        <w:rPr>
          <w:sz w:val="20"/>
          <w:szCs w:val="20"/>
          <w:color w:val="auto"/>
        </w:rPr>
      </w:pPr>
      <w:r>
        <w:rPr>
          <w:rFonts w:ascii="Arial" w:cs="Arial" w:eastAsia="Arial" w:hAnsi="Arial"/>
          <w:sz w:val="15"/>
          <w:szCs w:val="15"/>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52" w:lineRule="exact"/>
        <w:rPr>
          <w:sz w:val="20"/>
          <w:szCs w:val="20"/>
          <w:color w:val="auto"/>
        </w:rPr>
      </w:pPr>
    </w:p>
    <w:p>
      <w:pPr>
        <w:jc w:val="both"/>
        <w:ind w:right="500" w:firstLine="549"/>
        <w:spacing w:after="0" w:line="365" w:lineRule="auto"/>
        <w:rPr>
          <w:sz w:val="20"/>
          <w:szCs w:val="20"/>
          <w:color w:val="auto"/>
        </w:rPr>
      </w:pPr>
      <w:r>
        <w:rPr>
          <w:rFonts w:ascii="Arial" w:cs="Arial" w:eastAsia="Arial" w:hAnsi="Arial"/>
          <w:sz w:val="13"/>
          <w:szCs w:val="13"/>
          <w:color w:val="auto"/>
        </w:rPr>
        <w:t>For a further discussion of our business, we urge you to read our Annual Report on Form 10-K for the fiscal year ended December 31, 2017 and our Quarterly Reports on Form 10-Q for the fiscal quarters ended March 31, 2018, June 30, 2018 and September 30, 2018. See “Where You Can Find Additional Information; Incorporation by Reference.”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Corporate Information</w:t>
      </w:r>
    </w:p>
    <w:p>
      <w:pPr>
        <w:spacing w:after="0" w:line="198"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Our headquarters are located at Weststrasse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On our website we make available, free of charge, Weatherford Ireland’s annual reports on Form 10-K, quarterly reports on Form 10-Q, current reports on Form 8-K, and amendments to those reports filed or furnished pursuant to Section 13(a) or 15(d) of the Exchange Act as soon as reasonably practicable after we electronically file with or furnish them to the SEC. Except for information specifically incorporated by reference into this prospectus that may be accessed from our website, however, the information on, or otherwise accessible through, our website or any other website does not constitute a part of this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Exchange Offer</w:t>
      </w:r>
    </w:p>
    <w:p>
      <w:pPr>
        <w:spacing w:after="0" w:line="198" w:lineRule="exact"/>
        <w:rPr>
          <w:sz w:val="20"/>
          <w:szCs w:val="20"/>
          <w:color w:val="auto"/>
        </w:rPr>
      </w:pPr>
    </w:p>
    <w:p>
      <w:pPr>
        <w:ind w:right="20" w:firstLine="549"/>
        <w:spacing w:after="0" w:line="264" w:lineRule="auto"/>
        <w:rPr>
          <w:sz w:val="20"/>
          <w:szCs w:val="20"/>
          <w:color w:val="auto"/>
        </w:rPr>
      </w:pPr>
      <w:r>
        <w:rPr>
          <w:rFonts w:ascii="Arial" w:cs="Arial" w:eastAsia="Arial" w:hAnsi="Arial"/>
          <w:sz w:val="15"/>
          <w:szCs w:val="15"/>
          <w:color w:val="auto"/>
        </w:rPr>
        <w:t>On February 28, 2018, we completed a private offering of $600 million aggregate principal amount of our 9.875% Senior Notes due 2025 to persons reasonably believed to be qualified institutional buyers under Rule 144A of the Securities Act (“Rule 144A”) and non-U.S. persons outside the United States under Regulation S under the Securities Act (“Regulation S”). We refer to these notes in this prospectus as the “old notes.” In connection with the offering, we entered into a registration rights agreement with the initial purchasers of the old notes in which we agreed,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7" w:name="page8"/>
    <w:bookmarkEnd w:id="7"/>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0" w:right="60"/>
        <w:spacing w:after="0" w:line="269" w:lineRule="auto"/>
        <w:rPr>
          <w:sz w:val="20"/>
          <w:szCs w:val="20"/>
          <w:color w:val="auto"/>
        </w:rPr>
      </w:pPr>
      <w:r>
        <w:rPr>
          <w:rFonts w:ascii="Arial" w:cs="Arial" w:eastAsia="Arial" w:hAnsi="Arial"/>
          <w:sz w:val="15"/>
          <w:szCs w:val="15"/>
          <w:color w:val="auto"/>
        </w:rPr>
        <w:t>among other things, to deliver this prospectus to you and to use our commercially reasonable efforts to complete the exchange offer on or prior to April 4, 2019 or file and have a shelf registration statement declared effective on or before the date required by the registration rights agreement and complete the exchange offer not later than 60 days after such effective date. The following is a summary of the exchange offer.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tcPr>
          <w:p>
            <w:pPr>
              <w:ind w:left="160"/>
              <w:spacing w:after="0"/>
              <w:rPr>
                <w:sz w:val="20"/>
                <w:szCs w:val="20"/>
                <w:color w:val="auto"/>
              </w:rPr>
            </w:pPr>
            <w:r>
              <w:rPr>
                <w:rFonts w:ascii="Arial" w:cs="Arial" w:eastAsia="Arial" w:hAnsi="Arial"/>
                <w:sz w:val="15"/>
                <w:szCs w:val="15"/>
                <w:b w:val="1"/>
                <w:bCs w:val="1"/>
                <w:color w:val="auto"/>
              </w:rPr>
              <w:t>Old Notes</w:t>
            </w: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4"/>
              </w:rPr>
              <w:t>On February 28, 2018, we issued $600 million aggregate principal amount of 9.875% Senior Notes due 2025.</w:t>
            </w:r>
          </w:p>
        </w:tc>
      </w:tr>
      <w:tr>
        <w:trPr>
          <w:trHeight w:val="366"/>
        </w:trPr>
        <w:tc>
          <w:tcPr>
            <w:tcW w:w="3580" w:type="dxa"/>
            <w:vAlign w:val="bottom"/>
          </w:tcPr>
          <w:p>
            <w:pPr>
              <w:ind w:left="160"/>
              <w:spacing w:after="0"/>
              <w:rPr>
                <w:sz w:val="20"/>
                <w:szCs w:val="20"/>
                <w:color w:val="auto"/>
              </w:rPr>
            </w:pPr>
            <w:r>
              <w:rPr>
                <w:rFonts w:ascii="Arial" w:cs="Arial" w:eastAsia="Arial" w:hAnsi="Arial"/>
                <w:sz w:val="15"/>
                <w:szCs w:val="15"/>
                <w:b w:val="1"/>
                <w:bCs w:val="1"/>
                <w:color w:val="auto"/>
              </w:rPr>
              <w:t>New Notes</w:t>
            </w: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9.875% Senior Notes due 2025.</w:t>
            </w:r>
          </w:p>
        </w:tc>
      </w:tr>
      <w:tr>
        <w:trPr>
          <w:trHeight w:val="355"/>
        </w:trPr>
        <w:tc>
          <w:tcPr>
            <w:tcW w:w="3580" w:type="dxa"/>
            <w:vAlign w:val="bottom"/>
          </w:tcPr>
          <w:p>
            <w:pPr>
              <w:spacing w:after="0"/>
              <w:rPr>
                <w:sz w:val="24"/>
                <w:szCs w:val="24"/>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7"/>
              </w:rPr>
              <w:t>The terms of the new notes are substantially identical to the terms of the old notes, except that the transfer</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4"/>
              </w:rPr>
              <w:t>restrictions, registration rights and provisions for additional interest relating to the old notes do not apply to the</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new notes. The new notes offered hereby, together with any old notes that remain outstanding after the</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completion of the exchange offer, will be treated as a single class for all purposes under the indenture,</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6"/>
              </w:rPr>
              <w:t>including, without limitation, waivers, amendments, redemptions and offers to purchase. The new notes will</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5"/>
              </w:rPr>
              <w:t>have a CUSIP number different from that of any old notes that remain outstanding after the completion of the</w:t>
            </w:r>
          </w:p>
        </w:tc>
      </w:tr>
      <w:tr>
        <w:trPr>
          <w:trHeight w:val="194"/>
        </w:trPr>
        <w:tc>
          <w:tcPr>
            <w:tcW w:w="3580" w:type="dxa"/>
            <w:vAlign w:val="bottom"/>
          </w:tcPr>
          <w:p>
            <w:pPr>
              <w:spacing w:after="0"/>
              <w:rPr>
                <w:sz w:val="16"/>
                <w:szCs w:val="16"/>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exchange offer.</w:t>
            </w:r>
          </w:p>
        </w:tc>
      </w:tr>
      <w:tr>
        <w:trPr>
          <w:trHeight w:val="355"/>
        </w:trPr>
        <w:tc>
          <w:tcPr>
            <w:tcW w:w="3580" w:type="dxa"/>
            <w:vAlign w:val="bottom"/>
          </w:tcPr>
          <w:p>
            <w:pPr>
              <w:ind w:left="160"/>
              <w:spacing w:after="0"/>
              <w:rPr>
                <w:sz w:val="20"/>
                <w:szCs w:val="20"/>
                <w:color w:val="auto"/>
              </w:rPr>
            </w:pPr>
            <w:r>
              <w:rPr>
                <w:rFonts w:ascii="Arial" w:cs="Arial" w:eastAsia="Arial" w:hAnsi="Arial"/>
                <w:sz w:val="15"/>
                <w:szCs w:val="15"/>
                <w:b w:val="1"/>
                <w:bCs w:val="1"/>
                <w:color w:val="auto"/>
              </w:rPr>
              <w:t>Exchange Offer</w:t>
            </w: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5"/>
              </w:rPr>
              <w:t>We are offering to exchange up to $600 million aggregate principal amount of our new 9.875% Senior Notes</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5"/>
              </w:rPr>
              <w:t>due 2025 that have been registered under the Securities Act for an equal amount of our outstanding 9.875%</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4"/>
              </w:rPr>
              <w:t>Senior Notes due 2025 that have not been so registered to satisfy our obligations under the registration rights</w:t>
            </w:r>
          </w:p>
        </w:tc>
      </w:tr>
      <w:tr>
        <w:trPr>
          <w:trHeight w:val="194"/>
        </w:trPr>
        <w:tc>
          <w:tcPr>
            <w:tcW w:w="3580" w:type="dxa"/>
            <w:vAlign w:val="bottom"/>
          </w:tcPr>
          <w:p>
            <w:pPr>
              <w:spacing w:after="0"/>
              <w:rPr>
                <w:sz w:val="16"/>
                <w:szCs w:val="16"/>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agreement that we entered into in connection with the issuance of the old notes.</w:t>
            </w:r>
          </w:p>
        </w:tc>
      </w:tr>
      <w:tr>
        <w:trPr>
          <w:trHeight w:val="355"/>
        </w:trPr>
        <w:tc>
          <w:tcPr>
            <w:tcW w:w="3580" w:type="dxa"/>
            <w:vAlign w:val="bottom"/>
          </w:tcPr>
          <w:p>
            <w:pPr>
              <w:ind w:left="160"/>
              <w:spacing w:after="0"/>
              <w:rPr>
                <w:sz w:val="20"/>
                <w:szCs w:val="20"/>
                <w:color w:val="auto"/>
              </w:rPr>
            </w:pPr>
            <w:r>
              <w:rPr>
                <w:rFonts w:ascii="Arial" w:cs="Arial" w:eastAsia="Arial" w:hAnsi="Arial"/>
                <w:sz w:val="15"/>
                <w:szCs w:val="15"/>
                <w:b w:val="1"/>
                <w:bCs w:val="1"/>
                <w:color w:val="auto"/>
              </w:rPr>
              <w:t>Expiration Date</w:t>
            </w: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7"/>
              </w:rPr>
              <w:t>The exchange offer will expire at 5:00 p.m., New York City time, on   ,   2019 (the “expiration date”) unless</w:t>
            </w:r>
          </w:p>
        </w:tc>
      </w:tr>
      <w:tr>
        <w:trPr>
          <w:trHeight w:val="194"/>
        </w:trPr>
        <w:tc>
          <w:tcPr>
            <w:tcW w:w="3580" w:type="dxa"/>
            <w:vAlign w:val="bottom"/>
          </w:tcPr>
          <w:p>
            <w:pPr>
              <w:spacing w:after="0"/>
              <w:rPr>
                <w:sz w:val="16"/>
                <w:szCs w:val="16"/>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we decide to extend such deadline.</w:t>
            </w:r>
          </w:p>
        </w:tc>
      </w:tr>
      <w:tr>
        <w:trPr>
          <w:trHeight w:val="355"/>
        </w:trPr>
        <w:tc>
          <w:tcPr>
            <w:tcW w:w="3580" w:type="dxa"/>
            <w:vAlign w:val="bottom"/>
          </w:tcPr>
          <w:p>
            <w:pPr>
              <w:ind w:left="160"/>
              <w:spacing w:after="0"/>
              <w:rPr>
                <w:sz w:val="20"/>
                <w:szCs w:val="20"/>
                <w:color w:val="auto"/>
              </w:rPr>
            </w:pPr>
            <w:r>
              <w:rPr>
                <w:rFonts w:ascii="Arial" w:cs="Arial" w:eastAsia="Arial" w:hAnsi="Arial"/>
                <w:sz w:val="15"/>
                <w:szCs w:val="15"/>
                <w:b w:val="1"/>
                <w:bCs w:val="1"/>
                <w:color w:val="auto"/>
              </w:rPr>
              <w:t>Conditions to the Exchange Offer</w:t>
            </w: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3"/>
              </w:rPr>
              <w:t>The registration rights agreement does not require us to accept old notes for exchange if the exchange offer, or</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3"/>
              </w:rPr>
              <w:t>the making of any exchange by a holder of the old notes, would violate any applicable law or policy of the SEC.</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4"/>
              </w:rPr>
              <w:t>The exchange offer is not conditioned on a minimum aggregate principal amount of old notes being tendered.</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4"/>
              </w:rPr>
              <w:t>Please read “Exchange Offer—Conditions to the Exchange Offer” for more information about the conditions to</w:t>
            </w:r>
          </w:p>
        </w:tc>
      </w:tr>
      <w:tr>
        <w:trPr>
          <w:trHeight w:val="194"/>
        </w:trPr>
        <w:tc>
          <w:tcPr>
            <w:tcW w:w="3580" w:type="dxa"/>
            <w:vAlign w:val="bottom"/>
          </w:tcPr>
          <w:p>
            <w:pPr>
              <w:spacing w:after="0"/>
              <w:rPr>
                <w:sz w:val="16"/>
                <w:szCs w:val="16"/>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the exchange offer.</w:t>
            </w:r>
          </w:p>
        </w:tc>
      </w:tr>
      <w:tr>
        <w:trPr>
          <w:trHeight w:val="355"/>
        </w:trPr>
        <w:tc>
          <w:tcPr>
            <w:tcW w:w="3580" w:type="dxa"/>
            <w:vAlign w:val="bottom"/>
          </w:tcPr>
          <w:p>
            <w:pPr>
              <w:ind w:left="200"/>
              <w:spacing w:after="0"/>
              <w:rPr>
                <w:sz w:val="20"/>
                <w:szCs w:val="20"/>
                <w:color w:val="auto"/>
              </w:rPr>
            </w:pPr>
            <w:r>
              <w:rPr>
                <w:rFonts w:ascii="Arial" w:cs="Arial" w:eastAsia="Arial" w:hAnsi="Arial"/>
                <w:sz w:val="15"/>
                <w:szCs w:val="15"/>
                <w:b w:val="1"/>
                <w:bCs w:val="1"/>
                <w:color w:val="auto"/>
              </w:rPr>
              <w:t>Procedures for Tendering Old Notes</w:t>
            </w: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All of the old notes are held in book-entry form through the facilities of The Depository Trust Company</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7"/>
              </w:rPr>
              <w:t>(“DTC”). To participate in the exchange offer, you must follow the automatic tender offer program (“ATOP”)</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3"/>
              </w:rPr>
              <w:t>procedures established by DTC for tendering notes held in book-entry form. The ATOP procedures require that</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1"/>
              </w:rPr>
              <w:t>(i) the exchange agent receive, prior to the expiration date, a computer generated message known as an “agent’s</w:t>
            </w:r>
          </w:p>
        </w:tc>
      </w:tr>
      <w:tr>
        <w:trPr>
          <w:trHeight w:val="194"/>
        </w:trPr>
        <w:tc>
          <w:tcPr>
            <w:tcW w:w="3580" w:type="dxa"/>
            <w:vAlign w:val="bottom"/>
          </w:tcPr>
          <w:p>
            <w:pPr>
              <w:spacing w:after="0"/>
              <w:rPr>
                <w:sz w:val="16"/>
                <w:szCs w:val="16"/>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message” that is transmitted through ATOP, and (ii) DTC confirm that:</w:t>
            </w:r>
          </w:p>
        </w:tc>
      </w:tr>
      <w:tr>
        <w:trPr>
          <w:trHeight w:val="366"/>
        </w:trPr>
        <w:tc>
          <w:tcPr>
            <w:tcW w:w="358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DTC has received your instructions to exchange your old notes, and</w:t>
            </w:r>
          </w:p>
        </w:tc>
      </w:tr>
      <w:tr>
        <w:trPr>
          <w:trHeight w:val="366"/>
        </w:trPr>
        <w:tc>
          <w:tcPr>
            <w:tcW w:w="358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you agree to be bound by the terms of the letter of transmittal included as Annex A hereto.</w:t>
            </w:r>
          </w:p>
        </w:tc>
      </w:tr>
      <w:tr>
        <w:trPr>
          <w:trHeight w:val="355"/>
        </w:trPr>
        <w:tc>
          <w:tcPr>
            <w:tcW w:w="3580" w:type="dxa"/>
            <w:vAlign w:val="bottom"/>
          </w:tcPr>
          <w:p>
            <w:pPr>
              <w:spacing w:after="0"/>
              <w:rPr>
                <w:sz w:val="24"/>
                <w:szCs w:val="24"/>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w w:val="99"/>
              </w:rPr>
              <w:t>For more information on tendering your old notes, please refer to the sections in this prospectus entitled</w:t>
            </w:r>
          </w:p>
        </w:tc>
      </w:tr>
      <w:tr>
        <w:trPr>
          <w:trHeight w:val="183"/>
        </w:trPr>
        <w:tc>
          <w:tcPr>
            <w:tcW w:w="3580" w:type="dxa"/>
            <w:vAlign w:val="bottom"/>
          </w:tcPr>
          <w:p>
            <w:pPr>
              <w:spacing w:after="0"/>
              <w:rPr>
                <w:sz w:val="15"/>
                <w:szCs w:val="15"/>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“Exchange Offer—Terms of the Exchange Offer,” “Exchange Offer—Procedures for Tendering” and</w:t>
            </w:r>
          </w:p>
        </w:tc>
      </w:tr>
      <w:tr>
        <w:trPr>
          <w:trHeight w:val="194"/>
        </w:trPr>
        <w:tc>
          <w:tcPr>
            <w:tcW w:w="3580" w:type="dxa"/>
            <w:vAlign w:val="bottom"/>
          </w:tcPr>
          <w:p>
            <w:pPr>
              <w:spacing w:after="0"/>
              <w:rPr>
                <w:sz w:val="16"/>
                <w:szCs w:val="16"/>
                <w:color w:val="auto"/>
              </w:rPr>
            </w:pPr>
          </w:p>
        </w:tc>
        <w:tc>
          <w:tcPr>
            <w:tcW w:w="7900" w:type="dxa"/>
            <w:vAlign w:val="bottom"/>
            <w:gridSpan w:val="2"/>
          </w:tcPr>
          <w:p>
            <w:pPr>
              <w:ind w:left="1020"/>
              <w:spacing w:after="0"/>
              <w:rPr>
                <w:sz w:val="20"/>
                <w:szCs w:val="20"/>
                <w:color w:val="auto"/>
              </w:rPr>
            </w:pPr>
            <w:r>
              <w:rPr>
                <w:rFonts w:ascii="Arial" w:cs="Arial" w:eastAsia="Arial" w:hAnsi="Arial"/>
                <w:sz w:val="15"/>
                <w:szCs w:val="15"/>
                <w:color w:val="auto"/>
              </w:rPr>
              <w:t>“Description of New Notes—Book-Entry, Delivery and Form.”</w:t>
            </w:r>
          </w:p>
        </w:tc>
      </w:tr>
      <w:tr>
        <w:trPr>
          <w:trHeight w:val="366"/>
        </w:trPr>
        <w:tc>
          <w:tcPr>
            <w:tcW w:w="3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0" w:type="dxa"/>
            <w:vAlign w:val="bottom"/>
          </w:tcPr>
          <w:p>
            <w:pPr>
              <w:jc w:val="right"/>
              <w:ind w:right="5624"/>
              <w:spacing w:after="0"/>
              <w:rPr>
                <w:sz w:val="20"/>
                <w:szCs w:val="20"/>
                <w:color w:val="auto"/>
              </w:rPr>
            </w:pPr>
            <w:r>
              <w:rPr>
                <w:rFonts w:ascii="Arial" w:cs="Arial" w:eastAsia="Arial" w:hAnsi="Arial"/>
                <w:sz w:val="15"/>
                <w:szCs w:val="15"/>
                <w:color w:val="auto"/>
              </w:rPr>
              <w:t>2</w:t>
            </w:r>
          </w:p>
        </w:tc>
      </w:tr>
      <w:tr>
        <w:trPr>
          <w:trHeight w:val="110"/>
        </w:trPr>
        <w:tc>
          <w:tcPr>
            <w:tcW w:w="35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2960" w:type="dxa"/>
            <w:vAlign w:val="bottom"/>
          </w:tcPr>
          <w:p>
            <w:pPr>
              <w:spacing w:after="0"/>
              <w:rPr>
                <w:sz w:val="14"/>
                <w:szCs w:val="14"/>
                <w:color w:val="auto"/>
              </w:rPr>
            </w:pPr>
          </w:p>
        </w:tc>
        <w:tc>
          <w:tcPr>
            <w:tcW w:w="7420" w:type="dxa"/>
            <w:vAlign w:val="bottom"/>
          </w:tcPr>
          <w:p>
            <w:pPr>
              <w:spacing w:after="0"/>
              <w:rPr>
                <w:sz w:val="14"/>
                <w:szCs w:val="14"/>
                <w:color w:val="auto"/>
              </w:rPr>
            </w:pPr>
          </w:p>
        </w:tc>
      </w:tr>
      <w:tr>
        <w:trPr>
          <w:trHeight w:val="381"/>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Guaranteed Delivery Procedures</w:t>
            </w:r>
          </w:p>
        </w:tc>
        <w:tc>
          <w:tcPr>
            <w:tcW w:w="7420" w:type="dxa"/>
            <w:vAlign w:val="bottom"/>
          </w:tcPr>
          <w:p>
            <w:pPr>
              <w:ind w:left="540"/>
              <w:spacing w:after="0"/>
              <w:rPr>
                <w:sz w:val="20"/>
                <w:szCs w:val="20"/>
                <w:color w:val="auto"/>
              </w:rPr>
            </w:pPr>
            <w:r>
              <w:rPr>
                <w:rFonts w:ascii="Arial" w:cs="Arial" w:eastAsia="Arial" w:hAnsi="Arial"/>
                <w:sz w:val="15"/>
                <w:szCs w:val="15"/>
                <w:color w:val="auto"/>
              </w:rPr>
              <w:t>None.</w:t>
            </w:r>
          </w:p>
        </w:tc>
      </w:tr>
      <w:tr>
        <w:trPr>
          <w:trHeight w:val="355"/>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Withdrawal of Tenders</w:t>
            </w:r>
          </w:p>
        </w:tc>
        <w:tc>
          <w:tcPr>
            <w:tcW w:w="7420" w:type="dxa"/>
            <w:vAlign w:val="bottom"/>
          </w:tcPr>
          <w:p>
            <w:pPr>
              <w:ind w:left="540"/>
              <w:spacing w:after="0"/>
              <w:rPr>
                <w:sz w:val="20"/>
                <w:szCs w:val="20"/>
                <w:color w:val="auto"/>
              </w:rPr>
            </w:pPr>
            <w:r>
              <w:rPr>
                <w:rFonts w:ascii="Arial" w:cs="Arial" w:eastAsia="Arial" w:hAnsi="Arial"/>
                <w:sz w:val="15"/>
                <w:szCs w:val="15"/>
                <w:color w:val="auto"/>
                <w:w w:val="98"/>
              </w:rPr>
              <w:t>You may withdraw your tender of old notes at any time prior to the expiration date. To withdraw, you must</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5"/>
              </w:rPr>
              <w:t>submit a notice of withdrawal to the exchange agent using the Automated Tender Offer Program (“ATOP”) of</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6"/>
              </w:rPr>
              <w:t>The Depository Trust Company (“DTC”) procedures before 5:00 p.m., New York City time, on the expiration</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date. Please read “Exchange Offer—Withdrawal of Tenders.”</w:t>
            </w:r>
          </w:p>
        </w:tc>
      </w:tr>
      <w:tr>
        <w:trPr>
          <w:trHeight w:val="355"/>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Acceptance of Old Notes and Delivery of New Notes</w:t>
            </w:r>
          </w:p>
        </w:tc>
        <w:tc>
          <w:tcPr>
            <w:tcW w:w="7420" w:type="dxa"/>
            <w:vAlign w:val="bottom"/>
          </w:tcPr>
          <w:p>
            <w:pPr>
              <w:ind w:left="540"/>
              <w:spacing w:after="0"/>
              <w:rPr>
                <w:sz w:val="20"/>
                <w:szCs w:val="20"/>
                <w:color w:val="auto"/>
              </w:rPr>
            </w:pPr>
            <w:r>
              <w:rPr>
                <w:rFonts w:ascii="Arial" w:cs="Arial" w:eastAsia="Arial" w:hAnsi="Arial"/>
                <w:sz w:val="15"/>
                <w:szCs w:val="15"/>
                <w:color w:val="auto"/>
                <w:w w:val="94"/>
              </w:rPr>
              <w:t>If you fulfill all conditions required for proper acceptance of old notes, we will accept any and all old notes that</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4"/>
              </w:rPr>
              <w:t>you properly tender and do not withdraw in the exchange offer on or before 5:00 p.m., New York City time, on</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6"/>
              </w:rPr>
              <w:t>the expiration date. We will return any old notes that we do not accept for exchange to you without expense</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promptly after the expiration date through DTC’s ATOP procedures. Please refer to the section in this</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prospectus entitled “Exchange Offer—Terms of the Exchange Offer.”</w:t>
            </w:r>
          </w:p>
        </w:tc>
      </w:tr>
      <w:tr>
        <w:trPr>
          <w:trHeight w:val="366"/>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Fees and Expenses</w:t>
            </w:r>
          </w:p>
        </w:tc>
        <w:tc>
          <w:tcPr>
            <w:tcW w:w="7420" w:type="dxa"/>
            <w:vAlign w:val="bottom"/>
          </w:tcPr>
          <w:p>
            <w:pPr>
              <w:ind w:left="540"/>
              <w:spacing w:after="0"/>
              <w:rPr>
                <w:sz w:val="20"/>
                <w:szCs w:val="20"/>
                <w:color w:val="auto"/>
              </w:rPr>
            </w:pPr>
            <w:r>
              <w:rPr>
                <w:rFonts w:ascii="Arial" w:cs="Arial" w:eastAsia="Arial" w:hAnsi="Arial"/>
                <w:sz w:val="15"/>
                <w:szCs w:val="15"/>
                <w:color w:val="auto"/>
                <w:w w:val="94"/>
              </w:rPr>
              <w:t>We will bear all expenses related to the exchange offer. Please read “Exchange Offer—Fees and Expenses.”</w:t>
            </w:r>
          </w:p>
        </w:tc>
      </w:tr>
      <w:tr>
        <w:trPr>
          <w:trHeight w:val="355"/>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Use of Proceeds</w:t>
            </w:r>
          </w:p>
        </w:tc>
        <w:tc>
          <w:tcPr>
            <w:tcW w:w="7420" w:type="dxa"/>
            <w:vAlign w:val="bottom"/>
          </w:tcPr>
          <w:p>
            <w:pPr>
              <w:ind w:left="540"/>
              <w:spacing w:after="0"/>
              <w:rPr>
                <w:sz w:val="20"/>
                <w:szCs w:val="20"/>
                <w:color w:val="auto"/>
              </w:rPr>
            </w:pPr>
            <w:r>
              <w:rPr>
                <w:rFonts w:ascii="Arial" w:cs="Arial" w:eastAsia="Arial" w:hAnsi="Arial"/>
                <w:sz w:val="15"/>
                <w:szCs w:val="15"/>
                <w:color w:val="auto"/>
                <w:w w:val="93"/>
              </w:rPr>
              <w:t>We will not receive any proceeds from the issuance of the new notes. We are making the exchange offer solely</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to satisfy our obligations under the registration rights agreement.</w:t>
            </w:r>
          </w:p>
        </w:tc>
      </w:tr>
      <w:tr>
        <w:trPr>
          <w:trHeight w:val="355"/>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Consequences of Failure to Exchange Old Notes</w:t>
            </w:r>
          </w:p>
        </w:tc>
        <w:tc>
          <w:tcPr>
            <w:tcW w:w="7420" w:type="dxa"/>
            <w:vAlign w:val="bottom"/>
          </w:tcPr>
          <w:p>
            <w:pPr>
              <w:ind w:left="540"/>
              <w:spacing w:after="0"/>
              <w:rPr>
                <w:sz w:val="20"/>
                <w:szCs w:val="20"/>
                <w:color w:val="auto"/>
              </w:rPr>
            </w:pPr>
            <w:r>
              <w:rPr>
                <w:rFonts w:ascii="Arial" w:cs="Arial" w:eastAsia="Arial" w:hAnsi="Arial"/>
                <w:sz w:val="15"/>
                <w:szCs w:val="15"/>
                <w:color w:val="auto"/>
                <w:w w:val="93"/>
              </w:rPr>
              <w:t>If you do not exchange your old notes in the exchange offer, you will no longer be able to require us to register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6"/>
              </w:rPr>
              <w:t>the old notes under the Securities Act, except in limited circumstances provided under the registration rights</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2"/>
              </w:rPr>
              <w:t>agreement. In addition, you will not be able to resell, offer to resell or otherwise transfer the old notes unless we</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3"/>
              </w:rPr>
              <w:t>have registered the old notes under the Securities Act, or unless you resell, offer to resell or otherwise transfer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3"/>
              </w:rPr>
              <w:t>them under an exemption from the registration requirements of, or in a transaction not subject to, the Securities</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Act.</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3"/>
              </w:rPr>
              <w:t>In addition, after the consummation of the exchange offer, it is anticipated that the outstanding principal amount</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5"/>
              </w:rPr>
              <w:t>of the old notes available for trading will be significantly reduced. This reduced float may adversely affect the</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7"/>
              </w:rPr>
              <w:t>liquidity and market price of the old notes. A smaller outstanding principal amount of old notes available for</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trading may make the prices of old notes more volatile.</w:t>
            </w:r>
          </w:p>
        </w:tc>
      </w:tr>
      <w:tr>
        <w:trPr>
          <w:trHeight w:val="355"/>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U.S. Federal Income Tax Consequences</w:t>
            </w:r>
          </w:p>
        </w:tc>
        <w:tc>
          <w:tcPr>
            <w:tcW w:w="7420" w:type="dxa"/>
            <w:vAlign w:val="bottom"/>
          </w:tcPr>
          <w:p>
            <w:pPr>
              <w:ind w:left="540"/>
              <w:spacing w:after="0"/>
              <w:rPr>
                <w:sz w:val="20"/>
                <w:szCs w:val="20"/>
                <w:color w:val="auto"/>
              </w:rPr>
            </w:pPr>
            <w:r>
              <w:rPr>
                <w:rFonts w:ascii="Arial" w:cs="Arial" w:eastAsia="Arial" w:hAnsi="Arial"/>
                <w:sz w:val="15"/>
                <w:szCs w:val="15"/>
                <w:color w:val="auto"/>
                <w:w w:val="98"/>
              </w:rPr>
              <w:t>The exchange of old notes for new notes in the exchange offer will not be a taxable event for U.S. federal</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income tax purposes. Please read “Material United States Federal Income Tax Consequences.”</w:t>
            </w:r>
          </w:p>
        </w:tc>
      </w:tr>
      <w:tr>
        <w:trPr>
          <w:trHeight w:val="355"/>
        </w:trPr>
        <w:tc>
          <w:tcPr>
            <w:tcW w:w="2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5"/>
                <w:szCs w:val="15"/>
                <w:b w:val="1"/>
                <w:bCs w:val="1"/>
                <w:color w:val="auto"/>
              </w:rPr>
              <w:t>Exchange Agent</w:t>
            </w:r>
          </w:p>
        </w:tc>
        <w:tc>
          <w:tcPr>
            <w:tcW w:w="7420" w:type="dxa"/>
            <w:vAlign w:val="bottom"/>
          </w:tcPr>
          <w:p>
            <w:pPr>
              <w:ind w:left="540"/>
              <w:spacing w:after="0"/>
              <w:rPr>
                <w:sz w:val="20"/>
                <w:szCs w:val="20"/>
                <w:color w:val="auto"/>
              </w:rPr>
            </w:pPr>
            <w:r>
              <w:rPr>
                <w:rFonts w:ascii="Arial" w:cs="Arial" w:eastAsia="Arial" w:hAnsi="Arial"/>
                <w:sz w:val="15"/>
                <w:szCs w:val="15"/>
                <w:color w:val="auto"/>
                <w:w w:val="94"/>
              </w:rPr>
              <w:t>We have appointed Deutsche Bank Trust Company Americas as exchange agent for the exchange offer. You</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1"/>
              </w:rPr>
              <w:t>should direct questions and requests for assistance, requests for additional copies of this prospectus or the letter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3"/>
              </w:rPr>
              <w:t>of transmittal to the exchange agent addressed as follows: By registered and certified mail or by regular mail or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w w:val="97"/>
              </w:rPr>
              <w:t>courier: 60 Wall Street, MS NYC60-1630, New York, New York. Eligible institutions may make requests for</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20" w:type="dxa"/>
            <w:vAlign w:val="bottom"/>
          </w:tcPr>
          <w:p>
            <w:pPr>
              <w:ind w:left="540"/>
              <w:spacing w:after="0"/>
              <w:rPr>
                <w:sz w:val="20"/>
                <w:szCs w:val="20"/>
                <w:color w:val="auto"/>
              </w:rPr>
            </w:pPr>
            <w:r>
              <w:rPr>
                <w:rFonts w:ascii="Arial" w:cs="Arial" w:eastAsia="Arial" w:hAnsi="Arial"/>
                <w:sz w:val="15"/>
                <w:szCs w:val="15"/>
                <w:color w:val="auto"/>
              </w:rPr>
              <w:t>facsimile transmission at (615) 866-3889.</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20" w:type="dxa"/>
            <w:vAlign w:val="bottom"/>
          </w:tcPr>
          <w:p>
            <w:pPr>
              <w:ind w:left="1640"/>
              <w:spacing w:after="0"/>
              <w:rPr>
                <w:sz w:val="20"/>
                <w:szCs w:val="20"/>
                <w:color w:val="auto"/>
              </w:rPr>
            </w:pPr>
            <w:r>
              <w:rPr>
                <w:rFonts w:ascii="Arial" w:cs="Arial" w:eastAsia="Arial" w:hAnsi="Arial"/>
                <w:sz w:val="15"/>
                <w:szCs w:val="15"/>
                <w:color w:val="auto"/>
              </w:rPr>
              <w:t>3</w:t>
            </w:r>
          </w:p>
        </w:tc>
      </w:tr>
      <w:tr>
        <w:trPr>
          <w:trHeight w:val="110"/>
        </w:trPr>
        <w:tc>
          <w:tcPr>
            <w:tcW w:w="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16" w:right="199" w:bottom="1440" w:gutter="0" w:footer="0" w:header="0"/>
        </w:sectPr>
      </w:pPr>
    </w:p>
    <w:bookmarkStart w:id="9" w:name="page10"/>
    <w:bookmarkEnd w:id="9"/>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Terms of the New Notes</w:t>
      </w:r>
    </w:p>
    <w:p>
      <w:pPr>
        <w:spacing w:after="0" w:line="198" w:lineRule="exact"/>
        <w:rPr>
          <w:sz w:val="20"/>
          <w:szCs w:val="20"/>
          <w:color w:val="auto"/>
        </w:rPr>
      </w:pPr>
    </w:p>
    <w:p>
      <w:pPr>
        <w:ind w:left="20" w:right="60" w:firstLine="549"/>
        <w:spacing w:after="0" w:line="260" w:lineRule="auto"/>
        <w:rPr>
          <w:sz w:val="20"/>
          <w:szCs w:val="20"/>
          <w:color w:val="auto"/>
        </w:rPr>
      </w:pPr>
      <w:r>
        <w:rPr>
          <w:rFonts w:ascii="Arial" w:cs="Arial" w:eastAsia="Arial" w:hAnsi="Arial"/>
          <w:sz w:val="15"/>
          <w:szCs w:val="15"/>
          <w:i w:val="1"/>
          <w:iCs w:val="1"/>
          <w:color w:val="auto"/>
        </w:rPr>
        <w:t>The following summary contains basic information about the offering of the new notes and is not intended to be complete. It does not contain all the information that is important to you. For a more complete understanding of the new notes, see the section entitled “Description of New Notes” in this prospectus. For purposes of the following summary, references to “Weatherford Delaware,” “we,” “our” and “us” refer only to Weatherford International, LLC and not to its parent company, Weatherford International plc, or any of Weatherford International plc’s other subsidiaries, including Weatherford International Ltd.; references to “Weatherford Ireland” refer only to Weatherford International plc and not to any of its subsidiaries; references to “Weatherford Bermuda” refer only to Weatherford International Ltd. and not to any of its subsidiaries; and references to “guarantors” refer to Weatherford Ireland and Weatherford Bermuda together.</w:t>
      </w:r>
    </w:p>
    <w:p>
      <w:pPr>
        <w:spacing w:after="0" w:line="161" w:lineRule="exact"/>
        <w:rPr>
          <w:sz w:val="20"/>
          <w:szCs w:val="20"/>
          <w:color w:val="auto"/>
        </w:rPr>
      </w:pPr>
    </w:p>
    <w:p>
      <w:pPr>
        <w:ind w:left="20" w:right="60" w:firstLine="549"/>
        <w:spacing w:after="0" w:line="297" w:lineRule="auto"/>
        <w:rPr>
          <w:sz w:val="20"/>
          <w:szCs w:val="20"/>
          <w:color w:val="auto"/>
        </w:rPr>
      </w:pPr>
      <w:r>
        <w:rPr>
          <w:rFonts w:ascii="Arial" w:cs="Arial" w:eastAsia="Arial" w:hAnsi="Arial"/>
          <w:sz w:val="14"/>
          <w:szCs w:val="14"/>
          <w:color w:val="auto"/>
        </w:rPr>
        <w:t>The terms of the new notes will be substantially identical to the terms of the old notes, except that the new notes will be registered under the Securities Act and the transfer restrictions, registration rights and provisions for additional interest relating to the old notes do not apply to the new notes. The new notes will evidence the same debt as the old notes, and the same indenture that governs the old notes will govern the new notes. We sometimes refer to the new notes and the old notes collectively in this prospectus as “the notes.”</w:t>
      </w:r>
    </w:p>
    <w:p>
      <w:pPr>
        <w:spacing w:after="0" w:line="135" w:lineRule="exact"/>
        <w:rPr>
          <w:sz w:val="20"/>
          <w:szCs w:val="20"/>
          <w:color w:val="auto"/>
        </w:rPr>
      </w:pPr>
    </w:p>
    <w:p>
      <w:pPr>
        <w:ind w:left="20" w:right="40" w:firstLine="549"/>
        <w:spacing w:after="0" w:line="284" w:lineRule="auto"/>
        <w:rPr>
          <w:sz w:val="20"/>
          <w:szCs w:val="20"/>
          <w:color w:val="auto"/>
        </w:rPr>
      </w:pPr>
      <w:r>
        <w:rPr>
          <w:rFonts w:ascii="Arial" w:cs="Arial" w:eastAsia="Arial" w:hAnsi="Arial"/>
          <w:sz w:val="15"/>
          <w:szCs w:val="15"/>
          <w:color w:val="auto"/>
        </w:rPr>
        <w:t>The following summary contains basic information about the new notes and is not intended to be complete. It does not contain all information that may be important to you. For a more complete understanding of the new notes, please read “Description of New Notes.”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Issuer</w:t>
            </w: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Weatherford International, LLC.</w:t>
            </w:r>
          </w:p>
        </w:tc>
      </w:tr>
      <w:tr>
        <w:trPr>
          <w:trHeight w:val="355"/>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Guarantors</w:t>
            </w: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5"/>
              </w:rPr>
              <w:t>Each of Weatherford Ireland and Weatherford Bermuda will fully and unconditionally and jointly and severally</w:t>
            </w:r>
          </w:p>
        </w:tc>
      </w:tr>
      <w:tr>
        <w:trPr>
          <w:trHeight w:val="194"/>
        </w:trPr>
        <w:tc>
          <w:tcPr>
            <w:tcW w:w="2860" w:type="dxa"/>
            <w:vAlign w:val="bottom"/>
          </w:tcPr>
          <w:p>
            <w:pPr>
              <w:spacing w:after="0"/>
              <w:rPr>
                <w:sz w:val="16"/>
                <w:szCs w:val="16"/>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guarantee the notes on a senior, unsecured basis. See “Description of New Notes—Guarantees.”</w:t>
            </w:r>
          </w:p>
        </w:tc>
      </w:tr>
      <w:tr>
        <w:trPr>
          <w:trHeight w:val="366"/>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Notes offered</w:t>
            </w: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$600 million aggregate principal amount of 9.875% Senior Notes due 2025.</w:t>
            </w:r>
          </w:p>
        </w:tc>
      </w:tr>
      <w:tr>
        <w:trPr>
          <w:trHeight w:val="366"/>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Maturity Date</w:t>
            </w: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March 1, 2025, unless earlier redeemed.</w:t>
            </w:r>
          </w:p>
        </w:tc>
      </w:tr>
      <w:tr>
        <w:trPr>
          <w:trHeight w:val="366"/>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Interest rate</w:t>
            </w: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The notes will bear interest at 9.875% per year, accruing from February 28, 2018.</w:t>
            </w:r>
          </w:p>
        </w:tc>
      </w:tr>
      <w:tr>
        <w:trPr>
          <w:trHeight w:val="355"/>
        </w:trPr>
        <w:tc>
          <w:tcPr>
            <w:tcW w:w="2860" w:type="dxa"/>
            <w:vAlign w:val="bottom"/>
          </w:tcPr>
          <w:p>
            <w:pPr>
              <w:spacing w:after="0"/>
              <w:rPr>
                <w:sz w:val="24"/>
                <w:szCs w:val="24"/>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8"/>
              </w:rPr>
              <w:t>Interest on the notes will be payable semi-annually on May 1 and November 1 of each year. Interest from</w:t>
            </w:r>
          </w:p>
        </w:tc>
      </w:tr>
      <w:tr>
        <w:trPr>
          <w:trHeight w:val="183"/>
        </w:trPr>
        <w:tc>
          <w:tcPr>
            <w:tcW w:w="2860" w:type="dxa"/>
            <w:vAlign w:val="bottom"/>
          </w:tcPr>
          <w:p>
            <w:pPr>
              <w:spacing w:after="0"/>
              <w:rPr>
                <w:sz w:val="15"/>
                <w:szCs w:val="15"/>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3"/>
              </w:rPr>
              <w:t>November 1, 2024 to March 1, 2025 will be payable in cash in arrears on March 1, 2025 to holders at the close</w:t>
            </w:r>
          </w:p>
        </w:tc>
      </w:tr>
      <w:tr>
        <w:trPr>
          <w:trHeight w:val="183"/>
        </w:trPr>
        <w:tc>
          <w:tcPr>
            <w:tcW w:w="2860" w:type="dxa"/>
            <w:vAlign w:val="bottom"/>
          </w:tcPr>
          <w:p>
            <w:pPr>
              <w:spacing w:after="0"/>
              <w:rPr>
                <w:sz w:val="15"/>
                <w:szCs w:val="15"/>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6"/>
              </w:rPr>
              <w:t>of business on February 15, 2025. The initial interest payment on the new notes will include all accrued and</w:t>
            </w:r>
          </w:p>
        </w:tc>
      </w:tr>
      <w:tr>
        <w:trPr>
          <w:trHeight w:val="194"/>
        </w:trPr>
        <w:tc>
          <w:tcPr>
            <w:tcW w:w="2860" w:type="dxa"/>
            <w:vAlign w:val="bottom"/>
          </w:tcPr>
          <w:p>
            <w:pPr>
              <w:spacing w:after="0"/>
              <w:rPr>
                <w:sz w:val="16"/>
                <w:szCs w:val="16"/>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unpaid interest on the old notes exchanged therefor.</w:t>
            </w:r>
          </w:p>
        </w:tc>
      </w:tr>
      <w:tr>
        <w:trPr>
          <w:trHeight w:val="355"/>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Covenants</w:t>
            </w: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5"/>
              </w:rPr>
              <w:t>Weatherford Delaware will issue the new notes under that certain indenture entered into with Deutsche Bank</w:t>
            </w:r>
          </w:p>
        </w:tc>
      </w:tr>
      <w:tr>
        <w:trPr>
          <w:trHeight w:val="183"/>
        </w:trPr>
        <w:tc>
          <w:tcPr>
            <w:tcW w:w="2860" w:type="dxa"/>
            <w:vAlign w:val="bottom"/>
          </w:tcPr>
          <w:p>
            <w:pPr>
              <w:spacing w:after="0"/>
              <w:rPr>
                <w:sz w:val="15"/>
                <w:szCs w:val="15"/>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rPr>
              <w:t>Trust Company Americas, as trustee, dated June 18, 2007, as amended and supplemented by several</w:t>
            </w:r>
          </w:p>
        </w:tc>
      </w:tr>
      <w:tr>
        <w:trPr>
          <w:trHeight w:val="183"/>
        </w:trPr>
        <w:tc>
          <w:tcPr>
            <w:tcW w:w="2860" w:type="dxa"/>
            <w:vAlign w:val="bottom"/>
          </w:tcPr>
          <w:p>
            <w:pPr>
              <w:spacing w:after="0"/>
              <w:rPr>
                <w:sz w:val="15"/>
                <w:szCs w:val="15"/>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9"/>
              </w:rPr>
              <w:t>supplemental indentures, including that certain Sixth Supplemental Indenture, dated February 28, 2018,</w:t>
            </w:r>
          </w:p>
        </w:tc>
      </w:tr>
      <w:tr>
        <w:trPr>
          <w:trHeight w:val="183"/>
        </w:trPr>
        <w:tc>
          <w:tcPr>
            <w:tcW w:w="2860" w:type="dxa"/>
            <w:vAlign w:val="bottom"/>
          </w:tcPr>
          <w:p>
            <w:pPr>
              <w:spacing w:after="0"/>
              <w:rPr>
                <w:sz w:val="15"/>
                <w:szCs w:val="15"/>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8"/>
              </w:rPr>
              <w:t>establishing the form and terms of the notes, which we refer to together as the “indenture.” The indenture</w:t>
            </w:r>
          </w:p>
        </w:tc>
      </w:tr>
      <w:tr>
        <w:trPr>
          <w:trHeight w:val="194"/>
        </w:trPr>
        <w:tc>
          <w:tcPr>
            <w:tcW w:w="2860" w:type="dxa"/>
            <w:vAlign w:val="bottom"/>
          </w:tcPr>
          <w:p>
            <w:pPr>
              <w:spacing w:after="0"/>
              <w:rPr>
                <w:sz w:val="16"/>
                <w:szCs w:val="16"/>
                <w:color w:val="auto"/>
              </w:rPr>
            </w:pPr>
          </w:p>
        </w:tc>
        <w:tc>
          <w:tcPr>
            <w:tcW w:w="8620" w:type="dxa"/>
            <w:vAlign w:val="bottom"/>
            <w:gridSpan w:val="2"/>
          </w:tcPr>
          <w:p>
            <w:pPr>
              <w:ind w:left="1740"/>
              <w:spacing w:after="0"/>
              <w:rPr>
                <w:sz w:val="20"/>
                <w:szCs w:val="20"/>
                <w:color w:val="auto"/>
              </w:rPr>
            </w:pPr>
            <w:r>
              <w:rPr>
                <w:rFonts w:ascii="Arial" w:cs="Arial" w:eastAsia="Arial" w:hAnsi="Arial"/>
                <w:sz w:val="15"/>
                <w:szCs w:val="15"/>
                <w:color w:val="auto"/>
                <w:w w:val="97"/>
              </w:rPr>
              <w:t>contains limitations on, among other things, Weatherford Ireland’s and its restricted subsidiaries’ ability to:</w:t>
            </w:r>
          </w:p>
        </w:tc>
      </w:tr>
      <w:tr>
        <w:trPr>
          <w:trHeight w:val="366"/>
        </w:trPr>
        <w:tc>
          <w:tcPr>
            <w:tcW w:w="2860" w:type="dxa"/>
            <w:vAlign w:val="bottom"/>
          </w:tcPr>
          <w:p>
            <w:pPr>
              <w:spacing w:after="0"/>
              <w:rPr>
                <w:sz w:val="24"/>
                <w:szCs w:val="24"/>
                <w:color w:val="auto"/>
              </w:rPr>
            </w:pPr>
          </w:p>
        </w:tc>
        <w:tc>
          <w:tcPr>
            <w:tcW w:w="2020" w:type="dxa"/>
            <w:vAlign w:val="bottom"/>
          </w:tcPr>
          <w:p>
            <w:pPr>
              <w:ind w:left="1740"/>
              <w:spacing w:after="0"/>
              <w:rPr>
                <w:sz w:val="20"/>
                <w:szCs w:val="20"/>
                <w:color w:val="auto"/>
              </w:rPr>
            </w:pPr>
            <w:r>
              <w:rPr>
                <w:rFonts w:ascii="Arial" w:cs="Arial" w:eastAsia="Arial" w:hAnsi="Arial"/>
                <w:sz w:val="15"/>
                <w:szCs w:val="15"/>
                <w:color w:val="auto"/>
              </w:rPr>
              <w:t>·</w:t>
            </w:r>
          </w:p>
        </w:tc>
        <w:tc>
          <w:tcPr>
            <w:tcW w:w="6600" w:type="dxa"/>
            <w:vAlign w:val="bottom"/>
          </w:tcPr>
          <w:p>
            <w:pPr>
              <w:jc w:val="right"/>
              <w:ind w:right="1144"/>
              <w:spacing w:after="0"/>
              <w:rPr>
                <w:sz w:val="20"/>
                <w:szCs w:val="20"/>
                <w:color w:val="auto"/>
              </w:rPr>
            </w:pPr>
            <w:r>
              <w:rPr>
                <w:rFonts w:ascii="Arial" w:cs="Arial" w:eastAsia="Arial" w:hAnsi="Arial"/>
                <w:sz w:val="15"/>
                <w:szCs w:val="15"/>
                <w:color w:val="auto"/>
                <w:w w:val="95"/>
              </w:rPr>
              <w:t>incur or guarantee additional indebtedness or issue certain types of equity securities;</w:t>
            </w:r>
          </w:p>
        </w:tc>
      </w:tr>
      <w:tr>
        <w:trPr>
          <w:trHeight w:val="366"/>
        </w:trPr>
        <w:tc>
          <w:tcPr>
            <w:tcW w:w="2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0" w:type="dxa"/>
            <w:vAlign w:val="bottom"/>
          </w:tcPr>
          <w:p>
            <w:pPr>
              <w:jc w:val="right"/>
              <w:ind w:right="5624"/>
              <w:spacing w:after="0"/>
              <w:rPr>
                <w:sz w:val="20"/>
                <w:szCs w:val="20"/>
                <w:color w:val="auto"/>
              </w:rPr>
            </w:pPr>
            <w:r>
              <w:rPr>
                <w:rFonts w:ascii="Arial" w:cs="Arial" w:eastAsia="Arial" w:hAnsi="Arial"/>
                <w:sz w:val="15"/>
                <w:szCs w:val="15"/>
                <w:color w:val="auto"/>
              </w:rPr>
              <w:t>4</w:t>
            </w:r>
          </w:p>
        </w:tc>
      </w:tr>
      <w:tr>
        <w:trPr>
          <w:trHeight w:val="110"/>
        </w:trPr>
        <w:tc>
          <w:tcPr>
            <w:tcW w:w="28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6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Table of Contents</w:t>
              </w:r>
            </w:hyperlink>
          </w:p>
        </w:tc>
        <w:tc>
          <w:tcPr>
            <w:tcW w:w="1380" w:type="dxa"/>
            <w:vAlign w:val="bottom"/>
          </w:tcPr>
          <w:p>
            <w:pPr>
              <w:spacing w:after="0"/>
              <w:rPr>
                <w:sz w:val="14"/>
                <w:szCs w:val="14"/>
                <w:color w:val="auto"/>
              </w:rPr>
            </w:pPr>
          </w:p>
        </w:tc>
        <w:tc>
          <w:tcPr>
            <w:tcW w:w="6600" w:type="dxa"/>
            <w:vAlign w:val="bottom"/>
          </w:tcPr>
          <w:p>
            <w:pPr>
              <w:spacing w:after="0"/>
              <w:rPr>
                <w:sz w:val="14"/>
                <w:szCs w:val="14"/>
                <w:color w:val="auto"/>
              </w:rPr>
            </w:pPr>
          </w:p>
        </w:tc>
      </w:tr>
      <w:tr>
        <w:trPr>
          <w:trHeight w:val="381"/>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pay dividends or repurchase equity or subordinated debt;</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make investments or loans;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300"/>
              <w:spacing w:after="0"/>
              <w:rPr>
                <w:sz w:val="20"/>
                <w:szCs w:val="20"/>
                <w:color w:val="auto"/>
              </w:rPr>
            </w:pPr>
            <w:r>
              <w:rPr>
                <w:rFonts w:ascii="Arial" w:cs="Arial" w:eastAsia="Arial" w:hAnsi="Arial"/>
                <w:sz w:val="15"/>
                <w:szCs w:val="15"/>
                <w:color w:val="auto"/>
              </w:rPr>
              <w:t>make unscheduled payments on subordinated indebtedness;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engage in transactions with affiliates;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create certain liens;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create unrestricted subsidiaries;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consolidate, amalgamate, merge or transfer their assets as, or substantially as, an entirety; and</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engage in certain sale-leaseback transactions.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These covenants are subject to a number of important limitations and exceptions.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3"/>
              </w:rPr>
              <w:t>If the notes are assigned investment grade ratings by both Moody’s and S&amp;P and no default or event of default</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2"/>
              </w:rPr>
              <w:t>has occurred and is continuing under the indenture, upon our election, we and our restricted subsidiaries will no</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5"/>
              </w:rPr>
              <w:t>longer be subject to many of the foregoing covenants. See “Description of New Notes—Certain Covenants—</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Covenant Termination.”</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The notes will contain certain events of default.</w:t>
            </w:r>
          </w:p>
        </w:tc>
      </w:tr>
      <w:tr>
        <w:trPr>
          <w:trHeight w:val="355"/>
        </w:trPr>
        <w:tc>
          <w:tcPr>
            <w:tcW w:w="20" w:type="dxa"/>
            <w:vAlign w:val="bottom"/>
          </w:tcPr>
          <w:p>
            <w:pPr>
              <w:spacing w:after="0"/>
              <w:rPr>
                <w:sz w:val="24"/>
                <w:szCs w:val="24"/>
                <w:color w:val="auto"/>
              </w:rPr>
            </w:pPr>
          </w:p>
        </w:tc>
        <w:tc>
          <w:tcPr>
            <w:tcW w:w="3480" w:type="dxa"/>
            <w:vAlign w:val="bottom"/>
            <w:gridSpan w:val="2"/>
          </w:tcPr>
          <w:p>
            <w:pPr>
              <w:ind w:left="140"/>
              <w:spacing w:after="0"/>
              <w:rPr>
                <w:sz w:val="20"/>
                <w:szCs w:val="20"/>
                <w:color w:val="auto"/>
              </w:rPr>
            </w:pPr>
            <w:r>
              <w:rPr>
                <w:rFonts w:ascii="Arial" w:cs="Arial" w:eastAsia="Arial" w:hAnsi="Arial"/>
                <w:sz w:val="15"/>
                <w:szCs w:val="15"/>
                <w:b w:val="1"/>
                <w:bCs w:val="1"/>
                <w:color w:val="auto"/>
              </w:rPr>
              <w:t>Optional Redemption of the Notes</w:t>
            </w: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2"/>
              </w:rPr>
              <w:t>We may redeem, at our option, all or part of the notes at any time prior to December 1, 2024 (three months prior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4"/>
              </w:rPr>
              <w:t>to their maturity date) (the “Notes Par Call Date”) at the redemption price described under “Description of New</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Notes—Optional Redemption—Make-Whole Redemption” plus accrued and unpaid interest to, but not</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6"/>
              </w:rPr>
              <w:t>including, the redemption date. We may also redeem, at our option, all or part of the notes at any time on or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5"/>
              </w:rPr>
              <w:t>after the Notes Par Call Date at a redemption price of 100% of the principal amount thereof plus accrued and</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unpaid interest to the redemption date.</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w w:val="96"/>
              </w:rPr>
              <w:t>For a more complete description of the redemption provisions of the notes, please read “Description of New</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Notes—Optional Redemption.”</w:t>
            </w:r>
          </w:p>
        </w:tc>
      </w:tr>
      <w:tr>
        <w:trPr>
          <w:trHeight w:val="366"/>
        </w:trPr>
        <w:tc>
          <w:tcPr>
            <w:tcW w:w="20" w:type="dxa"/>
            <w:vAlign w:val="bottom"/>
          </w:tcPr>
          <w:p>
            <w:pPr>
              <w:spacing w:after="0"/>
              <w:rPr>
                <w:sz w:val="24"/>
                <w:szCs w:val="24"/>
                <w:color w:val="auto"/>
              </w:rPr>
            </w:pPr>
          </w:p>
        </w:tc>
        <w:tc>
          <w:tcPr>
            <w:tcW w:w="3480" w:type="dxa"/>
            <w:vAlign w:val="bottom"/>
            <w:gridSpan w:val="2"/>
          </w:tcPr>
          <w:p>
            <w:pPr>
              <w:ind w:left="140"/>
              <w:spacing w:after="0"/>
              <w:rPr>
                <w:sz w:val="20"/>
                <w:szCs w:val="20"/>
                <w:color w:val="auto"/>
              </w:rPr>
            </w:pPr>
            <w:r>
              <w:rPr>
                <w:rFonts w:ascii="Arial" w:cs="Arial" w:eastAsia="Arial" w:hAnsi="Arial"/>
                <w:sz w:val="15"/>
                <w:szCs w:val="15"/>
                <w:b w:val="1"/>
                <w:bCs w:val="1"/>
                <w:color w:val="auto"/>
              </w:rPr>
              <w:t>Ranking</w:t>
            </w:r>
          </w:p>
        </w:tc>
        <w:tc>
          <w:tcPr>
            <w:tcW w:w="7980" w:type="dxa"/>
            <w:vAlign w:val="bottom"/>
            <w:gridSpan w:val="2"/>
          </w:tcPr>
          <w:p>
            <w:pPr>
              <w:ind w:left="1100"/>
              <w:spacing w:after="0"/>
              <w:rPr>
                <w:sz w:val="20"/>
                <w:szCs w:val="20"/>
                <w:color w:val="auto"/>
              </w:rPr>
            </w:pPr>
            <w:r>
              <w:rPr>
                <w:rFonts w:ascii="Arial" w:cs="Arial" w:eastAsia="Arial" w:hAnsi="Arial"/>
                <w:sz w:val="15"/>
                <w:szCs w:val="15"/>
                <w:color w:val="auto"/>
              </w:rPr>
              <w:t>The notes will be our senior, unsecured obligations and will be:</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equal in right of payment with our existing and future senior indebtedness;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w w:val="93"/>
              </w:rPr>
              <w:t>senior in right of payment to our existing and future indebtedness that is expressly subordinated to the</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notes;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w w:val="95"/>
              </w:rPr>
              <w:t>effectively subordinated to our existing and future secured indebtedness, to the extent of the value of</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the collateral securing that indebtedness; and</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ind w:left="110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w w:val="96"/>
              </w:rPr>
              <w:t>structurally subordinated to all existing and future indebtedness and other liabilities, including trade</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payables,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0" w:type="dxa"/>
            <w:vAlign w:val="bottom"/>
          </w:tcPr>
          <w:p>
            <w:pPr>
              <w:ind w:left="820"/>
              <w:spacing w:after="0"/>
              <w:rPr>
                <w:sz w:val="20"/>
                <w:szCs w:val="20"/>
                <w:color w:val="auto"/>
              </w:rPr>
            </w:pPr>
            <w:r>
              <w:rPr>
                <w:rFonts w:ascii="Arial" w:cs="Arial" w:eastAsia="Arial" w:hAnsi="Arial"/>
                <w:sz w:val="15"/>
                <w:szCs w:val="15"/>
                <w:color w:val="auto"/>
              </w:rPr>
              <w:t>5</w:t>
            </w:r>
          </w:p>
        </w:tc>
      </w:tr>
      <w:tr>
        <w:trPr>
          <w:trHeight w:val="110"/>
        </w:trPr>
        <w:tc>
          <w:tcPr>
            <w:tcW w:w="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16"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40" w:type="dxa"/>
            <w:vAlign w:val="bottom"/>
            <w:gridSpan w:val="2"/>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Table of Contents</w:t>
              </w:r>
            </w:hyperlink>
          </w:p>
        </w:tc>
        <w:tc>
          <w:tcPr>
            <w:tcW w:w="1820" w:type="dxa"/>
            <w:vAlign w:val="bottom"/>
          </w:tcPr>
          <w:p>
            <w:pPr>
              <w:spacing w:after="0"/>
              <w:rPr>
                <w:sz w:val="14"/>
                <w:szCs w:val="14"/>
                <w:color w:val="auto"/>
              </w:rPr>
            </w:pPr>
          </w:p>
        </w:tc>
        <w:tc>
          <w:tcPr>
            <w:tcW w:w="6600" w:type="dxa"/>
            <w:vAlign w:val="bottom"/>
          </w:tcPr>
          <w:p>
            <w:pPr>
              <w:spacing w:after="0"/>
              <w:rPr>
                <w:sz w:val="14"/>
                <w:szCs w:val="14"/>
                <w:color w:val="auto"/>
              </w:rPr>
            </w:pPr>
          </w:p>
        </w:tc>
      </w:tr>
      <w:tr>
        <w:trPr>
          <w:trHeight w:val="370"/>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and (to the extent we are not a holder thereof) preferred equity, if any, of our non-guarantor</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subsidiaries.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The guarantee of each guarantor will be such guarantor’s senior, unsecured obligation and will be:</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ind w:left="154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equal in right of payment with such guarantor’s existing and future senior indebtedness;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ind w:left="154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rPr>
              <w:t>senior in right of payment to such guarantor’s existing and future indebtedness that is expressly</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subordinated to the guarantee;</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ind w:left="154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w w:val="93"/>
              </w:rPr>
              <w:t>effectively subordinated to such guarantor’s existing and future secured indebtedness, to the extent of</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the value of the collateral securing that indebtedness; and</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ind w:left="1540"/>
              <w:spacing w:after="0"/>
              <w:rPr>
                <w:sz w:val="20"/>
                <w:szCs w:val="20"/>
                <w:color w:val="auto"/>
              </w:rPr>
            </w:pPr>
            <w:r>
              <w:rPr>
                <w:rFonts w:ascii="Arial" w:cs="Arial" w:eastAsia="Arial" w:hAnsi="Arial"/>
                <w:sz w:val="15"/>
                <w:szCs w:val="15"/>
                <w:color w:val="auto"/>
              </w:rPr>
              <w:t>·</w:t>
            </w:r>
          </w:p>
        </w:tc>
        <w:tc>
          <w:tcPr>
            <w:tcW w:w="6600" w:type="dxa"/>
            <w:vAlign w:val="bottom"/>
          </w:tcPr>
          <w:p>
            <w:pPr>
              <w:ind w:left="240"/>
              <w:spacing w:after="0"/>
              <w:rPr>
                <w:sz w:val="20"/>
                <w:szCs w:val="20"/>
                <w:color w:val="auto"/>
              </w:rPr>
            </w:pPr>
            <w:r>
              <w:rPr>
                <w:rFonts w:ascii="Arial" w:cs="Arial" w:eastAsia="Arial" w:hAnsi="Arial"/>
                <w:sz w:val="15"/>
                <w:szCs w:val="15"/>
                <w:color w:val="auto"/>
                <w:w w:val="96"/>
              </w:rPr>
              <w:t>structurally subordinated to all existing and future indebtedness and other liabilities, including trade</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w w:val="96"/>
              </w:rPr>
              <w:t>payables, and (to the extent such guarantor is not a holder thereof) preferred equity, if any, of such</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5"/>
                <w:szCs w:val="15"/>
                <w:color w:val="auto"/>
              </w:rPr>
              <w:t>guarantor’s non-guarantor subsidiaries.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7"/>
              </w:rPr>
              <w:t>As of September 30, 2018, Weatherford Ireland had total consolidated indebtedness of approximately $8.0</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5"/>
              </w:rPr>
              <w:t>billion, substantially all of which, other than $338 million and $317 million of indebtedness incurred under our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2"/>
              </w:rPr>
              <w:t>Term Loan Agreement (as defined below) and 364-Day Credit Agreement (as defined below), respectively, was</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2"/>
              </w:rPr>
              <w:t>unsecured indebtedness of us, our affiliates or our subsidiaries guaranteed by Weatherford Ireland, Weatherford</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4"/>
              </w:rPr>
              <w:t>Bermuda and/or us and to which the new notes and the related guarantees will rank equal in right of payment.</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6"/>
              </w:rPr>
              <w:t>As of September 30, 2018, subsidiaries of Weatherford Ireland, other than us or Weatherford Bermuda, had</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5"/>
              </w:rPr>
              <w:t>outstanding guarantees for approximately $665 million of our debt under our Revolving Credit Agreement (as</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4"/>
              </w:rPr>
              <w:t>defined below), Term Loan Agreement and 364-Day Credit Agreement. See “Risk Factors—Risks Relating to</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the New Notes and our Indebtedness—The new notes and the related guarantees will be effectively</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4"/>
              </w:rPr>
              <w:t>subordinated to any of our or the guarantors’ existing and future secured debt and structurally subordinated to</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the liabilities of our and our guarantors’ non-guarantor subsidiaries.”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9"/>
              </w:rPr>
              <w:t>See “Description of Other Indebtedness,” “Description of New Notes—Ranking” and “Description of New</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Notes—Guarantees.”</w:t>
            </w:r>
          </w:p>
        </w:tc>
      </w:tr>
      <w:tr>
        <w:trPr>
          <w:trHeight w:val="355"/>
        </w:trPr>
        <w:tc>
          <w:tcPr>
            <w:tcW w:w="2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5"/>
                <w:szCs w:val="15"/>
                <w:b w:val="1"/>
                <w:bCs w:val="1"/>
                <w:color w:val="auto"/>
              </w:rPr>
              <w:t>Change of Control</w:t>
            </w: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4"/>
              </w:rPr>
              <w:t>Upon a change of control repurchase event, we will be required to make an offer to repurchase all outstanding</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4"/>
              </w:rPr>
              <w:t>notes at a price in cash equal to 101.0% of the aggregate principal amount of the notes repurchased, plus any</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9"/>
              </w:rPr>
              <w:t>accrued and unpaid interest to the repurchase date. See “Description of New Notes—Change of Control</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Repurchase Event.”</w:t>
            </w:r>
          </w:p>
        </w:tc>
      </w:tr>
      <w:tr>
        <w:trPr>
          <w:trHeight w:val="355"/>
        </w:trPr>
        <w:tc>
          <w:tcPr>
            <w:tcW w:w="2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5"/>
                <w:szCs w:val="15"/>
                <w:b w:val="1"/>
                <w:bCs w:val="1"/>
                <w:color w:val="auto"/>
              </w:rPr>
              <w:t>Transfer restrictions</w:t>
            </w: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4"/>
              </w:rPr>
              <w:t>The new notes generally will be freely transferable, but will also be securities for which the public market may</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be limited.</w:t>
            </w:r>
          </w:p>
        </w:tc>
      </w:tr>
      <w:tr>
        <w:trPr>
          <w:trHeight w:val="355"/>
        </w:trPr>
        <w:tc>
          <w:tcPr>
            <w:tcW w:w="2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5"/>
                <w:szCs w:val="15"/>
                <w:b w:val="1"/>
                <w:bCs w:val="1"/>
                <w:color w:val="auto"/>
              </w:rPr>
              <w:t>No Prior Market</w:t>
            </w: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w w:val="96"/>
              </w:rPr>
              <w:t>The new notes will be new securities for which there is currently no market. We cannot assure you as to the</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20" w:type="dxa"/>
            <w:vAlign w:val="bottom"/>
            <w:gridSpan w:val="2"/>
          </w:tcPr>
          <w:p>
            <w:pPr>
              <w:ind w:left="1540"/>
              <w:spacing w:after="0"/>
              <w:rPr>
                <w:sz w:val="20"/>
                <w:szCs w:val="20"/>
                <w:color w:val="auto"/>
              </w:rPr>
            </w:pPr>
            <w:r>
              <w:rPr>
                <w:rFonts w:ascii="Arial" w:cs="Arial" w:eastAsia="Arial" w:hAnsi="Arial"/>
                <w:sz w:val="15"/>
                <w:szCs w:val="15"/>
                <w:color w:val="auto"/>
              </w:rPr>
              <w:t>liquidity of markets that may</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0" w:type="dxa"/>
            <w:vAlign w:val="bottom"/>
          </w:tcPr>
          <w:p>
            <w:pPr>
              <w:ind w:left="820"/>
              <w:spacing w:after="0"/>
              <w:rPr>
                <w:sz w:val="20"/>
                <w:szCs w:val="20"/>
                <w:color w:val="auto"/>
              </w:rPr>
            </w:pPr>
            <w:r>
              <w:rPr>
                <w:rFonts w:ascii="Arial" w:cs="Arial" w:eastAsia="Arial" w:hAnsi="Arial"/>
                <w:sz w:val="15"/>
                <w:szCs w:val="15"/>
                <w:color w:val="auto"/>
              </w:rPr>
              <w:t>6</w:t>
            </w:r>
          </w:p>
        </w:tc>
      </w:tr>
      <w:tr>
        <w:trPr>
          <w:trHeight w:val="110"/>
        </w:trPr>
        <w:tc>
          <w:tcPr>
            <w:tcW w:w="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6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16"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80" w:type="dxa"/>
            <w:vAlign w:val="bottom"/>
            <w:gridSpan w:val="2"/>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Table of Contents</w:t>
              </w:r>
            </w:hyperlink>
          </w:p>
        </w:tc>
        <w:tc>
          <w:tcPr>
            <w:tcW w:w="8480" w:type="dxa"/>
            <w:vAlign w:val="bottom"/>
          </w:tcPr>
          <w:p>
            <w:pPr>
              <w:spacing w:after="0"/>
              <w:rPr>
                <w:sz w:val="14"/>
                <w:szCs w:val="14"/>
                <w:color w:val="auto"/>
              </w:rPr>
            </w:pPr>
          </w:p>
        </w:tc>
      </w:tr>
      <w:tr>
        <w:trPr>
          <w:trHeight w:val="370"/>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4"/>
              </w:rPr>
              <w:t>develop for the new notes, your ability to sell the new notes or the price at which you would be able to sell the</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3"/>
              </w:rPr>
              <w:t>new notes. See “Risk Factors—Risks Relating to the New Notes and our Indebtedness—Your ability to transfer</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5"/>
              </w:rPr>
              <w:t>the new notes may be limited by the absence of an active trading market, and there is no assurance that any</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active market will develop for the new notes.”</w:t>
            </w:r>
          </w:p>
        </w:tc>
      </w:tr>
      <w:tr>
        <w:trPr>
          <w:trHeight w:val="355"/>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Risk Factors</w:t>
            </w:r>
          </w:p>
        </w:tc>
        <w:tc>
          <w:tcPr>
            <w:tcW w:w="8480" w:type="dxa"/>
            <w:vAlign w:val="bottom"/>
          </w:tcPr>
          <w:p>
            <w:pPr>
              <w:ind w:left="1600"/>
              <w:spacing w:after="0"/>
              <w:rPr>
                <w:sz w:val="20"/>
                <w:szCs w:val="20"/>
                <w:color w:val="auto"/>
              </w:rPr>
            </w:pPr>
            <w:r>
              <w:rPr>
                <w:rFonts w:ascii="Arial" w:cs="Arial" w:eastAsia="Arial" w:hAnsi="Arial"/>
                <w:sz w:val="15"/>
                <w:szCs w:val="15"/>
                <w:color w:val="auto"/>
                <w:w w:val="99"/>
              </w:rPr>
              <w:t>The new notes involve risks. You should carefully read and consider the information set forth in the “Risk</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9"/>
              </w:rPr>
              <w:t>Factors” and “Forward-Looking Statements” sections of this prospectus and the “Risk Factors” section of</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Weatherford Ireland’s Form 10-K and similar sections in any subsequent Exchange Act reports that we</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4"/>
              </w:rPr>
              <w:t>incorporate by reference in this prospectus, and all other information set forth in, or incorporated by reference</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into, this prospectus, before making a decision to invest in the new notes.</w:t>
            </w:r>
          </w:p>
        </w:tc>
      </w:tr>
      <w:tr>
        <w:trPr>
          <w:trHeight w:val="366"/>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Governing Law</w:t>
            </w:r>
          </w:p>
        </w:tc>
        <w:tc>
          <w:tcPr>
            <w:tcW w:w="8480" w:type="dxa"/>
            <w:vAlign w:val="bottom"/>
          </w:tcPr>
          <w:p>
            <w:pPr>
              <w:ind w:left="1600"/>
              <w:spacing w:after="0"/>
              <w:rPr>
                <w:sz w:val="20"/>
                <w:szCs w:val="20"/>
                <w:color w:val="auto"/>
              </w:rPr>
            </w:pPr>
            <w:r>
              <w:rPr>
                <w:rFonts w:ascii="Arial" w:cs="Arial" w:eastAsia="Arial" w:hAnsi="Arial"/>
                <w:sz w:val="15"/>
                <w:szCs w:val="15"/>
                <w:color w:val="auto"/>
              </w:rPr>
              <w:t>The notes and the indenture will be governed by New York law.</w:t>
            </w:r>
          </w:p>
        </w:tc>
      </w:tr>
      <w:tr>
        <w:trPr>
          <w:trHeight w:val="355"/>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Additional Issuance</w:t>
            </w:r>
          </w:p>
        </w:tc>
        <w:tc>
          <w:tcPr>
            <w:tcW w:w="8480" w:type="dxa"/>
            <w:vAlign w:val="bottom"/>
          </w:tcPr>
          <w:p>
            <w:pPr>
              <w:ind w:left="1600"/>
              <w:spacing w:after="0"/>
              <w:rPr>
                <w:sz w:val="20"/>
                <w:szCs w:val="20"/>
                <w:color w:val="auto"/>
              </w:rPr>
            </w:pPr>
            <w:r>
              <w:rPr>
                <w:rFonts w:ascii="Arial" w:cs="Arial" w:eastAsia="Arial" w:hAnsi="Arial"/>
                <w:sz w:val="15"/>
                <w:szCs w:val="15"/>
                <w:color w:val="auto"/>
                <w:w w:val="93"/>
              </w:rPr>
              <w:t>We may, at any time, without the consent of the holders of the notes, issue additional notes of the same series</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2"/>
              </w:rPr>
              <w:t>having the same ranking and the same interest rate, maturity and other terms as the notes. Any additional notes</w:t>
            </w: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3"/>
              </w:rPr>
              <w:t>having such similar terms, together with the old notes and the new notes offered hereby, will constitute a single</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series of notes under the indenture. See “Description of New Notes.”</w:t>
            </w:r>
          </w:p>
        </w:tc>
      </w:tr>
      <w:tr>
        <w:trPr>
          <w:trHeight w:val="355"/>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Form of New Notes</w:t>
            </w:r>
          </w:p>
        </w:tc>
        <w:tc>
          <w:tcPr>
            <w:tcW w:w="8480" w:type="dxa"/>
            <w:vAlign w:val="bottom"/>
          </w:tcPr>
          <w:p>
            <w:pPr>
              <w:ind w:left="1600"/>
              <w:spacing w:after="0"/>
              <w:rPr>
                <w:sz w:val="20"/>
                <w:szCs w:val="20"/>
                <w:color w:val="auto"/>
              </w:rPr>
            </w:pPr>
            <w:r>
              <w:rPr>
                <w:rFonts w:ascii="Arial" w:cs="Arial" w:eastAsia="Arial" w:hAnsi="Arial"/>
                <w:sz w:val="15"/>
                <w:szCs w:val="15"/>
                <w:color w:val="auto"/>
                <w:w w:val="93"/>
              </w:rPr>
              <w:t>The new notes will be represented initially by one or more global notes. Each global new note will be deposited</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with the trustee, as custodian for DTC.</w:t>
            </w:r>
          </w:p>
        </w:tc>
      </w:tr>
      <w:tr>
        <w:trPr>
          <w:trHeight w:val="355"/>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Same-Day Settlement</w:t>
            </w:r>
          </w:p>
        </w:tc>
        <w:tc>
          <w:tcPr>
            <w:tcW w:w="8480" w:type="dxa"/>
            <w:vAlign w:val="bottom"/>
          </w:tcPr>
          <w:p>
            <w:pPr>
              <w:ind w:left="1600"/>
              <w:spacing w:after="0"/>
              <w:rPr>
                <w:sz w:val="20"/>
                <w:szCs w:val="20"/>
                <w:color w:val="auto"/>
              </w:rPr>
            </w:pPr>
            <w:r>
              <w:rPr>
                <w:rFonts w:ascii="Arial" w:cs="Arial" w:eastAsia="Arial" w:hAnsi="Arial"/>
                <w:sz w:val="15"/>
                <w:szCs w:val="15"/>
                <w:color w:val="auto"/>
                <w:w w:val="97"/>
              </w:rPr>
              <w:t>The global new notes will be shown on, and transfers of the global new notes will be effected only through,</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records maintained in book-entry form by DTC and its direct and indirect participants.</w:t>
            </w:r>
          </w:p>
        </w:tc>
      </w:tr>
      <w:tr>
        <w:trPr>
          <w:trHeight w:val="35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3"/>
              </w:rPr>
              <w:t>The new notes are expected to trade in DTC’s same day funds settlement system until maturity or redemption.</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w w:val="96"/>
              </w:rPr>
              <w:t>Therefore, secondary market trading activity in the new notes will be settled in immediately available funds.</w:t>
            </w:r>
          </w:p>
        </w:tc>
      </w:tr>
      <w:tr>
        <w:trPr>
          <w:trHeight w:val="355"/>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Trading</w:t>
            </w:r>
          </w:p>
        </w:tc>
        <w:tc>
          <w:tcPr>
            <w:tcW w:w="8480" w:type="dxa"/>
            <w:vAlign w:val="bottom"/>
          </w:tcPr>
          <w:p>
            <w:pPr>
              <w:ind w:left="1600"/>
              <w:spacing w:after="0"/>
              <w:rPr>
                <w:sz w:val="20"/>
                <w:szCs w:val="20"/>
                <w:color w:val="auto"/>
              </w:rPr>
            </w:pPr>
            <w:r>
              <w:rPr>
                <w:rFonts w:ascii="Arial" w:cs="Arial" w:eastAsia="Arial" w:hAnsi="Arial"/>
                <w:sz w:val="15"/>
                <w:szCs w:val="15"/>
                <w:color w:val="auto"/>
                <w:w w:val="95"/>
              </w:rPr>
              <w:t>We do not expect to list the new notes for trading on any securities exchange or automated dealer quotation</w:t>
            </w: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480" w:type="dxa"/>
            <w:vAlign w:val="bottom"/>
          </w:tcPr>
          <w:p>
            <w:pPr>
              <w:ind w:left="1600"/>
              <w:spacing w:after="0"/>
              <w:rPr>
                <w:sz w:val="20"/>
                <w:szCs w:val="20"/>
                <w:color w:val="auto"/>
              </w:rPr>
            </w:pPr>
            <w:r>
              <w:rPr>
                <w:rFonts w:ascii="Arial" w:cs="Arial" w:eastAsia="Arial" w:hAnsi="Arial"/>
                <w:sz w:val="15"/>
                <w:szCs w:val="15"/>
                <w:color w:val="auto"/>
              </w:rPr>
              <w:t>system.</w:t>
            </w:r>
          </w:p>
        </w:tc>
      </w:tr>
      <w:tr>
        <w:trPr>
          <w:trHeight w:val="366"/>
        </w:trPr>
        <w:tc>
          <w:tcPr>
            <w:tcW w:w="20" w:type="dxa"/>
            <w:vAlign w:val="bottom"/>
          </w:tcPr>
          <w:p>
            <w:pPr>
              <w:spacing w:after="0"/>
              <w:rPr>
                <w:sz w:val="24"/>
                <w:szCs w:val="24"/>
                <w:color w:val="auto"/>
              </w:rPr>
            </w:pPr>
          </w:p>
        </w:tc>
        <w:tc>
          <w:tcPr>
            <w:tcW w:w="2980" w:type="dxa"/>
            <w:vAlign w:val="bottom"/>
            <w:gridSpan w:val="2"/>
          </w:tcPr>
          <w:p>
            <w:pPr>
              <w:ind w:left="140"/>
              <w:spacing w:after="0"/>
              <w:rPr>
                <w:sz w:val="20"/>
                <w:szCs w:val="20"/>
                <w:color w:val="auto"/>
              </w:rPr>
            </w:pPr>
            <w:r>
              <w:rPr>
                <w:rFonts w:ascii="Arial" w:cs="Arial" w:eastAsia="Arial" w:hAnsi="Arial"/>
                <w:sz w:val="15"/>
                <w:szCs w:val="15"/>
                <w:b w:val="1"/>
                <w:bCs w:val="1"/>
                <w:color w:val="auto"/>
              </w:rPr>
              <w:t>Trustee, Registrar and Exchange Agent</w:t>
            </w:r>
          </w:p>
        </w:tc>
        <w:tc>
          <w:tcPr>
            <w:tcW w:w="8480" w:type="dxa"/>
            <w:vAlign w:val="bottom"/>
          </w:tcPr>
          <w:p>
            <w:pPr>
              <w:ind w:left="1600"/>
              <w:spacing w:after="0"/>
              <w:rPr>
                <w:sz w:val="20"/>
                <w:szCs w:val="20"/>
                <w:color w:val="auto"/>
              </w:rPr>
            </w:pPr>
            <w:r>
              <w:rPr>
                <w:rFonts w:ascii="Arial" w:cs="Arial" w:eastAsia="Arial" w:hAnsi="Arial"/>
                <w:sz w:val="15"/>
                <w:szCs w:val="15"/>
                <w:color w:val="auto"/>
              </w:rPr>
              <w:t>Deutsche Bank Trust Company Americas.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80" w:type="dxa"/>
            <w:vAlign w:val="bottom"/>
          </w:tcPr>
          <w:p>
            <w:pPr>
              <w:ind w:left="280"/>
              <w:spacing w:after="0"/>
              <w:rPr>
                <w:sz w:val="20"/>
                <w:szCs w:val="20"/>
                <w:color w:val="auto"/>
              </w:rPr>
            </w:pPr>
            <w:r>
              <w:rPr>
                <w:rFonts w:ascii="Arial" w:cs="Arial" w:eastAsia="Arial" w:hAnsi="Arial"/>
                <w:sz w:val="15"/>
                <w:szCs w:val="15"/>
                <w:color w:val="auto"/>
              </w:rPr>
              <w:t>For additional information regarding the notes, see “Description of New Notes.”</w:t>
            </w:r>
          </w:p>
        </w:tc>
      </w:tr>
      <w:tr>
        <w:trPr>
          <w:trHeight w:val="3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80" w:type="dxa"/>
            <w:vAlign w:val="bottom"/>
          </w:tcPr>
          <w:p>
            <w:pPr>
              <w:ind w:left="2700"/>
              <w:spacing w:after="0"/>
              <w:rPr>
                <w:sz w:val="20"/>
                <w:szCs w:val="20"/>
                <w:color w:val="auto"/>
              </w:rPr>
            </w:pPr>
            <w:r>
              <w:rPr>
                <w:rFonts w:ascii="Arial" w:cs="Arial" w:eastAsia="Arial" w:hAnsi="Arial"/>
                <w:sz w:val="15"/>
                <w:szCs w:val="15"/>
                <w:color w:val="auto"/>
              </w:rPr>
              <w:t>7</w:t>
            </w:r>
          </w:p>
        </w:tc>
      </w:tr>
      <w:tr>
        <w:trPr>
          <w:trHeight w:val="110"/>
        </w:trPr>
        <w:tc>
          <w:tcPr>
            <w:tcW w:w="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8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16" w:right="19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98" w:lineRule="exact"/>
        <w:rPr>
          <w:sz w:val="20"/>
          <w:szCs w:val="20"/>
          <w:color w:val="auto"/>
        </w:rPr>
      </w:pPr>
    </w:p>
    <w:p>
      <w:pPr>
        <w:ind w:right="40" w:firstLine="549"/>
        <w:spacing w:after="0" w:line="262" w:lineRule="auto"/>
        <w:rPr>
          <w:sz w:val="20"/>
          <w:szCs w:val="20"/>
          <w:color w:val="auto"/>
        </w:rPr>
      </w:pPr>
      <w:r>
        <w:rPr>
          <w:rFonts w:ascii="Arial" w:cs="Arial" w:eastAsia="Arial" w:hAnsi="Arial"/>
          <w:sz w:val="15"/>
          <w:szCs w:val="15"/>
          <w:i w:val="1"/>
          <w:iCs w:val="1"/>
          <w:color w:val="auto"/>
        </w:rPr>
        <w:t>Investing in the new notes involves a high degree of risk. Before deciding whether to invest in the new notes, you should carefully consider the risks and uncertainties described below as well as those described under “Risk Factors” in Weatherford Ireland’s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the Exchange Offer</w:t>
      </w:r>
    </w:p>
    <w:p>
      <w:pPr>
        <w:spacing w:after="0" w:line="198" w:lineRule="exact"/>
        <w:rPr>
          <w:sz w:val="20"/>
          <w:szCs w:val="20"/>
          <w:color w:val="auto"/>
        </w:rPr>
      </w:pPr>
    </w:p>
    <w:p>
      <w:pPr>
        <w:ind w:left="260" w:right="500"/>
        <w:spacing w:after="0" w:line="284" w:lineRule="auto"/>
        <w:rPr>
          <w:sz w:val="20"/>
          <w:szCs w:val="20"/>
          <w:color w:val="auto"/>
        </w:rPr>
      </w:pPr>
      <w:r>
        <w:rPr>
          <w:rFonts w:ascii="Arial" w:cs="Arial" w:eastAsia="Arial" w:hAnsi="Arial"/>
          <w:sz w:val="15"/>
          <w:szCs w:val="15"/>
          <w:b w:val="1"/>
          <w:bCs w:val="1"/>
          <w:i w:val="1"/>
          <w:iCs w:val="1"/>
          <w:color w:val="auto"/>
        </w:rPr>
        <w:t>If you fail to exchange old notes, existing transfer restrictions will remain in effect, and the market value of old notes may be adversely affected because they may be more difficult to sell.</w:t>
      </w:r>
    </w:p>
    <w:p>
      <w:pPr>
        <w:spacing w:after="0" w:line="141" w:lineRule="exact"/>
        <w:rPr>
          <w:sz w:val="20"/>
          <w:szCs w:val="20"/>
          <w:color w:val="auto"/>
        </w:rPr>
      </w:pPr>
    </w:p>
    <w:p>
      <w:pPr>
        <w:ind w:right="160" w:firstLine="549"/>
        <w:spacing w:after="0" w:line="269" w:lineRule="auto"/>
        <w:rPr>
          <w:sz w:val="20"/>
          <w:szCs w:val="20"/>
          <w:color w:val="auto"/>
        </w:rPr>
      </w:pPr>
      <w:r>
        <w:rPr>
          <w:rFonts w:ascii="Arial" w:cs="Arial" w:eastAsia="Arial" w:hAnsi="Arial"/>
          <w:sz w:val="15"/>
          <w:szCs w:val="15"/>
          <w:color w:val="auto"/>
        </w:rPr>
        <w:t>If you fail to exchange old notes for new notes in the exchange offer, then you will continue to be subject to the existing transfer restrictions on the old notes. In general, the old notes may not be offered or sold unless they are registered or exempt from registration under the Securities Act and applicable state securities laws. Except in connection with this exchange offer or as required by the registration rights agreement, we do not intend to register resales of the old notes.</w:t>
      </w:r>
    </w:p>
    <w:p>
      <w:pPr>
        <w:spacing w:after="0" w:line="152" w:lineRule="exact"/>
        <w:rPr>
          <w:sz w:val="20"/>
          <w:szCs w:val="20"/>
          <w:color w:val="auto"/>
        </w:rPr>
      </w:pPr>
    </w:p>
    <w:p>
      <w:pPr>
        <w:ind w:firstLine="549"/>
        <w:spacing w:after="0" w:line="365" w:lineRule="auto"/>
        <w:rPr>
          <w:sz w:val="20"/>
          <w:szCs w:val="20"/>
          <w:color w:val="auto"/>
        </w:rPr>
      </w:pPr>
      <w:r>
        <w:rPr>
          <w:rFonts w:ascii="Arial" w:cs="Arial" w:eastAsia="Arial" w:hAnsi="Arial"/>
          <w:sz w:val="13"/>
          <w:szCs w:val="13"/>
          <w:color w:val="auto"/>
        </w:rPr>
        <w:t>The tender of old notes in the exchange offer will reduce the principal amount of the currently outstanding old notes. Due to the corresponding reduction in liquidity, this may have an adverse effect upon, and increase the volatility of, the market price of any currently outstanding old notes that you continue to hold following the completion of the exchange offer.</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the New Notes and our Indebtedness</w:t>
      </w:r>
    </w:p>
    <w:p>
      <w:pPr>
        <w:spacing w:after="0" w:line="198" w:lineRule="exact"/>
        <w:rPr>
          <w:sz w:val="20"/>
          <w:szCs w:val="20"/>
          <w:color w:val="auto"/>
        </w:rPr>
      </w:pPr>
    </w:p>
    <w:p>
      <w:pPr>
        <w:ind w:left="260" w:right="180"/>
        <w:spacing w:after="0" w:line="284" w:lineRule="auto"/>
        <w:rPr>
          <w:sz w:val="20"/>
          <w:szCs w:val="20"/>
          <w:color w:val="auto"/>
        </w:rPr>
      </w:pPr>
      <w:r>
        <w:rPr>
          <w:rFonts w:ascii="Arial" w:cs="Arial" w:eastAsia="Arial" w:hAnsi="Arial"/>
          <w:sz w:val="15"/>
          <w:szCs w:val="15"/>
          <w:b w:val="1"/>
          <w:bCs w:val="1"/>
          <w:i w:val="1"/>
          <w:iCs w:val="1"/>
          <w:color w:val="auto"/>
        </w:rPr>
        <w:t>The new notes and the related guarantees will be effectively subordinated to any of our or the guarantors’ existing and future secured debt and structurally subordinated to the liabilities of our and the guarantors’ non-guarantor subsidiaries.</w:t>
      </w:r>
    </w:p>
    <w:p>
      <w:pPr>
        <w:spacing w:after="0" w:line="141" w:lineRule="exact"/>
        <w:rPr>
          <w:sz w:val="20"/>
          <w:szCs w:val="20"/>
          <w:color w:val="auto"/>
        </w:rPr>
      </w:pPr>
    </w:p>
    <w:p>
      <w:pPr>
        <w:ind w:right="620" w:firstLine="549"/>
        <w:spacing w:after="0" w:line="322" w:lineRule="auto"/>
        <w:rPr>
          <w:sz w:val="20"/>
          <w:szCs w:val="20"/>
          <w:color w:val="auto"/>
        </w:rPr>
      </w:pPr>
      <w:r>
        <w:rPr>
          <w:rFonts w:ascii="Arial" w:cs="Arial" w:eastAsia="Arial" w:hAnsi="Arial"/>
          <w:sz w:val="14"/>
          <w:szCs w:val="14"/>
          <w:color w:val="auto"/>
        </w:rPr>
        <w:t>The new notes and the related guarantees will be general unsecured, senior obligations of Weatherford Delaware and the guarantors, respectively, and will be effectively subordinated to existing and future secured indebtedness of us and the guarantors to the extent of the value of the collateral securing that indebtedness.</w:t>
      </w:r>
    </w:p>
    <w:p>
      <w:pPr>
        <w:spacing w:after="0" w:line="117" w:lineRule="exact"/>
        <w:rPr>
          <w:sz w:val="20"/>
          <w:szCs w:val="20"/>
          <w:color w:val="auto"/>
        </w:rPr>
      </w:pPr>
    </w:p>
    <w:p>
      <w:pPr>
        <w:ind w:right="80" w:firstLine="549"/>
        <w:spacing w:after="0" w:line="279" w:lineRule="auto"/>
        <w:rPr>
          <w:sz w:val="20"/>
          <w:szCs w:val="20"/>
          <w:color w:val="auto"/>
        </w:rPr>
      </w:pPr>
      <w:r>
        <w:rPr>
          <w:rFonts w:ascii="Arial" w:cs="Arial" w:eastAsia="Arial" w:hAnsi="Arial"/>
          <w:sz w:val="14"/>
          <w:szCs w:val="14"/>
          <w:color w:val="auto"/>
        </w:rPr>
        <w:t>As of September 30, 2018, Weatherford Ireland had total consolidated indebtedness of approximately $8.0 billion, substantially all of which, other than $338 million and $317 million of indebtedness incurred under the Term Loan Agreement and 364-Day Credit Agreement, respectively, was unsecured indebtedness of us or our subsidiaries guaranteed by Weatherford Ireland, Weatherford Bermuda and/or us and to which the new notes and the related guarantees will rank equal in right of payment. Despite our current consolidated debt levels, we may be able to incur substantial additional debt in the future, including secured debt, subject to the restrictions contained in our debt instruments and credit facilities. The indenture governing the notes does not fully limit the amount of debt, including senior debt that we, the guarantors or our or their respective subsidiaries may incur. Consequently, in the event of a bankruptcy, liquidation, dissolution, reorganization or similar proceeding with respect to us, Weatherford Ireland or Weatherford Bermuda, the holders of any secured indebtedness of us, Weatherford Ireland or Weatherford Bermuda will be entitled to proceed directly against the collateral securing such indebtedness. Accordingly, that collateral will not be available for satisfying any amounts owed under the new notes or the related guarantees, as applicable, unless and until the secured indebtedness is satisfied in full.</w:t>
      </w:r>
    </w:p>
    <w:p>
      <w:pPr>
        <w:spacing w:after="0" w:line="151" w:lineRule="exact"/>
        <w:rPr>
          <w:sz w:val="20"/>
          <w:szCs w:val="20"/>
          <w:color w:val="auto"/>
        </w:rPr>
      </w:pPr>
    </w:p>
    <w:p>
      <w:pPr>
        <w:jc w:val="both"/>
        <w:ind w:right="140" w:firstLine="549"/>
        <w:spacing w:after="0" w:line="289" w:lineRule="auto"/>
        <w:rPr>
          <w:sz w:val="20"/>
          <w:szCs w:val="20"/>
          <w:color w:val="auto"/>
        </w:rPr>
      </w:pPr>
      <w:r>
        <w:rPr>
          <w:rFonts w:ascii="Arial" w:cs="Arial" w:eastAsia="Arial" w:hAnsi="Arial"/>
          <w:sz w:val="14"/>
          <w:szCs w:val="14"/>
          <w:color w:val="auto"/>
        </w:rPr>
        <w:t>Other than Weatherford Bermuda, none of Weatherford Ireland’s subsidiaries will guarantee the notes. Accordingly, the notes and the related guarantees will also be structurally subordinated to all existing and future unsecured and secured liabilities and (to the extent we are not a holder thereof) preferred equity, if any, of Weatherford Ireland’s subsidiaries other than us and Weatherford Bermuda. In the event of a bankruptcy, liquidation, dissolution, reorganization or similar proceeding with respect to any of such subsidiaries, we or Weatherford Ireland, as a common equity owner of the subsidiary, and, therefore, holders of our debt, including the notes, will be subject to the prior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claims of that subsidiary’s creditors, including trade creditors. As of September 30, 2018, the aggregate amount of liabilities of Weatherford Ireland’s subsidiaries was approximately $10.3 billion, including approximately $8.0 billion of consolidated indebtedness, trade and other payables but excluding intercompany liabilities. As of September 30, 2018, subsidiaries of Weatherford Ireland, other than us or Weatherford Bermuda, had outstanding guarantees for approximately $655 million of Weatherford Ireland’s debt under our Revolving Credit Agreement, Term Loan Agreement and 364-Day Credit Agreement. The provisions of the indenture governing the notes do not prohibit our subsidiaries from incurring additional indebtedness or issuing preferred equity.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Servicing our indebtedness requires a significant amount of cash, and we may not have sufficient cash flow from our business to service or repay this indebtedness.</w:t>
      </w:r>
    </w:p>
    <w:p>
      <w:pPr>
        <w:spacing w:after="0" w:line="205" w:lineRule="exact"/>
        <w:rPr>
          <w:sz w:val="20"/>
          <w:szCs w:val="20"/>
          <w:color w:val="auto"/>
        </w:rPr>
      </w:pPr>
    </w:p>
    <w:p>
      <w:pPr>
        <w:ind w:right="20" w:firstLine="549"/>
        <w:spacing w:after="0" w:line="279" w:lineRule="auto"/>
        <w:rPr>
          <w:sz w:val="20"/>
          <w:szCs w:val="20"/>
          <w:color w:val="auto"/>
        </w:rPr>
      </w:pPr>
      <w:r>
        <w:rPr>
          <w:rFonts w:ascii="Arial" w:cs="Arial" w:eastAsia="Arial" w:hAnsi="Arial"/>
          <w:sz w:val="14"/>
          <w:szCs w:val="14"/>
          <w:color w:val="auto"/>
        </w:rPr>
        <w:t>Our ability to make scheduled payments of the principal and to pay interest on or to refinance our indebtedness, including the new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new notes, or the debt obligations of Weatherford Ireland and its other subsidiaries.</w:t>
      </w:r>
    </w:p>
    <w:p>
      <w:pPr>
        <w:spacing w:after="0" w:line="151" w:lineRule="exact"/>
        <w:rPr>
          <w:sz w:val="20"/>
          <w:szCs w:val="20"/>
          <w:color w:val="auto"/>
        </w:rPr>
      </w:pPr>
    </w:p>
    <w:p>
      <w:pPr>
        <w:ind w:left="260" w:right="180"/>
        <w:spacing w:after="0" w:line="284" w:lineRule="auto"/>
        <w:rPr>
          <w:sz w:val="20"/>
          <w:szCs w:val="20"/>
          <w:color w:val="auto"/>
        </w:rPr>
      </w:pPr>
      <w:r>
        <w:rPr>
          <w:rFonts w:ascii="Arial" w:cs="Arial" w:eastAsia="Arial" w:hAnsi="Arial"/>
          <w:sz w:val="15"/>
          <w:szCs w:val="15"/>
          <w:b w:val="1"/>
          <w:bCs w:val="1"/>
          <w:i w:val="1"/>
          <w:i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new notes.</w:t>
      </w:r>
    </w:p>
    <w:p>
      <w:pPr>
        <w:spacing w:after="0" w:line="141" w:lineRule="exact"/>
        <w:rPr>
          <w:sz w:val="20"/>
          <w:szCs w:val="20"/>
          <w:color w:val="auto"/>
        </w:rPr>
      </w:pPr>
    </w:p>
    <w:p>
      <w:pPr>
        <w:ind w:right="420" w:firstLine="549"/>
        <w:spacing w:after="0" w:line="322" w:lineRule="auto"/>
        <w:rPr>
          <w:sz w:val="20"/>
          <w:szCs w:val="20"/>
          <w:color w:val="auto"/>
        </w:rPr>
      </w:pPr>
      <w:r>
        <w:rPr>
          <w:rFonts w:ascii="Arial" w:cs="Arial" w:eastAsia="Arial" w:hAnsi="Arial"/>
          <w:sz w:val="14"/>
          <w:szCs w:val="14"/>
          <w:color w:val="auto"/>
        </w:rPr>
        <w:t>As of September 30, 2018, Weatherford Ireland’s total consolidated indebtedness was approximately $8.0 billion. We may also incur additional indebtedness to meet future financing needs. Our indebtedness could have significant negative consequences for our business, results of operations and financial condition, including:</w:t>
      </w:r>
    </w:p>
    <w:p>
      <w:pPr>
        <w:spacing w:after="0" w:line="117" w:lineRule="exact"/>
        <w:rPr>
          <w:sz w:val="20"/>
          <w:szCs w:val="20"/>
          <w:color w:val="auto"/>
        </w:rPr>
      </w:pPr>
    </w:p>
    <w:p>
      <w:pPr>
        <w:ind w:left="1060" w:hanging="519"/>
        <w:spacing w:after="0"/>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increasing our vulnerability to adverse economic and industry conditions;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limiting our ability to obtain additional financing;</w:t>
      </w:r>
    </w:p>
    <w:p>
      <w:pPr>
        <w:spacing w:after="0" w:line="193" w:lineRule="exact"/>
        <w:rPr>
          <w:rFonts w:ascii="Arial" w:cs="Arial" w:eastAsia="Arial" w:hAnsi="Arial"/>
          <w:sz w:val="15"/>
          <w:szCs w:val="15"/>
          <w:color w:val="auto"/>
        </w:rPr>
      </w:pPr>
    </w:p>
    <w:p>
      <w:pPr>
        <w:ind w:left="1100" w:right="60" w:hanging="559"/>
        <w:spacing w:after="0" w:line="284" w:lineRule="auto"/>
        <w:tabs>
          <w:tab w:leader="none" w:pos="1069" w:val="left"/>
        </w:tabs>
        <w:numPr>
          <w:ilvl w:val="0"/>
          <w:numId w:val="5"/>
        </w:numPr>
        <w:rPr>
          <w:rFonts w:ascii="Arial" w:cs="Arial" w:eastAsia="Arial" w:hAnsi="Arial"/>
          <w:sz w:val="15"/>
          <w:szCs w:val="15"/>
          <w:color w:val="auto"/>
        </w:rPr>
      </w:pPr>
      <w:r>
        <w:rPr>
          <w:rFonts w:ascii="Arial" w:cs="Arial" w:eastAsia="Arial" w:hAnsi="Arial"/>
          <w:sz w:val="15"/>
          <w:szCs w:val="15"/>
          <w:color w:val="auto"/>
        </w:rPr>
        <w:t>requiring the dedication of a substantial portion of our cash flow from operations to service our indebtedness, thereby reducing the amount of our cash flow available for other purposes;</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limiting our flexibility in planning for, or reacting to, changes in our business;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placing us at a possible competitive disadvantage with less leveraged competitors or competitors that may have better access to capital resources.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Any harm to our business and operations resulting from our current or future level of indebtedness could adversely affect our ability to pay amounts due on the new notes.</w:t>
      </w:r>
    </w:p>
    <w:p>
      <w:pPr>
        <w:spacing w:after="0" w:line="205" w:lineRule="exact"/>
        <w:rPr>
          <w:sz w:val="20"/>
          <w:szCs w:val="20"/>
          <w:color w:val="auto"/>
        </w:rPr>
      </w:pPr>
    </w:p>
    <w:p>
      <w:pPr>
        <w:ind w:left="260" w:right="220"/>
        <w:spacing w:after="0" w:line="329" w:lineRule="auto"/>
        <w:rPr>
          <w:sz w:val="20"/>
          <w:szCs w:val="20"/>
          <w:color w:val="auto"/>
        </w:rPr>
      </w:pPr>
      <w:r>
        <w:rPr>
          <w:rFonts w:ascii="Arial" w:cs="Arial" w:eastAsia="Arial" w:hAnsi="Arial"/>
          <w:sz w:val="13"/>
          <w:szCs w:val="13"/>
          <w:b w:val="1"/>
          <w:bCs w:val="1"/>
          <w:i w:val="1"/>
          <w:iCs w:val="1"/>
          <w:color w:val="auto"/>
        </w:rPr>
        <w:t>If we are unable to comply with the restrictions and covenants in the agreements governing the Revolving Credit Agreement, the Term Loan Agreement, the 364-Day Credit Agreement and our other indebtedness, including the indentures governing the notes and our other senior notes, there could be a default under the terms of these agreements, which could result in an acceleration of payment of funds that we have borrowed and would affect our ability to make principal and interest payments on the new notes.</w:t>
      </w:r>
    </w:p>
    <w:p>
      <w:pPr>
        <w:spacing w:after="0" w:line="118" w:lineRule="exact"/>
        <w:rPr>
          <w:sz w:val="20"/>
          <w:szCs w:val="20"/>
          <w:color w:val="auto"/>
        </w:rPr>
      </w:pPr>
    </w:p>
    <w:p>
      <w:pPr>
        <w:ind w:right="160" w:firstLine="549"/>
        <w:spacing w:after="0" w:line="260" w:lineRule="auto"/>
        <w:rPr>
          <w:sz w:val="20"/>
          <w:szCs w:val="20"/>
          <w:color w:val="auto"/>
        </w:rPr>
      </w:pPr>
      <w:r>
        <w:rPr>
          <w:rFonts w:ascii="Arial" w:cs="Arial" w:eastAsia="Arial" w:hAnsi="Arial"/>
          <w:sz w:val="15"/>
          <w:szCs w:val="15"/>
          <w:color w:val="auto"/>
        </w:rPr>
        <w:t>Any default under the agreements governing our indebtedness that is not cured or waived by the required lenders, and the remedies sought by the holders of any such indebtedness, could make us unable to pay principal and interest on the new notes and substantially decrease the market value of the new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the 364-Day Credit Agreement and the indentures governing our other senior notes (the “Prior Indentures”) and the indenture that governs the notes), we could be in default under the terms of such agreements. In the event of such default: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60" w:hanging="519"/>
        <w:spacing w:after="0"/>
        <w:tabs>
          <w:tab w:leader="none" w:pos="1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holders of such indebtedness could elect to declare all the funds borrowed thereunder to be due and payable, together with accrued and unpaid interest;</w:t>
      </w:r>
    </w:p>
    <w:p>
      <w:pPr>
        <w:spacing w:after="0" w:line="205" w:lineRule="exact"/>
        <w:rPr>
          <w:rFonts w:ascii="Arial" w:cs="Arial" w:eastAsia="Arial" w:hAnsi="Arial"/>
          <w:sz w:val="14"/>
          <w:szCs w:val="14"/>
          <w:color w:val="auto"/>
        </w:rPr>
      </w:pPr>
    </w:p>
    <w:p>
      <w:pPr>
        <w:ind w:left="1060" w:hanging="519"/>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lenders under such agreements could elect to terminate their commitments thereunder and cease making further loans;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could be forced into bankruptcy or liquidation.</w:t>
      </w:r>
    </w:p>
    <w:p>
      <w:pPr>
        <w:spacing w:after="0" w:line="194" w:lineRule="exact"/>
        <w:rPr>
          <w:sz w:val="20"/>
          <w:szCs w:val="20"/>
          <w:color w:val="auto"/>
        </w:rPr>
      </w:pPr>
    </w:p>
    <w:p>
      <w:pPr>
        <w:ind w:firstLine="549"/>
        <w:spacing w:after="0" w:line="282" w:lineRule="auto"/>
        <w:rPr>
          <w:sz w:val="20"/>
          <w:szCs w:val="20"/>
          <w:color w:val="auto"/>
        </w:rPr>
      </w:pPr>
      <w:r>
        <w:rPr>
          <w:rFonts w:ascii="Arial" w:cs="Arial" w:eastAsia="Arial" w:hAnsi="Arial"/>
          <w:sz w:val="14"/>
          <w:szCs w:val="14"/>
          <w:color w:val="auto"/>
        </w:rPr>
        <w:t>If our operating performance declines, we may in the future need to obtain waivers under the Revolving Credit Agreement, the Term Loan Agreement, the 364-Day Credit Agreement, the Prior Indentures or the indenture that governs the notes to avoid being in default. As of September 30, 2018, we were in compliance with our debt covenants under the Revolving Credit Agreement, Term Loan Agreement, 364-Day Credit Agreement, the Prior Indentures and the indenture that governs the notes. However, if we are unable to continue to comply with our financial covenants or if we breach our other covenants under the Revolving Credit Agreement, the Term Loan Agreement, the 364-Day Credit Agreement, the Prior Indentures or the indenture that governs the notes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147" w:lineRule="exact"/>
        <w:rPr>
          <w:sz w:val="20"/>
          <w:szCs w:val="20"/>
          <w:color w:val="auto"/>
        </w:rPr>
      </w:pPr>
    </w:p>
    <w:p>
      <w:pPr>
        <w:ind w:left="260" w:right="200"/>
        <w:spacing w:after="0" w:line="284" w:lineRule="auto"/>
        <w:rPr>
          <w:sz w:val="20"/>
          <w:szCs w:val="20"/>
          <w:color w:val="auto"/>
        </w:rPr>
      </w:pPr>
      <w:r>
        <w:rPr>
          <w:rFonts w:ascii="Arial" w:cs="Arial" w:eastAsia="Arial" w:hAnsi="Arial"/>
          <w:sz w:val="15"/>
          <w:szCs w:val="15"/>
          <w:b w:val="1"/>
          <w:bCs w:val="1"/>
          <w:i w:val="1"/>
          <w:iCs w:val="1"/>
          <w:color w:val="auto"/>
        </w:rPr>
        <w:t>The terms of the Revolving Credit Agreement, Term Loan Agreement, 364-Day Credit Agreement, Prior Indentures and the indenture governing the notes restrict our current and future operations, particularly our ability to respond to changes or to pursue our business strategies.</w:t>
      </w:r>
    </w:p>
    <w:p>
      <w:pPr>
        <w:spacing w:after="0" w:line="141" w:lineRule="exact"/>
        <w:rPr>
          <w:sz w:val="20"/>
          <w:szCs w:val="20"/>
          <w:color w:val="auto"/>
        </w:rPr>
      </w:pPr>
    </w:p>
    <w:p>
      <w:pPr>
        <w:ind w:right="80" w:firstLine="549"/>
        <w:spacing w:after="0" w:line="269" w:lineRule="auto"/>
        <w:rPr>
          <w:sz w:val="20"/>
          <w:szCs w:val="20"/>
          <w:color w:val="auto"/>
        </w:rPr>
      </w:pPr>
      <w:r>
        <w:rPr>
          <w:rFonts w:ascii="Arial" w:cs="Arial" w:eastAsia="Arial" w:hAnsi="Arial"/>
          <w:sz w:val="15"/>
          <w:szCs w:val="15"/>
          <w:color w:val="auto"/>
        </w:rPr>
        <w:t>The Revolving Credit Agreement, the Term Loan Agreement, the 364-Day Credit Agreement, the Prior Indentures, and the indenture that governs the notes contain a number of restrictive covenants that impose significant operating and financial restrictions on us and may limit our ability to engage in acts that may be in our long-term best interest, including restrictions on our ability to:</w:t>
      </w:r>
    </w:p>
    <w:p>
      <w:pPr>
        <w:spacing w:after="0" w:line="152" w:lineRule="exact"/>
        <w:rPr>
          <w:sz w:val="20"/>
          <w:szCs w:val="20"/>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pay dividends or make other distributions;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repurchase our equity;</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prepay, redeem or repurchase certain debt;</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make loans and investments;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sell assets;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incur liens;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60" w:hanging="519"/>
        <w:spacing w:after="0"/>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enter into transactions with affiliates;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enter into agreements restricting our subsidiaries’ ability to pay dividends;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consolidate, merge or sell all or substantially all of our assets.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a result of these restrictions, we may be:</w:t>
      </w:r>
    </w:p>
    <w:p>
      <w:pPr>
        <w:spacing w:after="0" w:line="194" w:lineRule="exact"/>
        <w:rPr>
          <w:sz w:val="20"/>
          <w:szCs w:val="20"/>
          <w:color w:val="auto"/>
        </w:rPr>
      </w:pPr>
    </w:p>
    <w:p>
      <w:pPr>
        <w:ind w:left="1060" w:hanging="519"/>
        <w:spacing w:after="0"/>
        <w:tabs>
          <w:tab w:leader="none" w:pos="106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limited in how we conduct our business;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unable to raise additional debt or equity financing to operate during general economic or business downturns; or</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unable to compete effectively, execute our growth strategy or take advantage of new business opportunities.</w:t>
      </w:r>
    </w:p>
    <w:p>
      <w:pPr>
        <w:spacing w:after="0" w:line="194" w:lineRule="exact"/>
        <w:rPr>
          <w:sz w:val="20"/>
          <w:szCs w:val="20"/>
          <w:color w:val="auto"/>
        </w:rPr>
      </w:pPr>
    </w:p>
    <w:p>
      <w:pPr>
        <w:ind w:right="40" w:firstLine="549"/>
        <w:spacing w:after="0" w:line="284" w:lineRule="auto"/>
        <w:rPr>
          <w:sz w:val="20"/>
          <w:szCs w:val="20"/>
          <w:color w:val="auto"/>
        </w:rPr>
      </w:pPr>
      <w:r>
        <w:rPr>
          <w:rFonts w:ascii="Arial" w:cs="Arial" w:eastAsia="Arial" w:hAnsi="Arial"/>
          <w:sz w:val="15"/>
          <w:szCs w:val="15"/>
          <w:color w:val="auto"/>
        </w:rPr>
        <w:t>In addition, the restrictive covenants in the Revolving Credit Agreement, the Term Loan Agreement and the 364-Day Credit Agreement require us to maintain specified financial ratios. Our ability to meet those financial ratios can be affected by events beyond our control.</w:t>
      </w:r>
    </w:p>
    <w:p>
      <w:pPr>
        <w:spacing w:after="0" w:line="141" w:lineRule="exact"/>
        <w:rPr>
          <w:sz w:val="20"/>
          <w:szCs w:val="20"/>
          <w:color w:val="auto"/>
        </w:rPr>
      </w:pPr>
    </w:p>
    <w:p>
      <w:pPr>
        <w:ind w:firstLine="549"/>
        <w:spacing w:after="0" w:line="282" w:lineRule="auto"/>
        <w:rPr>
          <w:sz w:val="20"/>
          <w:szCs w:val="20"/>
          <w:color w:val="auto"/>
        </w:rPr>
      </w:pPr>
      <w:r>
        <w:rPr>
          <w:rFonts w:ascii="Arial" w:cs="Arial" w:eastAsia="Arial" w:hAnsi="Arial"/>
          <w:sz w:val="14"/>
          <w:szCs w:val="14"/>
          <w:color w:val="auto"/>
        </w:rPr>
        <w:t>A breach of the covenants under the Revolving Credit Agreement, the Term Loan Agreement, the 364-Day Credit Agreement, the Prior Indentures or the indenture that governs the notes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Term Loan Agreement or the 364-Day Credit Agreement would permit the lenders thereunder to terminate all commitments. Furthermore, if we were unable to repay the amounts due and payable under the Term Loan Agreement or the 364-Day Credit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147" w:lineRule="exact"/>
        <w:rPr>
          <w:sz w:val="20"/>
          <w:szCs w:val="20"/>
          <w:color w:val="auto"/>
        </w:rPr>
      </w:pPr>
    </w:p>
    <w:p>
      <w:pPr>
        <w:ind w:left="260" w:right="20"/>
        <w:spacing w:after="0" w:line="284" w:lineRule="auto"/>
        <w:rPr>
          <w:sz w:val="20"/>
          <w:szCs w:val="20"/>
          <w:color w:val="auto"/>
        </w:rPr>
      </w:pPr>
      <w:r>
        <w:rPr>
          <w:rFonts w:ascii="Arial" w:cs="Arial" w:eastAsia="Arial" w:hAnsi="Arial"/>
          <w:sz w:val="15"/>
          <w:szCs w:val="15"/>
          <w:b w:val="1"/>
          <w:bCs w:val="1"/>
          <w:i w:val="1"/>
          <w:iCs w:val="1"/>
          <w:color w:val="auto"/>
        </w:rPr>
        <w:t>Your ability to transfer the new notes may be limited by the absence of an active trading market, and there is no assurance that any active trading market will develop for the new notes.</w:t>
      </w:r>
    </w:p>
    <w:p>
      <w:pPr>
        <w:spacing w:after="0" w:line="141" w:lineRule="exact"/>
        <w:rPr>
          <w:sz w:val="20"/>
          <w:szCs w:val="20"/>
          <w:color w:val="auto"/>
        </w:rPr>
      </w:pPr>
    </w:p>
    <w:p>
      <w:pPr>
        <w:ind w:right="120" w:firstLine="549"/>
        <w:spacing w:after="0" w:line="262" w:lineRule="auto"/>
        <w:rPr>
          <w:sz w:val="20"/>
          <w:szCs w:val="20"/>
          <w:color w:val="auto"/>
        </w:rPr>
      </w:pPr>
      <w:r>
        <w:rPr>
          <w:rFonts w:ascii="Arial" w:cs="Arial" w:eastAsia="Arial" w:hAnsi="Arial"/>
          <w:sz w:val="15"/>
          <w:szCs w:val="15"/>
          <w:color w:val="auto"/>
        </w:rPr>
        <w:t>The new notes will be registered under the Securities Act, but will constitute a new issue of securities for which there is no established trading market. We do not intend to have the new notes listed on a national securities exchange or included in any automated quotation system. The liquidity of any market for the new notes will depend upon the number of holders of the new notes, our performance, the market for similar securities, the interest in securities dealers making a market in the new notes and other factors. Therefore, we cannot assure you that an active market for the new notes will develop or, if developed, that it will continue. If an active market does not develop or is not maintained, the price and liquidity of the new notes will be adversely affected.</w:t>
      </w:r>
    </w:p>
    <w:p>
      <w:pPr>
        <w:spacing w:after="0" w:line="157" w:lineRule="exact"/>
        <w:rPr>
          <w:sz w:val="20"/>
          <w:szCs w:val="20"/>
          <w:color w:val="auto"/>
        </w:rPr>
      </w:pPr>
    </w:p>
    <w:p>
      <w:pPr>
        <w:ind w:right="60" w:firstLine="549"/>
        <w:spacing w:after="0" w:line="269" w:lineRule="auto"/>
        <w:rPr>
          <w:sz w:val="20"/>
          <w:szCs w:val="20"/>
          <w:color w:val="auto"/>
        </w:rPr>
      </w:pPr>
      <w:r>
        <w:rPr>
          <w:rFonts w:ascii="Arial" w:cs="Arial" w:eastAsia="Arial" w:hAnsi="Arial"/>
          <w:sz w:val="15"/>
          <w:szCs w:val="15"/>
          <w:color w:val="auto"/>
        </w:rPr>
        <w:t>Historically, the market for non-investment-grade debt has been subject to disruptions that have caused substantial volatility in the prices of securities similar to the new notes. We cannot assure you that the market, if any, for the new notes will be free from similar disruptions or that any such disruptions may not adversely affect the prices at which you may sell your new notes.</w:t>
      </w:r>
    </w:p>
    <w:p>
      <w:pPr>
        <w:spacing w:after="0" w:line="152"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new notes will develop. See “Exchange Offer.”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holding company structure may impact our ability to meet our obligations under the new notes.</w:t>
      </w:r>
    </w:p>
    <w:p>
      <w:pPr>
        <w:spacing w:after="0" w:line="194" w:lineRule="exact"/>
        <w:rPr>
          <w:sz w:val="20"/>
          <w:szCs w:val="20"/>
          <w:color w:val="auto"/>
        </w:rPr>
      </w:pPr>
    </w:p>
    <w:p>
      <w:pPr>
        <w:ind w:right="100" w:firstLine="549"/>
        <w:spacing w:after="0" w:line="311" w:lineRule="auto"/>
        <w:rPr>
          <w:sz w:val="20"/>
          <w:szCs w:val="20"/>
          <w:color w:val="auto"/>
        </w:rPr>
      </w:pPr>
      <w:r>
        <w:rPr>
          <w:rFonts w:ascii="Arial" w:cs="Arial" w:eastAsia="Arial" w:hAnsi="Arial"/>
          <w:sz w:val="13"/>
          <w:szCs w:val="13"/>
          <w:color w:val="auto"/>
        </w:rPr>
        <w:t>We are a holding company subsidiary of Weatherford Ireland with no material assets (other than shares of our subsidiaries), operations, revenues or cash flows other than those related to the issuance, administration and repayment of debt, including the new notes being offered hereby. As a result, our ability to meet our obligations under the new notes is dependent on the generation of cash flow by our subsidiaries and their ability to make such cash available to us, by dividend, loan, debt repayment or otherwise. Our subsidiaries do not have any 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130" w:lineRule="exact"/>
        <w:rPr>
          <w:sz w:val="20"/>
          <w:szCs w:val="20"/>
          <w:color w:val="auto"/>
        </w:rPr>
      </w:pPr>
    </w:p>
    <w:p>
      <w:pPr>
        <w:ind w:right="220" w:firstLine="549"/>
        <w:spacing w:after="0" w:line="264" w:lineRule="auto"/>
        <w:rPr>
          <w:sz w:val="20"/>
          <w:szCs w:val="20"/>
          <w:color w:val="auto"/>
        </w:rPr>
      </w:pPr>
      <w:r>
        <w:rPr>
          <w:rFonts w:ascii="Arial" w:cs="Arial" w:eastAsia="Arial" w:hAnsi="Arial"/>
          <w:sz w:val="15"/>
          <w:szCs w:val="15"/>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not be able to fund a change of control offer.</w:t>
      </w:r>
    </w:p>
    <w:p>
      <w:pPr>
        <w:spacing w:after="0" w:line="194"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If a change of control triggering event occurs, we will be required, subject to certain conditions, to offer to purchase all outstanding notes at a price equal to 101% of the principal amount thereof, plus accrued and unpaid interest thereon to the date of purchase. The holders of the other series of our outstanding senior notes, other than our exchangeable senior notes, have similar put rights upon a change of control triggering event, which would increase the amount of indebtedness we would be required to offer to repurchase following a change of control triggering event. If a change of control triggering event were to occur today, we would not have sufficient funds available to purchase all of the outstanding senior notes were they to be tendered in response to an offer made as a result of a change of control triggering event. We cannot assure you that we will have sufficient funds available or that we will be permitted by our other debt instruments to fulfill these obligations upon a change of control triggering event in the future. Furthermore, any change of control would terminate the commitments under our Revolving Credit Agreement, Term Loan Agreement and the 364-Day Credit Agreement and require us to prepay amounts outstanding thereunder. See “Description of New Notes—Change of Control Repurchase Event.”</w:t>
      </w:r>
    </w:p>
    <w:p>
      <w:pPr>
        <w:spacing w:after="0" w:line="159" w:lineRule="exact"/>
        <w:rPr>
          <w:sz w:val="20"/>
          <w:szCs w:val="20"/>
          <w:color w:val="auto"/>
        </w:rPr>
      </w:pPr>
    </w:p>
    <w:p>
      <w:pPr>
        <w:ind w:left="260" w:right="40"/>
        <w:spacing w:after="0" w:line="284" w:lineRule="auto"/>
        <w:rPr>
          <w:sz w:val="20"/>
          <w:szCs w:val="20"/>
          <w:color w:val="auto"/>
        </w:rPr>
      </w:pPr>
      <w:r>
        <w:rPr>
          <w:rFonts w:ascii="Arial" w:cs="Arial" w:eastAsia="Arial" w:hAnsi="Arial"/>
          <w:sz w:val="15"/>
          <w:szCs w:val="15"/>
          <w:b w:val="1"/>
          <w:bCs w:val="1"/>
          <w:i w:val="1"/>
          <w:iCs w:val="1"/>
          <w:color w:val="auto"/>
        </w:rPr>
        <w:t>Many of the covenants contained in the indenture governing the notes will terminate if the notes are rated investment grade by both S&amp;P and Moody’s and no default or event of default has occurred and is continuing.</w:t>
      </w:r>
    </w:p>
    <w:p>
      <w:pPr>
        <w:spacing w:after="0" w:line="141" w:lineRule="exact"/>
        <w:rPr>
          <w:sz w:val="20"/>
          <w:szCs w:val="20"/>
          <w:color w:val="auto"/>
        </w:rPr>
      </w:pPr>
    </w:p>
    <w:p>
      <w:pPr>
        <w:ind w:right="40" w:firstLine="549"/>
        <w:spacing w:after="0" w:line="285" w:lineRule="auto"/>
        <w:rPr>
          <w:sz w:val="20"/>
          <w:szCs w:val="20"/>
          <w:color w:val="auto"/>
        </w:rPr>
      </w:pPr>
      <w:r>
        <w:rPr>
          <w:rFonts w:ascii="Arial" w:cs="Arial" w:eastAsia="Arial" w:hAnsi="Arial"/>
          <w:sz w:val="14"/>
          <w:szCs w:val="14"/>
          <w:color w:val="auto"/>
        </w:rPr>
        <w:t>Many of the covenants in the indenture governing the notes will terminate if the notes are rated investment grade by both S&amp;P and Moody’s provided at such time no default or event of default has occurred and is continuing. The covenants restrict, among other things, the ability of Weatherford Ireland and its restricted subsidiaries to pay dividends, incur debt and to enter into certain other transactions. There can be no assurance that the notes will ever be rated investment grade. However, termination of these covenants would allow us to engage in certain transactions that would not have been permitted while these covenants were in force, and the effects of any such transactions will be permitted to remain in place even if the notes are subsequently downgraded below investment grade. See “Description of New Notes—Certain Covenants—Covenant Termination.”</w:t>
      </w:r>
    </w:p>
    <w:p>
      <w:pPr>
        <w:spacing w:after="0" w:line="143" w:lineRule="exact"/>
        <w:rPr>
          <w:sz w:val="20"/>
          <w:szCs w:val="20"/>
          <w:color w:val="auto"/>
        </w:rPr>
      </w:pPr>
    </w:p>
    <w:p>
      <w:pPr>
        <w:ind w:left="260" w:right="420"/>
        <w:spacing w:after="0" w:line="284" w:lineRule="auto"/>
        <w:rPr>
          <w:sz w:val="20"/>
          <w:szCs w:val="20"/>
          <w:color w:val="auto"/>
        </w:rPr>
      </w:pPr>
      <w:r>
        <w:rPr>
          <w:rFonts w:ascii="Arial" w:cs="Arial" w:eastAsia="Arial" w:hAnsi="Arial"/>
          <w:sz w:val="15"/>
          <w:szCs w:val="15"/>
          <w:b w:val="1"/>
          <w:bCs w:val="1"/>
          <w:i w:val="1"/>
          <w:iCs w:val="1"/>
          <w:color w:val="auto"/>
        </w:rPr>
        <w:t>The indenture governing the notes permits us to sell or distribute our land drilling business to our shareholders. A sale or spinoff of that business would result in a smaller amount of consolidated assets supporting the repayment of the new notes.</w:t>
      </w:r>
    </w:p>
    <w:p>
      <w:pPr>
        <w:spacing w:after="0" w:line="141" w:lineRule="exact"/>
        <w:rPr>
          <w:sz w:val="20"/>
          <w:szCs w:val="20"/>
          <w:color w:val="auto"/>
        </w:rPr>
      </w:pPr>
    </w:p>
    <w:p>
      <w:pPr>
        <w:ind w:right="300" w:firstLine="549"/>
        <w:spacing w:after="0" w:line="329" w:lineRule="auto"/>
        <w:rPr>
          <w:sz w:val="20"/>
          <w:szCs w:val="20"/>
          <w:color w:val="auto"/>
        </w:rPr>
      </w:pPr>
      <w:r>
        <w:rPr>
          <w:rFonts w:ascii="Arial" w:cs="Arial" w:eastAsia="Arial" w:hAnsi="Arial"/>
          <w:sz w:val="13"/>
          <w:szCs w:val="13"/>
          <w:color w:val="auto"/>
        </w:rPr>
        <w:t>The indenture governing the notes permits us to sell or spinoff, by way of a stock dividend, the voting securities of a subsidiary that holds all or substantially all of our land drilling rigs and related assets, subject only to the absence of any continuing default or event of default. See “Description of New Notes—Certain Definitions—Qualified Spin Transaction.” As a result of any such sale or spinoff transaction, the holders of the new notes would have a smaller amount of consolidated assets supporting repayment of their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Weatherford Ireland’s, Weatherford Bermuda’s and Weatherford Delaware’s credit ratings may not reflect all risks of your investment in the new notes.</w:t>
      </w:r>
    </w:p>
    <w:p>
      <w:pPr>
        <w:spacing w:after="0" w:line="194" w:lineRule="exact"/>
        <w:rPr>
          <w:sz w:val="20"/>
          <w:szCs w:val="20"/>
          <w:color w:val="auto"/>
        </w:rPr>
      </w:pPr>
    </w:p>
    <w:p>
      <w:pPr>
        <w:ind w:right="220" w:firstLine="549"/>
        <w:spacing w:after="0" w:line="264" w:lineRule="auto"/>
        <w:rPr>
          <w:sz w:val="20"/>
          <w:szCs w:val="20"/>
          <w:color w:val="auto"/>
        </w:rPr>
      </w:pPr>
      <w:r>
        <w:rPr>
          <w:rFonts w:ascii="Arial" w:cs="Arial" w:eastAsia="Arial" w:hAnsi="Arial"/>
          <w:sz w:val="15"/>
          <w:szCs w:val="15"/>
          <w:color w:val="auto"/>
        </w:rPr>
        <w:t>Weatherford Ireland’s, Weatherford Bermuda’s and Weatherford Delaware’s credit ratings are assessments by rating agencies of their ability to pay their debts when due. Consequently, real or anticipated changes in their credit ratings will generally affect the market value of the new notes. These credit ratings may not reflect the potential impact of risks relating to the structure or marketing of the new notes. Agency ratings are not a recommendation to buy, sell or hold any security, and may be revised or withdrawn at any time by the issuing organization. Each agency’s ratings should be evaluated independently of any other agency’s ratings.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If we cannot meet the NYSE’s continued listing requirements, the NYSE may delist Weatherford Ireland’s ordinary shares.</w:t>
      </w:r>
    </w:p>
    <w:p>
      <w:pPr>
        <w:spacing w:after="0" w:line="194" w:lineRule="exact"/>
        <w:rPr>
          <w:sz w:val="20"/>
          <w:szCs w:val="20"/>
          <w:color w:val="auto"/>
        </w:rPr>
      </w:pPr>
    </w:p>
    <w:p>
      <w:pPr>
        <w:ind w:right="120" w:firstLine="549"/>
        <w:spacing w:after="0" w:line="322" w:lineRule="auto"/>
        <w:rPr>
          <w:sz w:val="20"/>
          <w:szCs w:val="20"/>
          <w:color w:val="auto"/>
        </w:rPr>
      </w:pPr>
      <w:r>
        <w:rPr>
          <w:rFonts w:ascii="Arial" w:cs="Arial" w:eastAsia="Arial" w:hAnsi="Arial"/>
          <w:sz w:val="14"/>
          <w:szCs w:val="14"/>
          <w:color w:val="auto"/>
        </w:rPr>
        <w:t>In the future, if we are not able to meet the continued listing requirements of the NYSE, which require, among other things, that the average closing price of our ordinary shares be above $1.00 over 30 consecutive trading days, our ordinary shares may be delisted. The closing price of our ordinary shares on December 10, 2018 was $0.46.</w:t>
      </w:r>
    </w:p>
    <w:p>
      <w:pPr>
        <w:spacing w:after="0" w:line="117" w:lineRule="exact"/>
        <w:rPr>
          <w:sz w:val="20"/>
          <w:szCs w:val="20"/>
          <w:color w:val="auto"/>
        </w:rPr>
      </w:pPr>
    </w:p>
    <w:p>
      <w:pPr>
        <w:ind w:right="20" w:firstLine="549"/>
        <w:spacing w:after="0" w:line="264" w:lineRule="auto"/>
        <w:rPr>
          <w:sz w:val="20"/>
          <w:szCs w:val="20"/>
          <w:color w:val="auto"/>
        </w:rPr>
      </w:pPr>
      <w:r>
        <w:rPr>
          <w:rFonts w:ascii="Arial" w:cs="Arial" w:eastAsia="Arial" w:hAnsi="Arial"/>
          <w:sz w:val="15"/>
          <w:szCs w:val="15"/>
          <w:color w:val="auto"/>
        </w:rPr>
        <w:t>If we are unable to satisfy the NYSE’s criteria for continued listing, our ordinary shares would be subject to delisting. A delisting of our ordinary shares could negatively impact us by, among other things, reducing the liquidity and market price of the ordinary shares; reducing the number of investors willing to hold or acquire our ordinary shares, which could negatively impact our ability to raise equity financing; decreasing the amount of news and analyst coverage of us; and limiting our ability to issue additional securities or obtain additional financing in the future.</w:t>
      </w:r>
    </w:p>
    <w:p>
      <w:pPr>
        <w:spacing w:after="0" w:line="157" w:lineRule="exact"/>
        <w:rPr>
          <w:sz w:val="20"/>
          <w:szCs w:val="20"/>
          <w:color w:val="auto"/>
        </w:rPr>
      </w:pPr>
    </w:p>
    <w:p>
      <w:pPr>
        <w:ind w:right="20" w:firstLine="549"/>
        <w:spacing w:after="0" w:line="308" w:lineRule="auto"/>
        <w:rPr>
          <w:sz w:val="20"/>
          <w:szCs w:val="20"/>
          <w:color w:val="auto"/>
        </w:rPr>
      </w:pPr>
      <w:r>
        <w:rPr>
          <w:rFonts w:ascii="Arial" w:cs="Arial" w:eastAsia="Arial" w:hAnsi="Arial"/>
          <w:sz w:val="13"/>
          <w:szCs w:val="13"/>
          <w:color w:val="auto"/>
        </w:rPr>
        <w:t>In addition, delisting from the NYSE might negatively impact our reputation and, as a consequence, our business. Moreover, a delisting of our ordinary shares would constitute a “fundamental change” under the terms of indenture governing the Exchangeable Notes (as defined below), which would require us to make an offer to repurchase the Exchangeable Notes at an amount in cash equal to the principal amount of the Exchangeable Notes plus accrued and unpaid interest on the Exchangeable Notes. We may not have enough available cash or be able to obtain financing at the time we are required to make repurchases of the Exchangeable Notes. Our failure to repurchase notes when required in connection with a fundamental change would constitute a default under the indenture. A default under the indenture or the fundamental change itself could also lead to a default under agreements governing our other indebtedness. If the repayment of the other indebtedness accelerates, then we may not have sufficient funds to repay that indebtedness or repurchase the notes when required.</w:t>
      </w:r>
    </w:p>
    <w:p>
      <w:pPr>
        <w:spacing w:after="0" w:line="131" w:lineRule="exact"/>
        <w:rPr>
          <w:sz w:val="20"/>
          <w:szCs w:val="20"/>
          <w:color w:val="auto"/>
        </w:rPr>
      </w:pPr>
    </w:p>
    <w:p>
      <w:pPr>
        <w:ind w:left="260" w:right="20"/>
        <w:spacing w:after="0" w:line="284" w:lineRule="auto"/>
        <w:rPr>
          <w:sz w:val="20"/>
          <w:szCs w:val="20"/>
          <w:color w:val="auto"/>
        </w:rPr>
      </w:pPr>
      <w:r>
        <w:rPr>
          <w:rFonts w:ascii="Arial" w:cs="Arial" w:eastAsia="Arial" w:hAnsi="Arial"/>
          <w:sz w:val="15"/>
          <w:szCs w:val="15"/>
          <w:b w:val="1"/>
          <w:bCs w:val="1"/>
          <w:i w:val="1"/>
          <w:iCs w:val="1"/>
          <w:color w:val="auto"/>
        </w:rPr>
        <w:t>The guarantees of the new notes will be the guarantors’ obligations only, and the guarantors’ operations are conducted through, and substantially all of their consolidated assets are held by, their subsidiaries.</w:t>
      </w:r>
    </w:p>
    <w:p>
      <w:pPr>
        <w:spacing w:after="0" w:line="141" w:lineRule="exact"/>
        <w:rPr>
          <w:sz w:val="20"/>
          <w:szCs w:val="20"/>
          <w:color w:val="auto"/>
        </w:rPr>
      </w:pPr>
    </w:p>
    <w:p>
      <w:pPr>
        <w:ind w:firstLine="549"/>
        <w:spacing w:after="0" w:line="282" w:lineRule="auto"/>
        <w:rPr>
          <w:sz w:val="20"/>
          <w:szCs w:val="20"/>
          <w:color w:val="auto"/>
        </w:rPr>
      </w:pPr>
      <w:r>
        <w:rPr>
          <w:rFonts w:ascii="Arial" w:cs="Arial" w:eastAsia="Arial" w:hAnsi="Arial"/>
          <w:sz w:val="14"/>
          <w:szCs w:val="14"/>
          <w:color w:val="auto"/>
        </w:rPr>
        <w:t>Weatherford Ireland and Weatherford Bermuda are each holding companies that conduct all of their respective operations through subsidiaries. Accordingly, the guarantors’ ability to pay the cash obligations, if any, that become due under the guarantees of the new notes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new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147" w:lineRule="exact"/>
        <w:rPr>
          <w:sz w:val="20"/>
          <w:szCs w:val="20"/>
          <w:color w:val="auto"/>
        </w:rPr>
      </w:pPr>
    </w:p>
    <w:p>
      <w:pPr>
        <w:ind w:left="260" w:right="20"/>
        <w:spacing w:after="0" w:line="284" w:lineRule="auto"/>
        <w:rPr>
          <w:sz w:val="20"/>
          <w:szCs w:val="20"/>
          <w:color w:val="auto"/>
        </w:rPr>
      </w:pPr>
      <w:r>
        <w:rPr>
          <w:rFonts w:ascii="Arial" w:cs="Arial" w:eastAsia="Arial" w:hAnsi="Arial"/>
          <w:sz w:val="15"/>
          <w:szCs w:val="15"/>
          <w:b w:val="1"/>
          <w:bCs w:val="1"/>
          <w:i w:val="1"/>
          <w:iCs w:val="1"/>
          <w:color w:val="auto"/>
        </w:rPr>
        <w:t>U.S. Federal and state laws, Bermuda law and Irish law allow courts, under specific circumstances, to void guarantees and require noteholders to return payments received from guarantors.</w:t>
      </w:r>
    </w:p>
    <w:p>
      <w:pPr>
        <w:spacing w:after="0" w:line="141" w:lineRule="exact"/>
        <w:rPr>
          <w:sz w:val="20"/>
          <w:szCs w:val="20"/>
          <w:color w:val="auto"/>
        </w:rPr>
      </w:pPr>
    </w:p>
    <w:p>
      <w:pPr>
        <w:ind w:right="360" w:firstLine="549"/>
        <w:spacing w:after="0" w:line="284" w:lineRule="auto"/>
        <w:rPr>
          <w:sz w:val="20"/>
          <w:szCs w:val="20"/>
          <w:color w:val="auto"/>
        </w:rPr>
      </w:pPr>
      <w:r>
        <w:rPr>
          <w:rFonts w:ascii="Arial" w:cs="Arial" w:eastAsia="Arial" w:hAnsi="Arial"/>
          <w:sz w:val="15"/>
          <w:szCs w:val="15"/>
          <w:color w:val="auto"/>
        </w:rPr>
        <w:t>Under U.S. federal and foreign bankruptcy laws and comparable provisions of state and foreign fraudulent transfer laws, the guarantees of the new notes could be voided if, among other things, at the time the guarantors issued the guarantees, a guarantor:</w:t>
      </w:r>
    </w:p>
    <w:p>
      <w:pPr>
        <w:spacing w:after="0" w:line="141" w:lineRule="exact"/>
        <w:rPr>
          <w:sz w:val="20"/>
          <w:szCs w:val="20"/>
          <w:color w:val="auto"/>
        </w:rPr>
      </w:pPr>
    </w:p>
    <w:p>
      <w:pPr>
        <w:ind w:left="1060" w:hanging="519"/>
        <w:spacing w:after="0"/>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intended to hinder, delay or defraud any present or future creditor by making such guarantee; or</w:t>
      </w:r>
    </w:p>
    <w:p>
      <w:pPr>
        <w:spacing w:after="0" w:line="193" w:lineRule="exact"/>
        <w:rPr>
          <w:rFonts w:ascii="Arial" w:cs="Arial" w:eastAsia="Arial" w:hAnsi="Arial"/>
          <w:sz w:val="15"/>
          <w:szCs w:val="15"/>
          <w:color w:val="auto"/>
        </w:rPr>
      </w:pPr>
    </w:p>
    <w:p>
      <w:pPr>
        <w:ind w:left="5640" w:right="3120" w:hanging="5099"/>
        <w:spacing w:after="0" w:line="539" w:lineRule="auto"/>
        <w:tabs>
          <w:tab w:leader="none" w:pos="1062"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received less than reasonably equivalent value or fair consideration for the incurrence of such indebtedness and either: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-80645</wp:posOffset>
            </wp:positionV>
            <wp:extent cx="728726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600" w:hanging="510"/>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was insolvent or rendered insolvent by reason of such incurrence; or</w:t>
      </w:r>
    </w:p>
    <w:p>
      <w:pPr>
        <w:spacing w:after="0" w:line="193" w:lineRule="exact"/>
        <w:rPr>
          <w:rFonts w:ascii="Arial" w:cs="Arial" w:eastAsia="Arial" w:hAnsi="Arial"/>
          <w:sz w:val="15"/>
          <w:szCs w:val="15"/>
          <w:color w:val="auto"/>
        </w:rPr>
      </w:pPr>
    </w:p>
    <w:p>
      <w:pPr>
        <w:ind w:left="1600" w:hanging="510"/>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was engaged in a business or transaction for which its remaining assets constituted unreasonably small capital; or</w:t>
      </w:r>
    </w:p>
    <w:p>
      <w:pPr>
        <w:spacing w:after="0" w:line="193" w:lineRule="exact"/>
        <w:rPr>
          <w:rFonts w:ascii="Arial" w:cs="Arial" w:eastAsia="Arial" w:hAnsi="Arial"/>
          <w:sz w:val="15"/>
          <w:szCs w:val="15"/>
          <w:color w:val="auto"/>
        </w:rPr>
      </w:pPr>
    </w:p>
    <w:p>
      <w:pPr>
        <w:ind w:left="1600" w:hanging="510"/>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intended to incur, or believed that it would incur, debts beyond its ability to pay such debts as they mature.</w:t>
      </w:r>
    </w:p>
    <w:p>
      <w:pPr>
        <w:spacing w:after="0" w:line="194"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141" w:lineRule="exact"/>
        <w:rPr>
          <w:sz w:val="20"/>
          <w:szCs w:val="20"/>
          <w:color w:val="auto"/>
        </w:rPr>
      </w:pPr>
    </w:p>
    <w:p>
      <w:pPr>
        <w:ind w:left="1060" w:hanging="519"/>
        <w:spacing w:after="0"/>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sum of its debts, including contingent liabilities, was greater than the saleable value of all of its assets;</w:t>
      </w:r>
    </w:p>
    <w:p>
      <w:pPr>
        <w:spacing w:after="0" w:line="193" w:lineRule="exact"/>
        <w:rPr>
          <w:rFonts w:ascii="Arial" w:cs="Arial" w:eastAsia="Arial" w:hAnsi="Arial"/>
          <w:sz w:val="15"/>
          <w:szCs w:val="15"/>
          <w:color w:val="auto"/>
        </w:rPr>
      </w:pPr>
    </w:p>
    <w:p>
      <w:pPr>
        <w:ind w:left="1100" w:right="420" w:hanging="559"/>
        <w:spacing w:after="0" w:line="284" w:lineRule="auto"/>
        <w:tabs>
          <w:tab w:leader="none" w:pos="10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it was generally not paying or could not pay its debts as they become due.</w:t>
      </w:r>
    </w:p>
    <w:p>
      <w:pPr>
        <w:spacing w:after="0" w:line="194" w:lineRule="exact"/>
        <w:rPr>
          <w:sz w:val="20"/>
          <w:szCs w:val="20"/>
          <w:color w:val="auto"/>
        </w:rPr>
      </w:pPr>
    </w:p>
    <w:p>
      <w:pPr>
        <w:ind w:right="140" w:firstLine="549"/>
        <w:spacing w:after="0" w:line="264" w:lineRule="auto"/>
        <w:rPr>
          <w:sz w:val="20"/>
          <w:szCs w:val="20"/>
          <w:color w:val="auto"/>
        </w:rPr>
      </w:pPr>
      <w:r>
        <w:rPr>
          <w:rFonts w:ascii="Arial" w:cs="Arial" w:eastAsia="Arial" w:hAnsi="Arial"/>
          <w:sz w:val="15"/>
          <w:szCs w:val="15"/>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new notes.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Under Bermuda law, the guarantees or payment thereunder may be set aside or otherwise varied or amended by order of a Bermuda court. This may occur where:</w:t>
      </w:r>
    </w:p>
    <w:p>
      <w:pPr>
        <w:spacing w:after="0" w:line="194" w:lineRule="exact"/>
        <w:rPr>
          <w:sz w:val="20"/>
          <w:szCs w:val="20"/>
          <w:color w:val="auto"/>
        </w:rPr>
      </w:pPr>
    </w:p>
    <w:p>
      <w:pPr>
        <w:ind w:left="1100" w:right="80" w:hanging="559"/>
        <w:spacing w:after="0" w:line="269" w:lineRule="auto"/>
        <w:tabs>
          <w:tab w:leader="none" w:pos="106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issue of the guarantees or payment thereunder is found to be a disposition of property at an undervalue made with the dominant purpose of putting property beyond the reach of a person who may at some time make a claim against the guarantor. In these circumstances a Bermuda court may make an order voiding or varying a guarantor’s obligations under its guarantee;</w:t>
      </w:r>
    </w:p>
    <w:p>
      <w:pPr>
        <w:spacing w:after="0" w:line="152" w:lineRule="exact"/>
        <w:rPr>
          <w:rFonts w:ascii="Arial" w:cs="Arial" w:eastAsia="Arial" w:hAnsi="Arial"/>
          <w:sz w:val="15"/>
          <w:szCs w:val="15"/>
          <w:color w:val="auto"/>
        </w:rPr>
      </w:pPr>
    </w:p>
    <w:p>
      <w:pPr>
        <w:ind w:left="1100" w:right="100" w:hanging="559"/>
        <w:spacing w:after="0" w:line="264" w:lineRule="auto"/>
        <w:tabs>
          <w:tab w:leader="none" w:pos="1069" w:val="left"/>
        </w:tabs>
        <w:numPr>
          <w:ilvl w:val="0"/>
          <w:numId w:val="13"/>
        </w:numPr>
        <w:rPr>
          <w:rFonts w:ascii="Arial" w:cs="Arial" w:eastAsia="Arial" w:hAnsi="Arial"/>
          <w:sz w:val="15"/>
          <w:szCs w:val="15"/>
          <w:color w:val="auto"/>
        </w:rPr>
      </w:pPr>
      <w:r>
        <w:rPr>
          <w:rFonts w:ascii="Arial" w:cs="Arial" w:eastAsia="Arial" w:hAnsi="Arial"/>
          <w:sz w:val="15"/>
          <w:szCs w:val="15"/>
          <w:color w:val="auto"/>
        </w:rPr>
        <w:t>Within six months of issuing the guarantees or making payment thereunder, a guarantor commences winding-up proceedings in Bermuda and it can be shown that: i) at the time of issuing the guarantees or making a payment thereunder, the guarantor was insolvent; and ii) the issue of the guarantee or the payment thereunder was made with the dominant intention of preferring certain creditors over other creditors of the company. In these circumstances the guarantees or payment thereunder may be deemed a fraudulent preference by a Bermuda court and be voided or varied accordingly; or</w:t>
      </w:r>
    </w:p>
    <w:p>
      <w:pPr>
        <w:spacing w:after="0" w:line="156" w:lineRule="exact"/>
        <w:rPr>
          <w:rFonts w:ascii="Arial" w:cs="Arial" w:eastAsia="Arial" w:hAnsi="Arial"/>
          <w:sz w:val="15"/>
          <w:szCs w:val="15"/>
          <w:color w:val="auto"/>
        </w:rPr>
      </w:pPr>
    </w:p>
    <w:p>
      <w:pPr>
        <w:ind w:left="1100" w:right="200" w:hanging="559"/>
        <w:spacing w:after="0" w:line="284" w:lineRule="auto"/>
        <w:tabs>
          <w:tab w:leader="none" w:pos="1069"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Bermuda company commences a court-ordered winding-up in Bermuda and payment is made pursuant to the guarantees (or new guarantees are issued) without the sanction of the Bermuda court. Any such payment or new guarantees made without sanction would be void.</w:t>
      </w:r>
    </w:p>
    <w:p>
      <w:pPr>
        <w:spacing w:after="0" w:line="141"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In addition, in a winding-up of a Bermuda company, the claims of certain preferential creditors will rank in priority to claims of unsecured creditors. If Weatherford Bermuda is wound up and Weatherford Bermuda has obligations to creditors that are treated under Bermuda law as creditors that are senior relative to the holders of the notes, the holders of the notes may suffer losses as a result of their subordinated status during such winding-up.</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issuance of the guarantees of the new notes by a guarantor may be subject to review under Irish law in certain circumstances, including the following:</w:t>
      </w:r>
    </w:p>
    <w:p>
      <w:pPr>
        <w:spacing w:after="0" w:line="194" w:lineRule="exact"/>
        <w:rPr>
          <w:sz w:val="20"/>
          <w:szCs w:val="20"/>
          <w:color w:val="auto"/>
        </w:rPr>
      </w:pPr>
    </w:p>
    <w:p>
      <w:pPr>
        <w:ind w:left="1100" w:right="140" w:hanging="559"/>
        <w:spacing w:after="0" w:line="284" w:lineRule="auto"/>
        <w:tabs>
          <w:tab w:leader="none" w:pos="106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guarantor, having become the subject of liquidation proceedings within six months (or two years if the guarantee is given in favor of anyone who is, in relation to the guarantor, a connected person)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100" w:right="220"/>
        <w:spacing w:after="0" w:line="284" w:lineRule="auto"/>
        <w:rPr>
          <w:sz w:val="20"/>
          <w:szCs w:val="20"/>
          <w:color w:val="auto"/>
        </w:rPr>
      </w:pPr>
      <w:r>
        <w:rPr>
          <w:rFonts w:ascii="Arial" w:cs="Arial" w:eastAsia="Arial" w:hAnsi="Arial"/>
          <w:sz w:val="15"/>
          <w:szCs w:val="15"/>
          <w:color w:val="auto"/>
        </w:rPr>
        <w:t>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141" w:lineRule="exact"/>
        <w:rPr>
          <w:sz w:val="20"/>
          <w:szCs w:val="20"/>
          <w:color w:val="auto"/>
        </w:rPr>
      </w:pPr>
    </w:p>
    <w:p>
      <w:pPr>
        <w:ind w:left="1100" w:right="20" w:hanging="559"/>
        <w:spacing w:after="0" w:line="269" w:lineRule="auto"/>
        <w:tabs>
          <w:tab w:leader="none" w:pos="1069"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152" w:lineRule="exact"/>
        <w:rPr>
          <w:rFonts w:ascii="Arial" w:cs="Arial" w:eastAsia="Arial" w:hAnsi="Arial"/>
          <w:sz w:val="15"/>
          <w:szCs w:val="15"/>
          <w:color w:val="auto"/>
        </w:rPr>
      </w:pPr>
    </w:p>
    <w:p>
      <w:pPr>
        <w:ind w:left="1060" w:hanging="519"/>
        <w:spacing w:after="0"/>
        <w:tabs>
          <w:tab w:leader="none" w:pos="10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the guarantee is challenged on the grounds that there was no corporate benefit to the guarantor in entering into the guarantee; or</w:t>
      </w:r>
    </w:p>
    <w:p>
      <w:pPr>
        <w:spacing w:after="0" w:line="193" w:lineRule="exact"/>
        <w:rPr>
          <w:rFonts w:ascii="Arial" w:cs="Arial" w:eastAsia="Arial" w:hAnsi="Arial"/>
          <w:sz w:val="15"/>
          <w:szCs w:val="15"/>
          <w:color w:val="auto"/>
        </w:rPr>
      </w:pPr>
    </w:p>
    <w:p>
      <w:pPr>
        <w:ind w:left="1100" w:right="20" w:hanging="559"/>
        <w:spacing w:after="0" w:line="284" w:lineRule="auto"/>
        <w:tabs>
          <w:tab w:leader="none" w:pos="1069"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141" w:lineRule="exact"/>
        <w:rPr>
          <w:sz w:val="20"/>
          <w:szCs w:val="20"/>
          <w:color w:val="auto"/>
        </w:rPr>
      </w:pPr>
    </w:p>
    <w:p>
      <w:pPr>
        <w:ind w:firstLine="549"/>
        <w:spacing w:after="0" w:line="305" w:lineRule="auto"/>
        <w:rPr>
          <w:sz w:val="20"/>
          <w:szCs w:val="20"/>
          <w:color w:val="auto"/>
        </w:rPr>
      </w:pPr>
      <w:r>
        <w:rPr>
          <w:rFonts w:ascii="Arial" w:cs="Arial" w:eastAsia="Arial" w:hAnsi="Arial"/>
          <w:sz w:val="13"/>
          <w:szCs w:val="13"/>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Weatherford Bermuda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new notes, the holders of the new notes may suffer losses as a result of their subordinated status during such insolvency proceeding.</w:t>
      </w:r>
    </w:p>
    <w:p>
      <w:pPr>
        <w:spacing w:after="0" w:line="135" w:lineRule="exact"/>
        <w:rPr>
          <w:sz w:val="20"/>
          <w:szCs w:val="20"/>
          <w:color w:val="auto"/>
        </w:rPr>
      </w:pPr>
    </w:p>
    <w:p>
      <w:pPr>
        <w:jc w:val="both"/>
        <w:ind w:right="120" w:firstLine="549"/>
        <w:spacing w:after="0" w:line="269" w:lineRule="auto"/>
        <w:rPr>
          <w:sz w:val="20"/>
          <w:szCs w:val="20"/>
          <w:color w:val="auto"/>
        </w:rPr>
      </w:pPr>
      <w:r>
        <w:rPr>
          <w:rFonts w:ascii="Arial" w:cs="Arial" w:eastAsia="Arial" w:hAnsi="Arial"/>
          <w:sz w:val="15"/>
          <w:szCs w:val="15"/>
          <w:color w:val="auto"/>
        </w:rPr>
        <w:t>If a court voids the guarantee or any payment under the guarantee of the new notes as a result of a fraudulent transfer or holds it unenforceable for any other reason, the rights of holders of the new notes under the guarantee would be seriously undermined and such holders could cease to have any claim against that guarantor under its guarantee of the new notes. See “—Our holding company structure may impact our ability to meet our obligations under the new notes.”</w:t>
      </w:r>
    </w:p>
    <w:p>
      <w:pPr>
        <w:spacing w:after="0" w:line="152" w:lineRule="exact"/>
        <w:rPr>
          <w:sz w:val="20"/>
          <w:szCs w:val="20"/>
          <w:color w:val="auto"/>
        </w:rPr>
      </w:pPr>
    </w:p>
    <w:p>
      <w:pPr>
        <w:ind w:right="40" w:firstLine="549"/>
        <w:spacing w:after="0" w:line="264" w:lineRule="auto"/>
        <w:rPr>
          <w:sz w:val="20"/>
          <w:szCs w:val="20"/>
          <w:color w:val="auto"/>
        </w:rPr>
      </w:pPr>
      <w:r>
        <w:rPr>
          <w:rFonts w:ascii="Arial" w:cs="Arial" w:eastAsia="Arial" w:hAnsi="Arial"/>
          <w:sz w:val="15"/>
          <w:szCs w:val="15"/>
          <w:color w:val="auto"/>
        </w:rPr>
        <w:t>A substantial number of our guarantors’ subsidiaries operate or are incorporated in jurisdictions other than Ireland and Bermuda and may be subject to the insolvency, bankruptcy and corporation laws of such other jurisdictions. The insolvency, bankruptcy and corporation laws of these jurisdictions may differ materially from those of Ireland and those of Bermuda. In addition, there can be no assurance as to how the insolvency, bankruptcy or corporation laws of the various jurisdictions in which Weatherford Ireland and its subsidiaries operate will be applied in relation to one another.</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If Weatherford Ireland is unable to pay its debts, an examiner may be appointed under Irish law to oversee Weatherford Ireland’s operations.</w:t>
      </w:r>
    </w:p>
    <w:p>
      <w:pPr>
        <w:spacing w:after="0" w:line="194" w:lineRule="exact"/>
        <w:rPr>
          <w:sz w:val="20"/>
          <w:szCs w:val="20"/>
          <w:color w:val="auto"/>
        </w:rPr>
      </w:pPr>
    </w:p>
    <w:p>
      <w:pPr>
        <w:ind w:right="40" w:firstLine="549"/>
        <w:spacing w:after="0" w:line="262" w:lineRule="auto"/>
        <w:rPr>
          <w:sz w:val="20"/>
          <w:szCs w:val="20"/>
          <w:color w:val="auto"/>
        </w:rPr>
      </w:pPr>
      <w:r>
        <w:rPr>
          <w:rFonts w:ascii="Arial" w:cs="Arial" w:eastAsia="Arial" w:hAnsi="Arial"/>
          <w:sz w:val="15"/>
          <w:szCs w:val="15"/>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not insolvent. If an examiner has been appointed to Weatherford Ireland or any of its subsidiaries, the examinership may be extended to any of the related companies of the entity in question, including us and Weatherford Bermuda, even if we or Weatherford Bermuda are solvent. There can be no assurance that we would be exempt from an extension of the examinership.</w:t>
      </w:r>
    </w:p>
    <w:p>
      <w:pPr>
        <w:spacing w:after="0" w:line="157" w:lineRule="exact"/>
        <w:rPr>
          <w:sz w:val="20"/>
          <w:szCs w:val="20"/>
          <w:color w:val="auto"/>
        </w:rPr>
      </w:pPr>
    </w:p>
    <w:p>
      <w:pPr>
        <w:ind w:right="300" w:firstLine="549"/>
        <w:spacing w:after="0" w:line="269" w:lineRule="auto"/>
        <w:rPr>
          <w:sz w:val="20"/>
          <w:szCs w:val="20"/>
          <w:color w:val="auto"/>
        </w:rPr>
      </w:pPr>
      <w:r>
        <w:rPr>
          <w:rFonts w:ascii="Arial" w:cs="Arial" w:eastAsia="Arial" w:hAnsi="Arial"/>
          <w:sz w:val="15"/>
          <w:szCs w:val="15"/>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152" w:lineRule="exact"/>
        <w:rPr>
          <w:sz w:val="20"/>
          <w:szCs w:val="20"/>
          <w:color w:val="auto"/>
        </w:rPr>
      </w:pPr>
    </w:p>
    <w:p>
      <w:pPr>
        <w:ind w:firstLine="549"/>
        <w:spacing w:after="0" w:line="289" w:lineRule="auto"/>
        <w:rPr>
          <w:sz w:val="20"/>
          <w:szCs w:val="20"/>
          <w:color w:val="auto"/>
        </w:rPr>
      </w:pPr>
      <w:r>
        <w:rPr>
          <w:rFonts w:ascii="Arial" w:cs="Arial" w:eastAsia="Arial" w:hAnsi="Arial"/>
          <w:sz w:val="14"/>
          <w:szCs w:val="14"/>
          <w:color w:val="auto"/>
        </w:rPr>
        <w:t>Further, a scheme of arrangement may be approved involving the writing down of the debt due by Weatherford Ireland to the holders of the new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new notes.</w:t>
      </w:r>
    </w:p>
    <w:p>
      <w:pPr>
        <w:spacing w:after="0" w:line="140" w:lineRule="exact"/>
        <w:rPr>
          <w:sz w:val="20"/>
          <w:szCs w:val="20"/>
          <w:color w:val="auto"/>
        </w:rPr>
      </w:pPr>
    </w:p>
    <w:p>
      <w:pPr>
        <w:ind w:right="100" w:firstLine="549"/>
        <w:spacing w:after="0" w:line="297" w:lineRule="auto"/>
        <w:rPr>
          <w:sz w:val="20"/>
          <w:szCs w:val="20"/>
          <w:color w:val="auto"/>
        </w:rPr>
      </w:pPr>
      <w:r>
        <w:rPr>
          <w:rFonts w:ascii="Arial" w:cs="Arial" w:eastAsia="Arial" w:hAnsi="Arial"/>
          <w:sz w:val="14"/>
          <w:szCs w:val="14"/>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Ireland becoming insolvent, its guarantee of the new notes or any payment by it pursuant to such guarantee will not be challenged by a liquidator or examiner or that a court would uphold such guarantee or payment.</w:t>
      </w:r>
    </w:p>
    <w:p>
      <w:pPr>
        <w:spacing w:after="0" w:line="135" w:lineRule="exact"/>
        <w:rPr>
          <w:sz w:val="20"/>
          <w:szCs w:val="20"/>
          <w:color w:val="auto"/>
        </w:rPr>
      </w:pPr>
    </w:p>
    <w:p>
      <w:pPr>
        <w:ind w:left="260"/>
        <w:spacing w:after="0" w:line="284" w:lineRule="auto"/>
        <w:rPr>
          <w:sz w:val="20"/>
          <w:szCs w:val="20"/>
          <w:color w:val="auto"/>
        </w:rPr>
      </w:pPr>
      <w:r>
        <w:rPr>
          <w:rFonts w:ascii="Arial" w:cs="Arial" w:eastAsia="Arial" w:hAnsi="Arial"/>
          <w:sz w:val="15"/>
          <w:szCs w:val="15"/>
          <w:b w:val="1"/>
          <w:bCs w:val="1"/>
          <w:i w:val="1"/>
          <w:iCs w:val="1"/>
          <w:color w:val="auto"/>
        </w:rPr>
        <w:t>Adverse changes in tax laws both in the United States and abroad, changes in tax rates or exposure to additional income tax liabilities could have a material adverse effect on our results of operations.</w:t>
      </w:r>
    </w:p>
    <w:p>
      <w:pPr>
        <w:spacing w:after="0" w:line="141"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57" w:lineRule="exact"/>
        <w:rPr>
          <w:sz w:val="20"/>
          <w:szCs w:val="20"/>
          <w:color w:val="auto"/>
        </w:rPr>
      </w:pPr>
    </w:p>
    <w:p>
      <w:pPr>
        <w:ind w:right="120" w:firstLine="549"/>
        <w:spacing w:after="0" w:line="289" w:lineRule="auto"/>
        <w:rPr>
          <w:sz w:val="20"/>
          <w:szCs w:val="20"/>
          <w:color w:val="auto"/>
        </w:rPr>
      </w:pPr>
      <w:r>
        <w:rPr>
          <w:rFonts w:ascii="Arial" w:cs="Arial" w:eastAsia="Arial" w:hAnsi="Arial"/>
          <w:sz w:val="14"/>
          <w:szCs w:val="14"/>
          <w:color w:val="auto"/>
        </w:rPr>
        <w:t>The Organization of Economic Cooperation and Development (‘‘OECD’’), which represents a coalition of member countries, has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Changes in tax laws could significantly increase our tax expense and require us to take actions, at potential significant expense, to seek to preserve our current level of tax expense.</w:t>
      </w:r>
    </w:p>
    <w:p>
      <w:pPr>
        <w:spacing w:after="0" w:line="140" w:lineRule="exact"/>
        <w:rPr>
          <w:sz w:val="20"/>
          <w:szCs w:val="20"/>
          <w:color w:val="auto"/>
        </w:rPr>
      </w:pPr>
    </w:p>
    <w:p>
      <w:pPr>
        <w:ind w:right="20" w:firstLine="549"/>
        <w:spacing w:after="0" w:line="277" w:lineRule="auto"/>
        <w:rPr>
          <w:sz w:val="20"/>
          <w:szCs w:val="20"/>
          <w:color w:val="auto"/>
        </w:rPr>
      </w:pPr>
      <w:r>
        <w:rPr>
          <w:rFonts w:ascii="Arial" w:cs="Arial" w:eastAsia="Arial" w:hAnsi="Arial"/>
          <w:sz w:val="14"/>
          <w:szCs w:val="14"/>
          <w:color w:val="auto"/>
        </w:rPr>
        <w:t>On December 22, 2017, the U.S. enacted into law a comprehensive tax reform bill (the “Tax Cuts and Jobs Act,” or the “TCJA”), that significantly reforms the Internal Revenue Code of 1986, as amended (the ‘‘Code’’). The TCJA, among other things, contains significant changes to corporate taxation, including a permanent reduction of the corporate income tax rate, a partial limitation on the deductibility of business interest expense, limitation of the deduction for certain net operating losses to 80% of current year taxable income, an indefinite net operating loss carryforward, immediate deductions for certain new investments instead of deductions for depreciation expense over time, modification or repeal of many business deductions and credits (including certain foreign tax credits), a shift of the U.S. taxation of multinational corporations from a tax on worldwide income to a partial territorial system (along with certain rules designed to prevent erosion of the U.S. income tax base, such as the base erosion and anti-abuse tax), modifications to the rules used to determine whether an entity is a ‘‘controlled foreign corporation’’ and a one-time tax on accumulated offshore earnings held in cash and illiquid assets (with the latter taxed at a lower rate). We continue to examine the impact of this tax reform legislation, and as its overall impact is uncertain, we note that the TCJA could adversely affect our business and financial condition. The various impacts of the TCJA may materially differ from the estimated impacts recognized in the fourth quarter due to future treasury regulations, tax law technical corrections, and other potential guidance, notices, rulings, refined computations, actions we may take as a result of the tax legislation, and other items. The SEC has issued rules that allow for a measurement period of up to one year after the enactment date of the legislation to finalize the recording of the related tax impacts. The impact of this tax reform legislation on holders of notes is also uncertain and could be adverse. Investors should consult their own advisors regarding the potential application of these rules on an investment in the notes.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60" w:firstLine="549"/>
        <w:spacing w:after="0" w:line="264" w:lineRule="auto"/>
        <w:rPr>
          <w:sz w:val="20"/>
          <w:szCs w:val="20"/>
          <w:color w:val="auto"/>
        </w:rPr>
      </w:pPr>
      <w:r>
        <w:rPr>
          <w:rFonts w:ascii="Arial" w:cs="Arial" w:eastAsia="Arial" w:hAnsi="Arial"/>
          <w:sz w:val="15"/>
          <w:szCs w:val="15"/>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 allowance may be required. We have recorded a valuation allowance on substantially all of our current and future deferred tax assets. A prolonged downturn could result in us not being able to benefit future losses, which would negatively impact our financial results.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Interest payments in relation to the new notes could be subject to Swiss withholding tax.</w:t>
      </w:r>
    </w:p>
    <w:p>
      <w:pPr>
        <w:spacing w:after="0" w:line="194" w:lineRule="exact"/>
        <w:rPr>
          <w:sz w:val="20"/>
          <w:szCs w:val="20"/>
          <w:color w:val="auto"/>
        </w:rPr>
      </w:pPr>
    </w:p>
    <w:p>
      <w:pPr>
        <w:ind w:right="20" w:firstLine="549"/>
        <w:spacing w:after="0" w:line="260" w:lineRule="auto"/>
        <w:rPr>
          <w:sz w:val="20"/>
          <w:szCs w:val="20"/>
          <w:color w:val="auto"/>
        </w:rPr>
      </w:pPr>
      <w:r>
        <w:rPr>
          <w:rFonts w:ascii="Arial" w:cs="Arial" w:eastAsia="Arial" w:hAnsi="Arial"/>
          <w:sz w:val="15"/>
          <w:szCs w:val="15"/>
          <w:color w:val="auto"/>
        </w:rPr>
        <w:t>A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(annual interest payments and any other payments that are treated like interest payments for Swiss tax purposes) to the note holders will become subject to Swiss withholding tax of 35%. We use our best efforts to ensure that none of the proceeds from the offer of the new notes will be used in a manner that would trigger a harmful flow back of the funds to Switzerland, and, as such, the new notes are not expected to constitute Swiss bonds or bond like instruments subject to Swiss withholding tax.</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 transfer of the notes may be subject to Swiss federal stamp duties.</w:t>
      </w:r>
    </w:p>
    <w:p>
      <w:pPr>
        <w:spacing w:after="0" w:line="194" w:lineRule="exact"/>
        <w:rPr>
          <w:sz w:val="20"/>
          <w:szCs w:val="20"/>
          <w:color w:val="auto"/>
        </w:rPr>
      </w:pPr>
    </w:p>
    <w:p>
      <w:pPr>
        <w:ind w:right="120" w:firstLine="549"/>
        <w:spacing w:after="0" w:line="260" w:lineRule="auto"/>
        <w:rPr>
          <w:sz w:val="20"/>
          <w:szCs w:val="20"/>
          <w:color w:val="auto"/>
        </w:rPr>
      </w:pPr>
      <w:r>
        <w:rPr>
          <w:rFonts w:ascii="Arial" w:cs="Arial" w:eastAsia="Arial" w:hAnsi="Arial"/>
          <w:sz w:val="15"/>
          <w:szCs w:val="15"/>
          <w:color w:val="auto"/>
        </w:rPr>
        <w:t>In certain circumstances, the transfer of the new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new notes will initially be held in book-entry form, and, holders must rely on the procedures and the relevant clearing system to exercise their rights and remedies.</w:t>
      </w:r>
    </w:p>
    <w:p>
      <w:pPr>
        <w:spacing w:after="0" w:line="205" w:lineRule="exact"/>
        <w:rPr>
          <w:sz w:val="20"/>
          <w:szCs w:val="20"/>
          <w:color w:val="auto"/>
        </w:rPr>
      </w:pPr>
    </w:p>
    <w:p>
      <w:pPr>
        <w:ind w:right="20" w:firstLine="549"/>
        <w:spacing w:after="0" w:line="264" w:lineRule="auto"/>
        <w:rPr>
          <w:sz w:val="20"/>
          <w:szCs w:val="20"/>
          <w:color w:val="auto"/>
        </w:rPr>
      </w:pPr>
      <w:r>
        <w:rPr>
          <w:rFonts w:ascii="Arial" w:cs="Arial" w:eastAsia="Arial" w:hAnsi="Arial"/>
          <w:sz w:val="15"/>
          <w:szCs w:val="15"/>
          <w:color w:val="auto"/>
        </w:rPr>
        <w:t>Unless and until certificated notes are issued in exchange for book-entry interests in the new notes, beneficial owners of the book-entry interests will not be considered owners or holders of the new notes. Instead, DTC or its nominee will be the sole holder of the new notes. Payments of principal, interest and other amounts due on or in respect of the new notes in global form will be made to DTC, after which those payments will be credited to DTC participants’ accounts that hold book-entry interests in the new notes in global form and credited by those participants to indirect participants.</w:t>
      </w:r>
    </w:p>
    <w:p>
      <w:pPr>
        <w:spacing w:after="0" w:line="157"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Unlike holders of the new notes themselves, owners of book-entry interests will not have the direct right to act upon our solicitations for consents or requests for waivers or other actions from holders of the new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Irish and Bermuda laws differ from the laws in effect in the United States and may afford less protection to holders of the new notes.</w:t>
      </w:r>
    </w:p>
    <w:p>
      <w:pPr>
        <w:spacing w:after="0" w:line="194" w:lineRule="exact"/>
        <w:rPr>
          <w:sz w:val="20"/>
          <w:szCs w:val="20"/>
          <w:color w:val="auto"/>
        </w:rPr>
      </w:pPr>
    </w:p>
    <w:p>
      <w:pPr>
        <w:ind w:right="60" w:firstLine="549"/>
        <w:spacing w:after="0" w:line="262" w:lineRule="auto"/>
        <w:rPr>
          <w:sz w:val="20"/>
          <w:szCs w:val="20"/>
          <w:color w:val="auto"/>
        </w:rPr>
      </w:pPr>
      <w:r>
        <w:rPr>
          <w:rFonts w:ascii="Arial" w:cs="Arial" w:eastAsia="Arial" w:hAnsi="Arial"/>
          <w:sz w:val="15"/>
          <w:szCs w:val="15"/>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 Further, several of our directors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w:t>
      </w:r>
    </w:p>
    <w:p>
      <w:pPr>
        <w:spacing w:after="0" w:line="157" w:lineRule="exact"/>
        <w:rPr>
          <w:sz w:val="20"/>
          <w:szCs w:val="20"/>
          <w:color w:val="auto"/>
        </w:rPr>
      </w:pPr>
    </w:p>
    <w:p>
      <w:pPr>
        <w:jc w:val="both"/>
        <w:ind w:right="120" w:firstLine="549"/>
        <w:spacing w:after="0" w:line="262" w:lineRule="auto"/>
        <w:rPr>
          <w:sz w:val="20"/>
          <w:szCs w:val="20"/>
          <w:color w:val="auto"/>
        </w:rPr>
      </w:pPr>
      <w:r>
        <w:rPr>
          <w:rFonts w:ascii="Arial" w:cs="Arial" w:eastAsia="Arial" w:hAnsi="Arial"/>
          <w:sz w:val="15"/>
          <w:szCs w:val="15"/>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the new notes may have more difficulty protecting their interests than would holders of securities of a corporation incorporated in a jurisdiction of the United States.</w:t>
      </w:r>
    </w:p>
    <w:p>
      <w:pPr>
        <w:spacing w:after="0" w:line="157" w:lineRule="exact"/>
        <w:rPr>
          <w:sz w:val="20"/>
          <w:szCs w:val="20"/>
          <w:color w:val="auto"/>
        </w:rPr>
      </w:pPr>
    </w:p>
    <w:p>
      <w:pPr>
        <w:jc w:val="both"/>
        <w:ind w:right="240" w:firstLine="549"/>
        <w:spacing w:after="0" w:line="269" w:lineRule="auto"/>
        <w:rPr>
          <w:sz w:val="20"/>
          <w:szCs w:val="20"/>
          <w:color w:val="auto"/>
        </w:rPr>
      </w:pPr>
      <w:r>
        <w:rPr>
          <w:rFonts w:ascii="Arial" w:cs="Arial" w:eastAsia="Arial" w:hAnsi="Arial"/>
          <w:sz w:val="15"/>
          <w:szCs w:val="15"/>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152"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157" w:lineRule="exact"/>
        <w:rPr>
          <w:sz w:val="20"/>
          <w:szCs w:val="20"/>
          <w:color w:val="auto"/>
        </w:rPr>
      </w:pPr>
    </w:p>
    <w:p>
      <w:pPr>
        <w:ind w:firstLine="549"/>
        <w:spacing w:after="0" w:line="289" w:lineRule="auto"/>
        <w:rPr>
          <w:sz w:val="20"/>
          <w:szCs w:val="20"/>
          <w:color w:val="auto"/>
        </w:rPr>
      </w:pPr>
      <w:r>
        <w:rPr>
          <w:rFonts w:ascii="Arial" w:cs="Arial" w:eastAsia="Arial" w:hAnsi="Arial"/>
          <w:sz w:val="14"/>
          <w:szCs w:val="14"/>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140" w:lineRule="exact"/>
        <w:rPr>
          <w:sz w:val="20"/>
          <w:szCs w:val="20"/>
          <w:color w:val="auto"/>
        </w:rPr>
      </w:pPr>
    </w:p>
    <w:p>
      <w:pPr>
        <w:ind w:right="80" w:firstLine="549"/>
        <w:spacing w:after="0" w:line="262" w:lineRule="auto"/>
        <w:rPr>
          <w:sz w:val="20"/>
          <w:szCs w:val="20"/>
          <w:color w:val="auto"/>
        </w:rPr>
      </w:pPr>
      <w:r>
        <w:rPr>
          <w:rFonts w:ascii="Arial" w:cs="Arial" w:eastAsia="Arial" w:hAnsi="Arial"/>
          <w:sz w:val="15"/>
          <w:szCs w:val="15"/>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57" w:lineRule="exact"/>
        <w:rPr>
          <w:sz w:val="20"/>
          <w:szCs w:val="20"/>
          <w:color w:val="auto"/>
        </w:rPr>
      </w:pPr>
    </w:p>
    <w:p>
      <w:pPr>
        <w:ind w:right="20" w:firstLine="549"/>
        <w:spacing w:after="0" w:line="260" w:lineRule="auto"/>
        <w:rPr>
          <w:sz w:val="20"/>
          <w:szCs w:val="20"/>
          <w:color w:val="auto"/>
        </w:rPr>
      </w:pPr>
      <w:r>
        <w:rPr>
          <w:rFonts w:ascii="Arial" w:cs="Arial" w:eastAsia="Arial" w:hAnsi="Arial"/>
          <w:sz w:val="15"/>
          <w:szCs w:val="15"/>
          <w:color w:val="auto"/>
        </w:rPr>
        <w:t>Weatherford Bermuda has adopted provisions in its bye-laws that provide that it shall indemnify its officers and directors in respect of their actions and omissions, except in respect of their fraud or dishonesty. Weatherford Bermuda’s bye-laws provide that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USE OF PROCEEDS</w:t>
      </w:r>
    </w:p>
    <w:p>
      <w:pPr>
        <w:spacing w:after="0" w:line="198"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color w:val="auto"/>
        </w:rPr>
        <w:t>This exchange offer is intended to satisfy our obligations under the registration rights agreement that we entered into with the initial purchasers of our old notes in connection with the initial offer and sale thereof. We will not receive any cash proceeds from the issuance of the new notes in the exchange offer. In consideration for issuing the new notes as contemplated in this prospectus, we will receive the old notes in a like principal amount. The terms of the new notes are substantially identical to the terms of the old notes, except that the new notes will be registered under the Securities Act and the transfer restrictions, registration rights and provisions for additional interest relating to the old notes do not apply to the new notes. Old notes surrendered in exchange for the new notes will be retired and cancelled and will not be reissued. Accordingly, the issuance of the new notes will not result in any change in our outstanding indebtedness.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EXCHANGE OFFER</w:t>
      </w:r>
    </w:p>
    <w:p>
      <w:pPr>
        <w:spacing w:after="0" w:line="198" w:lineRule="exact"/>
        <w:rPr>
          <w:sz w:val="20"/>
          <w:szCs w:val="20"/>
          <w:color w:val="auto"/>
        </w:rPr>
      </w:pPr>
    </w:p>
    <w:p>
      <w:pPr>
        <w:ind w:right="40" w:firstLine="549"/>
        <w:spacing w:after="0" w:line="297" w:lineRule="auto"/>
        <w:rPr>
          <w:sz w:val="20"/>
          <w:szCs w:val="20"/>
          <w:color w:val="auto"/>
        </w:rPr>
      </w:pPr>
      <w:r>
        <w:rPr>
          <w:rFonts w:ascii="Arial" w:cs="Arial" w:eastAsia="Arial" w:hAnsi="Arial"/>
          <w:sz w:val="14"/>
          <w:szCs w:val="14"/>
          <w:color w:val="auto"/>
        </w:rPr>
        <w:t>We sold the old notes on February 28, 2018, pursuant to that certain purchase agreement, dated as of February 21, 2018, by and among Weatherford International, LLC, the guarantors party thereto, and Deutsche Bank Securities Inc., as representative of the several initial purchasers. The old notes were subsequently offered by the initial purchasers to persons reasonably believed to be qualified institutional buyers pursuant to Rule 144A and to non-U.S. persons pursuant to Regulation 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 of the Exchange Offer</w:t>
      </w:r>
    </w:p>
    <w:p>
      <w:pPr>
        <w:spacing w:after="0" w:line="198" w:lineRule="exact"/>
        <w:rPr>
          <w:sz w:val="20"/>
          <w:szCs w:val="20"/>
          <w:color w:val="auto"/>
        </w:rPr>
      </w:pPr>
    </w:p>
    <w:p>
      <w:pPr>
        <w:jc w:val="both"/>
        <w:ind w:right="360" w:firstLine="549"/>
        <w:spacing w:after="0" w:line="269" w:lineRule="auto"/>
        <w:rPr>
          <w:sz w:val="20"/>
          <w:szCs w:val="20"/>
          <w:color w:val="auto"/>
        </w:rPr>
      </w:pPr>
      <w:r>
        <w:rPr>
          <w:rFonts w:ascii="Arial" w:cs="Arial" w:eastAsia="Arial" w:hAnsi="Arial"/>
          <w:sz w:val="15"/>
          <w:szCs w:val="15"/>
          <w:color w:val="auto"/>
        </w:rPr>
        <w:t>We sold the old notes in transactions that were exempt from or not subject to the registration requirements under the Securities Act. Accordingly, the old notes are subject to transfer restrictions. In general, you may not offer or sell the old notes unless they are either registered under the Securities Act or such offer or sale is exempt from, or not subject to, registration under the Securities Act and applicable state securities laws.</w:t>
      </w:r>
    </w:p>
    <w:p>
      <w:pPr>
        <w:spacing w:after="0" w:line="152" w:lineRule="exact"/>
        <w:rPr>
          <w:sz w:val="20"/>
          <w:szCs w:val="20"/>
          <w:color w:val="auto"/>
        </w:rPr>
      </w:pPr>
    </w:p>
    <w:p>
      <w:pPr>
        <w:ind w:firstLine="549"/>
        <w:spacing w:after="0" w:line="301" w:lineRule="auto"/>
        <w:rPr>
          <w:sz w:val="20"/>
          <w:szCs w:val="20"/>
          <w:color w:val="auto"/>
        </w:rPr>
      </w:pPr>
      <w:r>
        <w:rPr>
          <w:rFonts w:ascii="Arial" w:cs="Arial" w:eastAsia="Arial" w:hAnsi="Arial"/>
          <w:sz w:val="13"/>
          <w:szCs w:val="13"/>
          <w:color w:val="auto"/>
        </w:rPr>
        <w:t>On February 28, 2018, we issued $600 million aggregate principal amount of our old notes. In connection with the issuance and sale of the old notes, we entered into a registration rights agreement with the initial purchasers of the old notes. In that agreement, we agreed to use our commercially reasonable efforts to file a registration statement regarding the exchange of the old notes for new notes which are registered under the Securities Act and complete an exchange offer not later than 60 days after the registration statement is declared effective. To satisfy our obligations under the registration rights agreement, we are offering certain holders of the old notes (those who are able to make certain representations described below under “—Procedures for Tendering—Your Representations to Us”), the opportunity to exchange their old notes for the new notes in the exchange offer. The exchange offer will be open for a period of at least 20 full business days. During the exchange offer period, we will exchange the new notes for all old notes properly surrendered and not withdrawn before the expiration date. The form and terms of the new notes are substantially identical to the old notes except that the issuance of the new notes has been registered under the Securities Act and the transfer restrictions, registration rights and certain additional interest provisions relating to the old notes do not apply to the new notes. Under the registration rights agreement, we may be required to make additional payments in the form of additional interest to the holders of the old notes under circumstances relating to the timing of the exchange offer. The registration rights agreement provides that we will be required to pay additional interest to the holders of the old notes if the exchange offer is not completed on or prior to April 4, 2019 or a shelf registration statement is required to be filed under the registration rights agreement but has not been declared effective on or prior to the date required by the registration rights agreement.</w:t>
      </w:r>
    </w:p>
    <w:p>
      <w:pPr>
        <w:spacing w:after="0" w:line="135" w:lineRule="exact"/>
        <w:rPr>
          <w:sz w:val="20"/>
          <w:szCs w:val="20"/>
          <w:color w:val="auto"/>
        </w:rPr>
      </w:pPr>
    </w:p>
    <w:p>
      <w:pPr>
        <w:jc w:val="both"/>
        <w:ind w:right="180" w:firstLine="549"/>
        <w:spacing w:after="0" w:line="269" w:lineRule="auto"/>
        <w:rPr>
          <w:sz w:val="20"/>
          <w:szCs w:val="20"/>
          <w:color w:val="auto"/>
        </w:rPr>
      </w:pPr>
      <w:r>
        <w:rPr>
          <w:rFonts w:ascii="Arial" w:cs="Arial" w:eastAsia="Arial" w:hAnsi="Arial"/>
          <w:sz w:val="15"/>
          <w:szCs w:val="15"/>
          <w:color w:val="auto"/>
        </w:rPr>
        <w:t>The registration rights agreement is filed as an exhibit to the registration statement of which this prospectus forms a part. This summary of certain provisions of the registration rights agreement does not purport to be complete and is subject to, and is qualified in its entirety by reference to, all the provisions of the registration rights agreement, copies of which may be obtained as described under “Where You Can Find More Information.”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Resale of New Notes</w:t>
      </w:r>
    </w:p>
    <w:p>
      <w:pPr>
        <w:spacing w:after="0" w:line="198" w:lineRule="exact"/>
        <w:rPr>
          <w:sz w:val="20"/>
          <w:szCs w:val="20"/>
          <w:color w:val="auto"/>
        </w:rPr>
      </w:pPr>
    </w:p>
    <w:p>
      <w:pPr>
        <w:ind w:right="320" w:firstLine="549"/>
        <w:spacing w:after="0" w:line="284" w:lineRule="auto"/>
        <w:rPr>
          <w:sz w:val="20"/>
          <w:szCs w:val="20"/>
          <w:color w:val="auto"/>
        </w:rPr>
      </w:pPr>
      <w:r>
        <w:rPr>
          <w:rFonts w:ascii="Arial" w:cs="Arial" w:eastAsia="Arial" w:hAnsi="Arial"/>
          <w:sz w:val="15"/>
          <w:szCs w:val="15"/>
          <w:color w:val="auto"/>
        </w:rPr>
        <w:t>Based on no-action letters of the staff of the SEC issued to third parties, we believe that new notes may be offered for resale, resold and otherwise transferred by you without further compliance with the registration and prospectus delivery provisions of the Securities Act if:</w:t>
      </w:r>
    </w:p>
    <w:p>
      <w:pPr>
        <w:spacing w:after="0" w:line="141" w:lineRule="exact"/>
        <w:rPr>
          <w:sz w:val="20"/>
          <w:szCs w:val="20"/>
          <w:color w:val="auto"/>
        </w:rPr>
      </w:pPr>
    </w:p>
    <w:p>
      <w:pPr>
        <w:ind w:left="1060" w:hanging="519"/>
        <w:spacing w:after="0"/>
        <w:tabs>
          <w:tab w:leader="none" w:pos="10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you are not an “affiliate” of ours within the meaning of Rule 405 under the Securities Act;</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such new notes are acquired in the ordinary course of your business;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you do not intend to participate in a distribution of the new notes.</w:t>
      </w:r>
    </w:p>
    <w:p>
      <w:pPr>
        <w:spacing w:after="0" w:line="194" w:lineRule="exact"/>
        <w:rPr>
          <w:sz w:val="20"/>
          <w:szCs w:val="20"/>
          <w:color w:val="auto"/>
        </w:rPr>
      </w:pPr>
    </w:p>
    <w:p>
      <w:pPr>
        <w:ind w:right="460" w:firstLine="549"/>
        <w:spacing w:after="0" w:line="284" w:lineRule="auto"/>
        <w:rPr>
          <w:sz w:val="20"/>
          <w:szCs w:val="20"/>
          <w:color w:val="auto"/>
        </w:rPr>
      </w:pPr>
      <w:r>
        <w:rPr>
          <w:rFonts w:ascii="Arial" w:cs="Arial" w:eastAsia="Arial" w:hAnsi="Arial"/>
          <w:sz w:val="15"/>
          <w:szCs w:val="15"/>
          <w:color w:val="auto"/>
        </w:rPr>
        <w:t>The staff of the SEC, however, has not considered the exchange offer for the new notes in the context of a no-action letter, and the staff of the SEC may not make a similar determination as in the no-action letters issued to these third parties.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you tender in the exchange offer with the intention of participating in any manner in a distribution of the new notes, you:</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60" w:hanging="519"/>
        <w:spacing w:after="0"/>
        <w:tabs>
          <w:tab w:leader="none" w:pos="10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cannot rely on such interpretations by the staff of the SEC;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must comply with the registration and prospectus delivery requirements of the Securities Act in connection with a secondary resale transaction.</w:t>
      </w:r>
    </w:p>
    <w:p>
      <w:pPr>
        <w:spacing w:after="0" w:line="194" w:lineRule="exact"/>
        <w:rPr>
          <w:sz w:val="20"/>
          <w:szCs w:val="20"/>
          <w:color w:val="auto"/>
        </w:rPr>
      </w:pPr>
    </w:p>
    <w:p>
      <w:pPr>
        <w:ind w:right="80" w:firstLine="549"/>
        <w:spacing w:after="0" w:line="269" w:lineRule="auto"/>
        <w:rPr>
          <w:sz w:val="20"/>
          <w:szCs w:val="20"/>
          <w:color w:val="auto"/>
        </w:rPr>
      </w:pPr>
      <w:r>
        <w:rPr>
          <w:rFonts w:ascii="Arial" w:cs="Arial" w:eastAsia="Arial" w:hAnsi="Arial"/>
          <w:sz w:val="15"/>
          <w:szCs w:val="15"/>
          <w:color w:val="auto"/>
        </w:rPr>
        <w:t>Unless an exemption from registration is otherwise available, any securityholder intending to distribute new notes should be covered by an effective registration statement under the Securities Act. The registration statement should contain the selling securityholder’s information required by Item 507 or 508, as applicable, of Regulation S-K under the Securities Act.</w:t>
      </w:r>
    </w:p>
    <w:p>
      <w:pPr>
        <w:spacing w:after="0" w:line="152"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This prospectus may be used for an offer to resell, resale or other transfer of new notes only as specifically described in this prospectus. If you are a broker-dealer, you may participate in the exchange offer only if you acquired the old notes as a result of market-making activities or other trading activities. Each broker-dealer that receives new notes for its own account in exchange for old notes, where such old notes were acquired by such broker-dealer as a result of market-making activities or other trading activities, must acknowledge by way of the letter of transmittal that it will deliver this prospectus in connection with any resale of the new notes. Please read the section captioned “Plan of Distribution” for more details regarding the transfer of new notes.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the Exchange Offer</w:t>
      </w:r>
    </w:p>
    <w:p>
      <w:pPr>
        <w:spacing w:after="0" w:line="198" w:lineRule="exact"/>
        <w:rPr>
          <w:sz w:val="20"/>
          <w:szCs w:val="20"/>
          <w:color w:val="auto"/>
        </w:rPr>
      </w:pPr>
    </w:p>
    <w:p>
      <w:pPr>
        <w:ind w:right="140" w:firstLine="549"/>
        <w:spacing w:after="0" w:line="264" w:lineRule="auto"/>
        <w:rPr>
          <w:sz w:val="20"/>
          <w:szCs w:val="20"/>
          <w:color w:val="auto"/>
        </w:rPr>
      </w:pPr>
      <w:r>
        <w:rPr>
          <w:rFonts w:ascii="Arial" w:cs="Arial" w:eastAsia="Arial" w:hAnsi="Arial"/>
          <w:sz w:val="15"/>
          <w:szCs w:val="15"/>
          <w:color w:val="auto"/>
        </w:rPr>
        <w:t>Subject to the terms and conditions described in this prospectus and in the letter of transmittal, we will accept for exchange any old notes properly tendered and not withdrawn prior to 5:00 p.m., New York City time, on the expiration date. We will issue new notes in principal amount equal to the principal amount of old notes surrendered in the exchange offer. Old notes may be tendered only for new notes and only in denominations of $2,000 and integral multiples of $1,000 in excess thereof. We will deliver the new notes promptly after the expiration date.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exchange offer is not conditioned upon any minimum aggregate principal amount of old notes being tendered in the exchange offer.</w:t>
      </w:r>
    </w:p>
    <w:p>
      <w:pPr>
        <w:spacing w:after="0" w:line="194" w:lineRule="exact"/>
        <w:rPr>
          <w:sz w:val="20"/>
          <w:szCs w:val="20"/>
          <w:color w:val="auto"/>
        </w:rPr>
      </w:pPr>
    </w:p>
    <w:p>
      <w:pPr>
        <w:ind w:right="40" w:firstLine="549"/>
        <w:spacing w:after="0" w:line="269" w:lineRule="auto"/>
        <w:rPr>
          <w:sz w:val="20"/>
          <w:szCs w:val="20"/>
          <w:color w:val="auto"/>
        </w:rPr>
      </w:pPr>
      <w:r>
        <w:rPr>
          <w:rFonts w:ascii="Arial" w:cs="Arial" w:eastAsia="Arial" w:hAnsi="Arial"/>
          <w:sz w:val="15"/>
          <w:szCs w:val="15"/>
          <w:color w:val="auto"/>
        </w:rPr>
        <w:t>As of the date of this prospectus, $600 million aggregate principal amount of 9.875% Senior Notes due 2025 representing old notes is outstanding. This prospectus and letter of transmittal is being sent to DTC, the sole registered holder of the old notes, and to all persons that we can identify as beneficial owners of the old notes. There will be no fixed record date for determining registered holders of old notes entitled to participate in the exchange offer.</w:t>
      </w:r>
    </w:p>
    <w:p>
      <w:pPr>
        <w:spacing w:after="0" w:line="152"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We intend to conduct the exchange offer in accordance with the provisions of the registration rights agreement, the applicable requirements of the Securities Act and the Exchange Act, and the rules and regulations of the SEC. Old notes whose holders do not tender for exchange in the exchange offer will remain outstanding and continue to accrue interest. These old notes will be entitled to the rights and benefits such holders have under the indenture relating to the new notes.</w:t>
      </w:r>
    </w:p>
    <w:p>
      <w:pPr>
        <w:spacing w:after="0" w:line="152" w:lineRule="exact"/>
        <w:rPr>
          <w:sz w:val="20"/>
          <w:szCs w:val="20"/>
          <w:color w:val="auto"/>
        </w:rPr>
      </w:pPr>
    </w:p>
    <w:p>
      <w:pPr>
        <w:ind w:right="160" w:firstLine="549"/>
        <w:spacing w:after="0" w:line="365" w:lineRule="auto"/>
        <w:rPr>
          <w:sz w:val="20"/>
          <w:szCs w:val="20"/>
          <w:color w:val="auto"/>
        </w:rPr>
      </w:pPr>
      <w:r>
        <w:rPr>
          <w:rFonts w:ascii="Arial" w:cs="Arial" w:eastAsia="Arial" w:hAnsi="Arial"/>
          <w:sz w:val="13"/>
          <w:szCs w:val="13"/>
          <w:color w:val="auto"/>
        </w:rPr>
        <w:t>We will be deemed to have accepted for exchange properly tendered old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w:t>
      </w:r>
    </w:p>
    <w:p>
      <w:pPr>
        <w:spacing w:after="0" w:line="95" w:lineRule="exact"/>
        <w:rPr>
          <w:sz w:val="20"/>
          <w:szCs w:val="20"/>
          <w:color w:val="auto"/>
        </w:rPr>
      </w:pPr>
    </w:p>
    <w:p>
      <w:pPr>
        <w:ind w:right="180" w:firstLine="549"/>
        <w:spacing w:after="0" w:line="269" w:lineRule="auto"/>
        <w:rPr>
          <w:sz w:val="20"/>
          <w:szCs w:val="20"/>
          <w:color w:val="auto"/>
        </w:rPr>
      </w:pPr>
      <w:r>
        <w:rPr>
          <w:rFonts w:ascii="Arial" w:cs="Arial" w:eastAsia="Arial" w:hAnsi="Arial"/>
          <w:sz w:val="15"/>
          <w:szCs w:val="15"/>
          <w:color w:val="auto"/>
        </w:rPr>
        <w:t>If you tender old notes in the exchange offer, you will not be required to pay brokerage commissions or fees or, subject to the letter of transmittal, transfer taxes with respect to the exchange of old notes. We will pay all charges and expenses, other than certain applicable taxes described below, in connection with the exchange offer. Please read “—Fees and Expenses” for more details regarding fees and expenses incurred in connection with the exchange offer.</w:t>
      </w:r>
    </w:p>
    <w:p>
      <w:pPr>
        <w:spacing w:after="0" w:line="152" w:lineRule="exact"/>
        <w:rPr>
          <w:sz w:val="20"/>
          <w:szCs w:val="20"/>
          <w:color w:val="auto"/>
        </w:rPr>
      </w:pPr>
    </w:p>
    <w:p>
      <w:pPr>
        <w:ind w:right="360" w:firstLine="549"/>
        <w:spacing w:after="0" w:line="284" w:lineRule="auto"/>
        <w:rPr>
          <w:sz w:val="20"/>
          <w:szCs w:val="20"/>
          <w:color w:val="auto"/>
        </w:rPr>
      </w:pPr>
      <w:r>
        <w:rPr>
          <w:rFonts w:ascii="Arial" w:cs="Arial" w:eastAsia="Arial" w:hAnsi="Arial"/>
          <w:sz w:val="15"/>
          <w:szCs w:val="15"/>
          <w:color w:val="auto"/>
        </w:rPr>
        <w:t>We will return any old notes that we do not accept for exchange for any reason without expense to their tendering holders promptly after the expiration or termination of the exchange offer.</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Expiration Date</w:t>
      </w:r>
    </w:p>
    <w:p>
      <w:pPr>
        <w:spacing w:after="0" w:line="198" w:lineRule="exact"/>
        <w:rPr>
          <w:sz w:val="20"/>
          <w:szCs w:val="20"/>
          <w:color w:val="auto"/>
        </w:rPr>
      </w:pPr>
    </w:p>
    <w:p>
      <w:pPr>
        <w:ind w:left="540"/>
        <w:spacing w:after="0"/>
        <w:tabs>
          <w:tab w:leader="none" w:pos="5080" w:val="left"/>
        </w:tabs>
        <w:rPr>
          <w:sz w:val="20"/>
          <w:szCs w:val="20"/>
          <w:color w:val="auto"/>
        </w:rPr>
      </w:pPr>
      <w:r>
        <w:rPr>
          <w:rFonts w:ascii="Arial" w:cs="Arial" w:eastAsia="Arial" w:hAnsi="Arial"/>
          <w:sz w:val="15"/>
          <w:szCs w:val="15"/>
          <w:color w:val="auto"/>
        </w:rPr>
        <w:t>The exchange offer will expire at 5:00 p.m., New York City time, on</w:t>
      </w:r>
      <w:r>
        <w:rPr>
          <w:sz w:val="20"/>
          <w:szCs w:val="20"/>
          <w:color w:val="auto"/>
        </w:rPr>
        <w:tab/>
      </w:r>
      <w:r>
        <w:rPr>
          <w:rFonts w:ascii="Arial" w:cs="Arial" w:eastAsia="Arial" w:hAnsi="Arial"/>
          <w:sz w:val="13"/>
          <w:szCs w:val="13"/>
          <w:color w:val="auto"/>
        </w:rPr>
        <w:t>, 2019, unless, in our sole discretion, we extend such deadline.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Extensions, Delays in Acceptance, Termination or Amendment</w:t>
      </w:r>
    </w:p>
    <w:p>
      <w:pPr>
        <w:spacing w:after="0" w:line="198"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We expressly reserve the right, at any time or various times, to extend the period of time during which the exchange offer is open. We may delay acceptance of any old notes by giving oral (promptly followed in writing) or written notice of such extension to their holders at any time until the exchange offer expires or terminates. During any such extensions, all old notes previously tendered will remain subject to the exchange offer, and we may accept them for exchange.</w:t>
      </w:r>
    </w:p>
    <w:p>
      <w:pPr>
        <w:spacing w:after="0" w:line="152" w:lineRule="exact"/>
        <w:rPr>
          <w:sz w:val="20"/>
          <w:szCs w:val="20"/>
          <w:color w:val="auto"/>
        </w:rPr>
      </w:pPr>
    </w:p>
    <w:p>
      <w:pPr>
        <w:ind w:right="180" w:firstLine="549"/>
        <w:spacing w:after="0" w:line="284" w:lineRule="auto"/>
        <w:rPr>
          <w:sz w:val="20"/>
          <w:szCs w:val="20"/>
          <w:color w:val="auto"/>
        </w:rPr>
      </w:pPr>
      <w:r>
        <w:rPr>
          <w:rFonts w:ascii="Arial" w:cs="Arial" w:eastAsia="Arial" w:hAnsi="Arial"/>
          <w:sz w:val="15"/>
          <w:szCs w:val="15"/>
          <w:color w:val="auto"/>
        </w:rPr>
        <w:t>To extend the exchange offer, we will notify the exchange agent orally or in writing of any extension. We will notify the holders of old notes of the extension via a press release issued no later than 9:00 a.m., New York City time, on the business day after the previously scheduled expiration date.</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any of the conditions described below under “—Conditions to the Exchange Offer” have not been satisfied, we reserve the right, in our sole discretion</w:t>
      </w:r>
    </w:p>
    <w:p>
      <w:pPr>
        <w:spacing w:after="0" w:line="194" w:lineRule="exact"/>
        <w:rPr>
          <w:sz w:val="20"/>
          <w:szCs w:val="20"/>
          <w:color w:val="auto"/>
        </w:rPr>
      </w:pPr>
    </w:p>
    <w:p>
      <w:pPr>
        <w:ind w:left="1060" w:hanging="519"/>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extend the exchange offer,</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delay accepting for exchange any old notes, or</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terminate the exchange offer,</w:t>
      </w:r>
    </w:p>
    <w:p>
      <w:pPr>
        <w:spacing w:after="0" w:line="194"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by giving oral (promptly followed in writing) or written notice of such delay, extension or termination to the exchange agent. Subject to the terms of the registration rights agreement, we also reserve the right to amend the terms of the exchange offer in any manner.</w:t>
      </w:r>
    </w:p>
    <w:p>
      <w:pPr>
        <w:spacing w:after="0" w:line="141" w:lineRule="exact"/>
        <w:rPr>
          <w:sz w:val="20"/>
          <w:szCs w:val="20"/>
          <w:color w:val="auto"/>
        </w:rPr>
      </w:pPr>
    </w:p>
    <w:p>
      <w:pPr>
        <w:ind w:firstLine="549"/>
        <w:spacing w:after="0" w:line="281" w:lineRule="auto"/>
        <w:rPr>
          <w:sz w:val="20"/>
          <w:szCs w:val="20"/>
          <w:color w:val="auto"/>
        </w:rPr>
      </w:pPr>
      <w:r>
        <w:rPr>
          <w:rFonts w:ascii="Arial" w:cs="Arial" w:eastAsia="Arial" w:hAnsi="Arial"/>
          <w:sz w:val="14"/>
          <w:szCs w:val="14"/>
          <w:color w:val="auto"/>
        </w:rPr>
        <w:t>Any such delay in acceptance, extension, termination or amendment will be followed as promptly as practicable by oral (promptly followed in writing) or written notice thereof to holders of the old notes. Any notice relating to the extension of the exchange offer will disclose the number of securities tendered as of the date of the notice, as required by Rule 14e-</w:t>
      </w:r>
    </w:p>
    <w:p>
      <w:pPr>
        <w:ind w:right="80"/>
        <w:spacing w:after="0" w:line="279" w:lineRule="auto"/>
        <w:rPr>
          <w:sz w:val="20"/>
          <w:szCs w:val="20"/>
          <w:color w:val="auto"/>
        </w:rPr>
      </w:pPr>
      <w:r>
        <w:rPr>
          <w:rFonts w:ascii="Arial" w:cs="Arial" w:eastAsia="Arial" w:hAnsi="Arial"/>
          <w:sz w:val="14"/>
          <w:szCs w:val="14"/>
          <w:color w:val="auto"/>
        </w:rPr>
        <w:t>1(d) under the Exchange Act. If we amend the exchange offer in a manner that we determine to constitute a material change, we will promptly disclose such amendment by means of a prospectus supplement. The prospectus supplement will be distributed to holders of the old notes. Depending upon the significance of the amendment and the manner of disclosure to holders, we may extend the exchange offer if it would otherwise expire during such period. If an amendment constitutes a material change to the exchange offer, including the waiver of a material condition, we will extend the exchange offer, if necessary, to remain open for at least five business days after the date of the amendment. In the event of any increase or decrease in the consideration we are offering for the old notes or in the percentage of old notes being sought by us, we will extend the exchange offer to remain open for at least 10 business days after the date we provide notice of such increase or decrease to the registered holders of old notes.</w:t>
      </w:r>
    </w:p>
    <w:p>
      <w:pPr>
        <w:spacing w:after="0" w:line="148" w:lineRule="exact"/>
        <w:rPr>
          <w:sz w:val="20"/>
          <w:szCs w:val="20"/>
          <w:color w:val="auto"/>
        </w:rPr>
      </w:pPr>
    </w:p>
    <w:p>
      <w:pPr>
        <w:ind w:right="180" w:firstLine="549"/>
        <w:spacing w:after="0" w:line="284" w:lineRule="auto"/>
        <w:rPr>
          <w:sz w:val="20"/>
          <w:szCs w:val="20"/>
          <w:color w:val="auto"/>
        </w:rPr>
      </w:pPr>
      <w:r>
        <w:rPr>
          <w:rFonts w:ascii="Arial" w:cs="Arial" w:eastAsia="Arial" w:hAnsi="Arial"/>
          <w:sz w:val="15"/>
          <w:szCs w:val="15"/>
          <w:color w:val="auto"/>
        </w:rPr>
        <w:t>If we delay accepting any old notes or terminate the exchange offer, we will promptly pay the consideration offered, or return any old notes deposited, pursuant to the exchange offer as required by Rule 14e-1(c) under the Exchange Act.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Conditions to the Exchange Offer</w:t>
      </w:r>
    </w:p>
    <w:p>
      <w:pPr>
        <w:spacing w:after="0" w:line="198"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We will not be required to accept for exchange, or exchange any new notes for, any old notes if the exchange offer, or the making of any exchange by a holder of old notes, would violate applicable law or policy of the staff of the SEC. Similarly, we may terminate the exchange offer as provided in this prospectus before expiration of the offer in the event of such a potential violation.</w:t>
      </w:r>
    </w:p>
    <w:p>
      <w:pPr>
        <w:spacing w:after="0" w:line="152"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We will not be obligated to accept for exchange the old notes of any holder that has not made to us the representations described under “—Procedures for Tendering” and “Plan of Distribution” and such other representations as may be reasonably necessary under applicable SEC rules, regulations or interpretations to allow us to use an appropriate form to register the new notes under the Securities Act.</w:t>
      </w:r>
    </w:p>
    <w:p>
      <w:pPr>
        <w:spacing w:after="0" w:line="152" w:lineRule="exact"/>
        <w:rPr>
          <w:sz w:val="20"/>
          <w:szCs w:val="20"/>
          <w:color w:val="auto"/>
        </w:rPr>
      </w:pPr>
    </w:p>
    <w:p>
      <w:pPr>
        <w:ind w:right="320" w:firstLine="549"/>
        <w:spacing w:after="0" w:line="284" w:lineRule="auto"/>
        <w:rPr>
          <w:sz w:val="20"/>
          <w:szCs w:val="20"/>
          <w:color w:val="auto"/>
        </w:rPr>
      </w:pPr>
      <w:r>
        <w:rPr>
          <w:rFonts w:ascii="Arial" w:cs="Arial" w:eastAsia="Arial" w:hAnsi="Arial"/>
          <w:sz w:val="15"/>
          <w:szCs w:val="15"/>
          <w:color w:val="auto"/>
        </w:rPr>
        <w:t>Additionally, we will not accept for exchange any old notes tendered, and will not issue new notes in exchange for any such old notes, if at such time any stop order has been threatened or is in effect with respect to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exchange offer registration statement of which this prospectus constitutes a part or the qualification of the indenture under the Trust Indenture Act of 1939, as amended.</w:t>
      </w:r>
    </w:p>
    <w:p>
      <w:pPr>
        <w:spacing w:after="0" w:line="194"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We expressly reserve the right to amend or terminate the exchange offer, and to reject for exchange any old notes not previously accepted for exchange, upon the occurrence of any of the conditions to the exchange offer specified above. We will give oral or written notice of any extension, amendment, non-acceptance or termination to the holders of the old notes as promptly as practicable.</w:t>
      </w:r>
    </w:p>
    <w:p>
      <w:pPr>
        <w:spacing w:after="0" w:line="152" w:lineRule="exact"/>
        <w:rPr>
          <w:sz w:val="20"/>
          <w:szCs w:val="20"/>
          <w:color w:val="auto"/>
        </w:rPr>
      </w:pPr>
    </w:p>
    <w:p>
      <w:pPr>
        <w:jc w:val="both"/>
        <w:ind w:right="20" w:firstLine="549"/>
        <w:spacing w:after="0" w:line="269" w:lineRule="auto"/>
        <w:rPr>
          <w:sz w:val="20"/>
          <w:szCs w:val="20"/>
          <w:color w:val="auto"/>
        </w:rPr>
      </w:pPr>
      <w:r>
        <w:rPr>
          <w:rFonts w:ascii="Arial" w:cs="Arial" w:eastAsia="Arial" w:hAnsi="Arial"/>
          <w:sz w:val="15"/>
          <w:szCs w:val="15"/>
          <w:color w:val="auto"/>
        </w:rPr>
        <w:t>These conditions are for our sole benefit, and we may assert them or waive them in whole or in part at any time or at various times prior to the expiration of the exchange offer in our sole discretion. If we fail at any time to exercise any of these rights, this failure will not mean that we have waived our rights. Each such right will be deemed an ongoing right that we may assert at any time or at various times prior to the expiration of the exchange offer.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Procedures for Tendering</w:t>
      </w:r>
    </w:p>
    <w:p>
      <w:pPr>
        <w:spacing w:after="0" w:line="198"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To participate in the exchange offer, you must properly tender your old notes to the exchange agent as described below. We will only issue new notes in exchange for old notes that you timely and properly tender. Therefore, you should allow sufficient time to ensure timely delivery of the old notes, and you should follow carefully the instructions on how to tender your old notes. It is your responsibility to properly tender your old notes. We have the right to waive any defects. However, we are not required to waive defects, and neither we nor the exchange agent is required to notify you of any defects in your tender.</w:t>
      </w:r>
    </w:p>
    <w:p>
      <w:pPr>
        <w:spacing w:after="0" w:line="157" w:lineRule="exact"/>
        <w:rPr>
          <w:sz w:val="20"/>
          <w:szCs w:val="20"/>
          <w:color w:val="auto"/>
        </w:rPr>
      </w:pPr>
    </w:p>
    <w:p>
      <w:pPr>
        <w:ind w:right="240" w:firstLine="549"/>
        <w:spacing w:after="0" w:line="284" w:lineRule="auto"/>
        <w:rPr>
          <w:sz w:val="20"/>
          <w:szCs w:val="20"/>
          <w:color w:val="auto"/>
        </w:rPr>
      </w:pPr>
      <w:r>
        <w:rPr>
          <w:rFonts w:ascii="Arial" w:cs="Arial" w:eastAsia="Arial" w:hAnsi="Arial"/>
          <w:sz w:val="15"/>
          <w:szCs w:val="15"/>
          <w:color w:val="auto"/>
        </w:rPr>
        <w:t>If you have any questions or need help in exchanging your old notes, please call the exchange agent whose address and phone number are described in the letter of transmittal included as Annex A to this prospectus and under “Prospectus Summary—The Exchange Offer—Exchange Agent.”</w:t>
      </w:r>
    </w:p>
    <w:p>
      <w:pPr>
        <w:spacing w:after="0" w:line="141" w:lineRule="exact"/>
        <w:rPr>
          <w:sz w:val="20"/>
          <w:szCs w:val="20"/>
          <w:color w:val="auto"/>
        </w:rPr>
      </w:pPr>
    </w:p>
    <w:p>
      <w:pPr>
        <w:ind w:right="60" w:firstLine="549"/>
        <w:spacing w:after="0" w:line="285" w:lineRule="auto"/>
        <w:rPr>
          <w:sz w:val="20"/>
          <w:szCs w:val="20"/>
          <w:color w:val="auto"/>
        </w:rPr>
      </w:pPr>
      <w:r>
        <w:rPr>
          <w:rFonts w:ascii="Arial" w:cs="Arial" w:eastAsia="Arial" w:hAnsi="Arial"/>
          <w:sz w:val="14"/>
          <w:szCs w:val="14"/>
          <w:color w:val="auto"/>
        </w:rPr>
        <w:t>All of the old notes were issued in book-entry form, and all of the old notes are currently represented by global certificates registered in the name of Cede &amp; Co., the nominee of DTC. We have confirmed with DTC that the old notes may be tendered using ATOP. The exchange agent will establish an account with DTC for purposes of the exchange offer promptly after the commencement of the exchange offer, and DTC participants may electronically transmit their acceptance of the exchange offer by causing DTC to transfer their old notes to the exchange agent using the ATOP procedures. In connection with the transfer, DTC will send an “agent’s message” to the exchange agent. The agent’s message will state that DTC has received instructions from the participant to tender old notes and that the participant agrees to be bound by the terms of the letter of transmittal.</w:t>
      </w:r>
    </w:p>
    <w:p>
      <w:pPr>
        <w:spacing w:after="0" w:line="143"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By using the ATOP procedures to exchange old notes, you will not be required to deliver a letter of transmittal to the exchange agent. However, you will be bound by its terms just as if you had signed it.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There is no procedure for guaranteed late delivery of the old notes.</w:t>
      </w:r>
    </w:p>
    <w:p>
      <w:pPr>
        <w:spacing w:after="0" w:line="194" w:lineRule="exact"/>
        <w:rPr>
          <w:sz w:val="20"/>
          <w:szCs w:val="20"/>
          <w:color w:val="auto"/>
        </w:rPr>
      </w:pPr>
    </w:p>
    <w:p>
      <w:pPr>
        <w:ind w:right="40" w:firstLine="549"/>
        <w:spacing w:after="0" w:line="322" w:lineRule="auto"/>
        <w:rPr>
          <w:sz w:val="20"/>
          <w:szCs w:val="20"/>
          <w:color w:val="auto"/>
        </w:rPr>
      </w:pPr>
      <w:r>
        <w:rPr>
          <w:rFonts w:ascii="Arial" w:cs="Arial" w:eastAsia="Arial" w:hAnsi="Arial"/>
          <w:sz w:val="14"/>
          <w:szCs w:val="14"/>
          <w:color w:val="auto"/>
        </w:rPr>
        <w:t>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Please read “Plan of Distribution.”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Determinations in the Exchange Offer</w:t>
      </w:r>
    </w:p>
    <w:p>
      <w:pPr>
        <w:spacing w:after="0" w:line="194"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We will determine in our sole discretion all questions as to the validity, form, eligibility, time of receipt, acceptance of tendered old notes and withdrawal of tendered old notes. Our determination will be final and binding on all parties. We reserve the absolute right to reject any old notes not properly tendered or any old notes our acceptance of which would, in the opinion of our counsel, be unlawful. We also reserve the right to waive any defect, irregularities or conditions of tender as to particular old notes. Our interpretation of the terms and conditions of the exchange offer, including the instructions in the letter of transmittal, will be final and binding on all parties. Unless waived, all defects or irregularities in connection with tenders of old notes must be cured within such time as we shall determine. Although we intend to notify holders of defects or irregularities with respect to tenders of old notes, neither we, the exchange agent nor any other person will incur any liability for failure to give such notification. Tenders of old notes will not be deemed made until such defects or irregularities have been cured or waived. Any old notes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received by the exchange agent that are not properly tendered and as to which the defects or irregularities have not been cured or waived will be returned to the tendering holder promptly upon expiration or termination of the exchange offer.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When We Will Issue New Notes</w:t>
      </w:r>
    </w:p>
    <w:p>
      <w:pPr>
        <w:spacing w:after="0" w:line="194" w:lineRule="exact"/>
        <w:rPr>
          <w:sz w:val="20"/>
          <w:szCs w:val="20"/>
          <w:color w:val="auto"/>
        </w:rPr>
      </w:pPr>
    </w:p>
    <w:p>
      <w:pPr>
        <w:ind w:right="100" w:firstLine="549"/>
        <w:spacing w:after="0" w:line="284" w:lineRule="auto"/>
        <w:rPr>
          <w:sz w:val="20"/>
          <w:szCs w:val="20"/>
          <w:color w:val="auto"/>
        </w:rPr>
      </w:pPr>
      <w:r>
        <w:rPr>
          <w:rFonts w:ascii="Arial" w:cs="Arial" w:eastAsia="Arial" w:hAnsi="Arial"/>
          <w:sz w:val="15"/>
          <w:szCs w:val="15"/>
          <w:color w:val="auto"/>
        </w:rPr>
        <w:t>In all cases, we will issue new notes for old notes that we have accepted for exchange in the exchange offer only after the exchange agent receives, prior to 5:00 p.m., New York City time, on the expiration date:</w:t>
      </w:r>
    </w:p>
    <w:p>
      <w:pPr>
        <w:spacing w:after="0" w:line="141" w:lineRule="exact"/>
        <w:rPr>
          <w:sz w:val="20"/>
          <w:szCs w:val="20"/>
          <w:color w:val="auto"/>
        </w:rPr>
      </w:pPr>
    </w:p>
    <w:p>
      <w:pPr>
        <w:ind w:left="1060" w:hanging="519"/>
        <w:spacing w:after="0"/>
        <w:tabs>
          <w:tab w:leader="none" w:pos="10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book-entry confirmation of such old notes into the exchange agent’s account at DTC;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properly transmitted agent’s message.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Return of Old Notes Not Accepted or Exchanged</w:t>
      </w:r>
    </w:p>
    <w:p>
      <w:pPr>
        <w:spacing w:after="0" w:line="194" w:lineRule="exact"/>
        <w:rPr>
          <w:sz w:val="20"/>
          <w:szCs w:val="20"/>
          <w:color w:val="auto"/>
        </w:rPr>
      </w:pPr>
    </w:p>
    <w:p>
      <w:pPr>
        <w:ind w:right="200" w:firstLine="549"/>
        <w:spacing w:after="0" w:line="269" w:lineRule="auto"/>
        <w:rPr>
          <w:sz w:val="20"/>
          <w:szCs w:val="20"/>
          <w:color w:val="auto"/>
        </w:rPr>
      </w:pPr>
      <w:r>
        <w:rPr>
          <w:rFonts w:ascii="Arial" w:cs="Arial" w:eastAsia="Arial" w:hAnsi="Arial"/>
          <w:sz w:val="15"/>
          <w:szCs w:val="15"/>
          <w:color w:val="auto"/>
        </w:rPr>
        <w:t>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upon the expiration or termination of the exchange offer.</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Your Representations to Us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By agreeing to be bound by the letter of transmittal, you will represent to us that, among other things:</w:t>
      </w:r>
    </w:p>
    <w:p>
      <w:pPr>
        <w:spacing w:after="0" w:line="194" w:lineRule="exact"/>
        <w:rPr>
          <w:sz w:val="20"/>
          <w:szCs w:val="20"/>
          <w:color w:val="auto"/>
        </w:rPr>
      </w:pPr>
    </w:p>
    <w:p>
      <w:pPr>
        <w:ind w:left="1060" w:hanging="519"/>
        <w:spacing w:after="0"/>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new notes that you receive will be acquired in the ordinary course of your business;</w:t>
      </w:r>
    </w:p>
    <w:p>
      <w:pPr>
        <w:spacing w:after="0" w:line="193" w:lineRule="exact"/>
        <w:rPr>
          <w:rFonts w:ascii="Arial" w:cs="Arial" w:eastAsia="Arial" w:hAnsi="Arial"/>
          <w:sz w:val="15"/>
          <w:szCs w:val="15"/>
          <w:color w:val="auto"/>
        </w:rPr>
      </w:pPr>
    </w:p>
    <w:p>
      <w:pPr>
        <w:ind w:left="1100" w:right="440" w:hanging="559"/>
        <w:spacing w:after="0" w:line="284" w:lineRule="auto"/>
        <w:tabs>
          <w:tab w:leader="none" w:pos="1069" w:val="left"/>
        </w:tabs>
        <w:numPr>
          <w:ilvl w:val="0"/>
          <w:numId w:val="20"/>
        </w:numPr>
        <w:rPr>
          <w:rFonts w:ascii="Arial" w:cs="Arial" w:eastAsia="Arial" w:hAnsi="Arial"/>
          <w:sz w:val="15"/>
          <w:szCs w:val="15"/>
          <w:color w:val="auto"/>
        </w:rPr>
      </w:pPr>
      <w:r>
        <w:rPr>
          <w:rFonts w:ascii="Arial" w:cs="Arial" w:eastAsia="Arial" w:hAnsi="Arial"/>
          <w:sz w:val="15"/>
          <w:szCs w:val="15"/>
          <w:color w:val="auto"/>
        </w:rPr>
        <w:t>you have not engaged in and have no intent to engage in (nor have you entered into any arrangement or understanding with any person or entity to participate in) a distribution of the new notes in violation of the provisions of the Securities Act;</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you are not an “affiliate” (within the meaning of Rule 405 under the Securities Act) of Weatherford International, LLC or the guarantors; and</w:t>
      </w:r>
    </w:p>
    <w:p>
      <w:pPr>
        <w:spacing w:after="0" w:line="193" w:lineRule="exact"/>
        <w:rPr>
          <w:rFonts w:ascii="Arial" w:cs="Arial" w:eastAsia="Arial" w:hAnsi="Arial"/>
          <w:sz w:val="15"/>
          <w:szCs w:val="15"/>
          <w:color w:val="auto"/>
        </w:rPr>
      </w:pPr>
    </w:p>
    <w:p>
      <w:pPr>
        <w:jc w:val="both"/>
        <w:ind w:left="1100" w:right="160" w:hanging="559"/>
        <w:spacing w:after="0" w:line="269" w:lineRule="auto"/>
        <w:tabs>
          <w:tab w:leader="none" w:pos="1069"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you are a broker-dealer that will receive new notes for your own account in exchange for old notes that were acquired as a result of market-making activities or other trading activities, then you will deliver a prospectus (or to the extent permitted by law, make available a prospectus to purchasers) in connection with any resale of the new notes.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Withdrawal of Tenders</w:t>
      </w:r>
    </w:p>
    <w:p>
      <w:pPr>
        <w:spacing w:after="0" w:line="198"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Except as otherwise provided in this prospectus, you may withdraw your tender at any time prior to 5:00 p.m., New York City time, on the expiration date. For a withdrawal to be effective you must comply with the appropriate ATOP procedures. Any notice of withdrawal must specify the name and number of the account at DTC to be credited with withdrawn old notes and otherwise comply with the ATOP procedures.</w:t>
      </w:r>
    </w:p>
    <w:p>
      <w:pPr>
        <w:spacing w:after="0" w:line="152" w:lineRule="exact"/>
        <w:rPr>
          <w:sz w:val="20"/>
          <w:szCs w:val="20"/>
          <w:color w:val="auto"/>
        </w:rPr>
      </w:pPr>
    </w:p>
    <w:p>
      <w:pPr>
        <w:ind w:right="220" w:firstLine="549"/>
        <w:spacing w:after="0" w:line="284" w:lineRule="auto"/>
        <w:rPr>
          <w:sz w:val="20"/>
          <w:szCs w:val="20"/>
          <w:color w:val="auto"/>
        </w:rPr>
      </w:pPr>
      <w:r>
        <w:rPr>
          <w:rFonts w:ascii="Arial" w:cs="Arial" w:eastAsia="Arial" w:hAnsi="Arial"/>
          <w:sz w:val="15"/>
          <w:szCs w:val="15"/>
          <w:color w:val="auto"/>
        </w:rPr>
        <w:t>We will determine all questions as to the validity, form, eligibility and time of receipt of a notice of withdrawal. Our determination shall be final and binding on all parties. We will deem any old notes so withdrawn not to have been validly tendered for exchange for purposes of the exchange offer.</w:t>
      </w:r>
    </w:p>
    <w:p>
      <w:pPr>
        <w:spacing w:after="0" w:line="141"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Any old notes that have been tendered for exchange but that are not exchanged for any reason will be credited to an account maintained with DTC for the old notes. This return or crediting will take place promptly upon withdrawal, rejection of tender, expiration or termination of the exchange offer. You may retender properly withdrawn old notes by following the procedures described under “—Procedures for Tendering” above at any time on or prior to the expiration date.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Fees and Expenses</w:t>
      </w:r>
    </w:p>
    <w:p>
      <w:pPr>
        <w:spacing w:after="0" w:line="198" w:lineRule="exact"/>
        <w:rPr>
          <w:sz w:val="20"/>
          <w:szCs w:val="20"/>
          <w:color w:val="auto"/>
        </w:rPr>
      </w:pPr>
    </w:p>
    <w:p>
      <w:pPr>
        <w:ind w:right="100" w:firstLine="549"/>
        <w:spacing w:after="0" w:line="284" w:lineRule="auto"/>
        <w:rPr>
          <w:sz w:val="20"/>
          <w:szCs w:val="20"/>
          <w:color w:val="auto"/>
        </w:rPr>
      </w:pPr>
      <w:r>
        <w:rPr>
          <w:rFonts w:ascii="Arial" w:cs="Arial" w:eastAsia="Arial" w:hAnsi="Arial"/>
          <w:sz w:val="15"/>
          <w:szCs w:val="15"/>
          <w:color w:val="auto"/>
        </w:rPr>
        <w:t>We will bear the expenses of soliciting tenders. The principal solicitation is being made by mail; however, we may make additional solicitation by e-mail, telephone or in person by our officers and regular employees and those of our affiliates.</w:t>
      </w:r>
    </w:p>
    <w:p>
      <w:pPr>
        <w:spacing w:after="0" w:line="141" w:lineRule="exact"/>
        <w:rPr>
          <w:sz w:val="20"/>
          <w:szCs w:val="20"/>
          <w:color w:val="auto"/>
        </w:rPr>
      </w:pPr>
    </w:p>
    <w:p>
      <w:pPr>
        <w:ind w:right="580" w:firstLine="549"/>
        <w:spacing w:after="0" w:line="365" w:lineRule="auto"/>
        <w:rPr>
          <w:sz w:val="20"/>
          <w:szCs w:val="20"/>
          <w:color w:val="auto"/>
        </w:rPr>
      </w:pPr>
      <w:r>
        <w:rPr>
          <w:rFonts w:ascii="Arial" w:cs="Arial" w:eastAsia="Arial" w:hAnsi="Arial"/>
          <w:sz w:val="13"/>
          <w:szCs w:val="13"/>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95" w:lineRule="exact"/>
        <w:rPr>
          <w:sz w:val="20"/>
          <w:szCs w:val="20"/>
          <w:color w:val="auto"/>
        </w:rPr>
      </w:pPr>
    </w:p>
    <w:p>
      <w:pPr>
        <w:ind w:right="300" w:firstLine="549"/>
        <w:spacing w:after="0" w:line="284" w:lineRule="auto"/>
        <w:rPr>
          <w:sz w:val="20"/>
          <w:szCs w:val="20"/>
          <w:color w:val="auto"/>
        </w:rPr>
      </w:pPr>
      <w:r>
        <w:rPr>
          <w:rFonts w:ascii="Arial" w:cs="Arial" w:eastAsia="Arial" w:hAnsi="Arial"/>
          <w:sz w:val="15"/>
          <w:szCs w:val="15"/>
          <w:color w:val="auto"/>
        </w:rPr>
        <w:t>We will pay the cash expenses to be incurred in connection with the exchange offer. They include SEC registration fees, fees and expenses of the exchange agent and trustee, accounting and legal fees and printing costs and related fees and expenses.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Taxes</w:t>
      </w:r>
    </w:p>
    <w:p>
      <w:pPr>
        <w:spacing w:after="0" w:line="198" w:lineRule="exact"/>
        <w:rPr>
          <w:sz w:val="20"/>
          <w:szCs w:val="20"/>
          <w:color w:val="auto"/>
        </w:rPr>
      </w:pPr>
    </w:p>
    <w:p>
      <w:pPr>
        <w:ind w:right="60" w:firstLine="549"/>
        <w:spacing w:after="0" w:line="269" w:lineRule="auto"/>
        <w:rPr>
          <w:sz w:val="20"/>
          <w:szCs w:val="20"/>
          <w:color w:val="auto"/>
        </w:rPr>
      </w:pPr>
      <w:r>
        <w:rPr>
          <w:rFonts w:ascii="Arial" w:cs="Arial" w:eastAsia="Arial" w:hAnsi="Arial"/>
          <w:sz w:val="15"/>
          <w:szCs w:val="15"/>
          <w:color w:val="auto"/>
        </w:rPr>
        <w:t>We will pay all transfer taxes, if any, applicable to the exchange of old notes for new notes in the exchange offer. Each tendering holder, however, will be required to pay any transfer taxes, whether imposed on the registered holder or any other person, if a transfer tax is imposed for any reason other than the exchange of old notes for new notes in the exchange offer.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Consequences of Failure to Exchange</w:t>
      </w:r>
    </w:p>
    <w:p>
      <w:pPr>
        <w:spacing w:after="0" w:line="198" w:lineRule="exact"/>
        <w:rPr>
          <w:sz w:val="20"/>
          <w:szCs w:val="20"/>
          <w:color w:val="auto"/>
        </w:rPr>
      </w:pPr>
    </w:p>
    <w:p>
      <w:pPr>
        <w:jc w:val="both"/>
        <w:ind w:right="100" w:firstLine="549"/>
        <w:spacing w:after="0" w:line="264" w:lineRule="auto"/>
        <w:rPr>
          <w:sz w:val="20"/>
          <w:szCs w:val="20"/>
          <w:color w:val="auto"/>
        </w:rPr>
      </w:pPr>
      <w:r>
        <w:rPr>
          <w:rFonts w:ascii="Arial" w:cs="Arial" w:eastAsia="Arial" w:hAnsi="Arial"/>
          <w:sz w:val="15"/>
          <w:szCs w:val="15"/>
          <w:color w:val="auto"/>
        </w:rPr>
        <w:t>If you do not exchange your old notes for new notes in the exchange offer, the old notes you hold will remain outstanding and continue to accrue interest, but will continue to be subject to the existing restrictions on transfer. In general, you may not offer or sell the old notes except under an exemption from, or in a transaction not subject to, the Securities Act and applicable state securities laws. After the expiration of this exchange offer, we do not intend to register old notes under the Securities Act unless the registration rights agreement requires us to do so.</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Treatment</w:t>
      </w:r>
    </w:p>
    <w:p>
      <w:pPr>
        <w:spacing w:after="0" w:line="198" w:lineRule="exact"/>
        <w:rPr>
          <w:sz w:val="20"/>
          <w:szCs w:val="20"/>
          <w:color w:val="auto"/>
        </w:rPr>
      </w:pPr>
    </w:p>
    <w:p>
      <w:pPr>
        <w:ind w:right="60" w:firstLine="549"/>
        <w:spacing w:after="0" w:line="269" w:lineRule="auto"/>
        <w:rPr>
          <w:sz w:val="20"/>
          <w:szCs w:val="20"/>
          <w:color w:val="auto"/>
        </w:rPr>
      </w:pPr>
      <w:r>
        <w:rPr>
          <w:rFonts w:ascii="Arial" w:cs="Arial" w:eastAsia="Arial" w:hAnsi="Arial"/>
          <w:sz w:val="15"/>
          <w:szCs w:val="15"/>
          <w:color w:val="auto"/>
        </w:rPr>
        <w:t>We will record the new notes in our accounting records at the same carrying value as the old notes. This carrying value is the aggregate principal amount of the old notes, as reflected in our accounting records on the date of exchange. Accordingly, we will not recognize any gain or loss for accounting purposes in connection with the exchange offer, other than the recognition of the fees and expenses of the exchange offer as stated under “—Fees and Expenses.”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198"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Participation in the exchange offer is voluntary, and you should consider carefully whether to accept. You are urged to consult your financial and tax advisors in making your own decision on what action to take.</w:t>
      </w:r>
    </w:p>
    <w:p>
      <w:pPr>
        <w:spacing w:after="0" w:line="141" w:lineRule="exact"/>
        <w:rPr>
          <w:sz w:val="20"/>
          <w:szCs w:val="20"/>
          <w:color w:val="auto"/>
        </w:rPr>
      </w:pPr>
    </w:p>
    <w:p>
      <w:pPr>
        <w:ind w:right="340" w:firstLine="549"/>
        <w:spacing w:after="0" w:line="322" w:lineRule="auto"/>
        <w:rPr>
          <w:sz w:val="20"/>
          <w:szCs w:val="20"/>
          <w:color w:val="auto"/>
        </w:rPr>
      </w:pPr>
      <w:r>
        <w:rPr>
          <w:rFonts w:ascii="Arial" w:cs="Arial" w:eastAsia="Arial" w:hAnsi="Arial"/>
          <w:sz w:val="14"/>
          <w:szCs w:val="14"/>
          <w:color w:val="auto"/>
        </w:rPr>
        <w:t>We may in the future seek to acquire untendered old notes in open market or privately negotiated transactions, through subsequent exchange offers or otherwise. We have no present plans to acquire any old notes that are not tendered in the exchange offer or to file a registration statement to permit resales of any untendered old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OTHER INDEBTEDNESS</w:t>
      </w:r>
    </w:p>
    <w:p>
      <w:pPr>
        <w:spacing w:after="0" w:line="198" w:lineRule="exact"/>
        <w:rPr>
          <w:sz w:val="20"/>
          <w:szCs w:val="20"/>
          <w:color w:val="auto"/>
        </w:rPr>
      </w:pPr>
    </w:p>
    <w:p>
      <w:pPr>
        <w:ind w:right="80" w:firstLine="549"/>
        <w:spacing w:after="0" w:line="269" w:lineRule="auto"/>
        <w:rPr>
          <w:sz w:val="20"/>
          <w:szCs w:val="20"/>
          <w:color w:val="auto"/>
        </w:rPr>
      </w:pPr>
      <w:r>
        <w:rPr>
          <w:rFonts w:ascii="Arial" w:cs="Arial" w:eastAsia="Arial" w:hAnsi="Arial"/>
          <w:sz w:val="15"/>
          <w:szCs w:val="15"/>
          <w:i w:val="1"/>
          <w:iCs w:val="1"/>
          <w:color w:val="auto"/>
        </w:rPr>
        <w:t>Set forth below is a summary of certain of our outstanding indebtedness. The following summary is not a complete description of the terms of these debt obligations and is qualified in its entirety by reference to the applicable governing agreements, which are included as exhibits to Weatherford Ireland’s filings with the SEC and incorporated by reference in this prospectus. See “Where You Can Find Additional Information; Incorporation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Agreements</w:t>
      </w:r>
    </w:p>
    <w:p>
      <w:pPr>
        <w:spacing w:after="0" w:line="198" w:lineRule="exact"/>
        <w:rPr>
          <w:sz w:val="20"/>
          <w:szCs w:val="20"/>
          <w:color w:val="auto"/>
        </w:rPr>
      </w:pPr>
    </w:p>
    <w:p>
      <w:pPr>
        <w:ind w:right="120" w:firstLine="549"/>
        <w:spacing w:after="0" w:line="259" w:lineRule="auto"/>
        <w:rPr>
          <w:sz w:val="20"/>
          <w:szCs w:val="20"/>
          <w:color w:val="auto"/>
        </w:rPr>
      </w:pPr>
      <w:r>
        <w:rPr>
          <w:rFonts w:ascii="Arial" w:cs="Arial" w:eastAsia="Arial" w:hAnsi="Arial"/>
          <w:sz w:val="15"/>
          <w:szCs w:val="15"/>
          <w:color w:val="auto"/>
        </w:rPr>
        <w:t>We have a revolving credit facility (as amended and supplemented, the “Revolving Credit Agreement”), a secured term loan agreement (as amended, the “Term Loan Agreement”) and a 364-day revolving credit agreement (the “364-Day Credit Agreement” and, together with the Revolving Credit Agreement and the Term Loan Agreement, the “Credit Agreements”) with, among others, JPMorgan Chase Bank, N.A., as administrative agent and lender. Our Credit Agreements contain customary events of default, including our failure to comply with financial covenants. On April 17, 2017, we amended the Revolving Credit Agreement and Term Loan Agreement to effect certain definitional and covenant modifications and to reduce total commitments under the Revolving Credit Agreement from $1.38 billion to $1.199 billion. On August 16, 2018, we further amended the Revolving Credit Agreement and Term Loan Agreement to effect certain definitional and covenant modifications and extend and reduce the commitments of certain lenders in connection with entry into the 364-Day Credit Agreement.</w:t>
      </w:r>
    </w:p>
    <w:p>
      <w:pPr>
        <w:spacing w:after="0" w:line="162" w:lineRule="exact"/>
        <w:rPr>
          <w:sz w:val="20"/>
          <w:szCs w:val="20"/>
          <w:color w:val="auto"/>
        </w:rPr>
      </w:pPr>
    </w:p>
    <w:p>
      <w:pPr>
        <w:ind w:right="260" w:firstLine="549"/>
        <w:spacing w:after="0" w:line="269" w:lineRule="auto"/>
        <w:rPr>
          <w:sz w:val="20"/>
          <w:szCs w:val="20"/>
          <w:color w:val="auto"/>
        </w:rPr>
      </w:pPr>
      <w:r>
        <w:rPr>
          <w:rFonts w:ascii="Arial" w:cs="Arial" w:eastAsia="Arial" w:hAnsi="Arial"/>
          <w:sz w:val="15"/>
          <w:szCs w:val="15"/>
          <w:color w:val="auto"/>
        </w:rPr>
        <w:t>Obligations under the Credit Agreements are guaranteed by Weatherford Ireland and a material portion of its subsidiaries. Obligations under the Term Loan Agreement are secured by substantially all of Weatherford Ireland’s and certain of its subsidiaries’ assets, including the equity and assets of a material portion of its subsidiaries. Obligations under the 364-Day Credit Agreement are secured by the current assets of certain subsidiaries of Weatherford Ireland.</w:t>
      </w:r>
    </w:p>
    <w:p>
      <w:pPr>
        <w:spacing w:after="0" w:line="152"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 xml:space="preserve">At September 30, 2018, we had total commitments under the Revolving Credit Agreement maturing in July of 2019 (as to certain lenders who have not agreed to extend their revolving commitment under the Revolving Credit Agreement, such lenders, the “non-extending lenders”) of $226 million and July of 2020 (as to the remaining lenders who agreed to extend their revolving commitment under the Revolving Credit Agreement, such lenders, the “extending lenders”) however, </w:t>
      </w:r>
      <w:r>
        <w:rPr>
          <w:rFonts w:ascii="Arial" w:cs="Arial" w:eastAsia="Arial" w:hAnsi="Arial"/>
          <w:sz w:val="14"/>
          <w:szCs w:val="14"/>
          <w:color w:val="auto"/>
        </w:rPr>
        <w:t>commitments from our extending lenders were reduced by $54</w:t>
      </w:r>
      <w:r>
        <w:rPr>
          <w:rFonts w:ascii="Arial" w:cs="Arial" w:eastAsia="Arial" w:hAnsi="Arial"/>
          <w:sz w:val="15"/>
          <w:szCs w:val="15"/>
          <w:color w:val="auto"/>
        </w:rPr>
        <w:t xml:space="preserve"> </w:t>
      </w:r>
      <w:r>
        <w:rPr>
          <w:rFonts w:ascii="Arial" w:cs="Arial" w:eastAsia="Arial" w:hAnsi="Arial"/>
          <w:sz w:val="14"/>
          <w:szCs w:val="14"/>
          <w:color w:val="auto"/>
        </w:rPr>
        <w:t xml:space="preserve">million to $172 million on November 14, 2018. At September 30, 2018, we had total commitments </w:t>
      </w:r>
      <w:r>
        <w:rPr>
          <w:rFonts w:ascii="Arial" w:cs="Arial" w:eastAsia="Arial" w:hAnsi="Arial"/>
          <w:sz w:val="15"/>
          <w:szCs w:val="15"/>
          <w:color w:val="auto"/>
        </w:rPr>
        <w:t>of $357 million, borrowings of $338 million under our Term Loan Agreement maturing in</w:t>
      </w:r>
      <w:r>
        <w:rPr>
          <w:rFonts w:ascii="Arial" w:cs="Arial" w:eastAsia="Arial" w:hAnsi="Arial"/>
          <w:sz w:val="14"/>
          <w:szCs w:val="14"/>
          <w:color w:val="auto"/>
        </w:rPr>
        <w:t xml:space="preserve"> </w:t>
      </w:r>
      <w:r>
        <w:rPr>
          <w:rFonts w:ascii="Arial" w:cs="Arial" w:eastAsia="Arial" w:hAnsi="Arial"/>
          <w:sz w:val="15"/>
          <w:szCs w:val="15"/>
          <w:color w:val="auto"/>
        </w:rPr>
        <w:t>July of 2020 and borrowings of $317 million under our 364-Day Credit Agreement maturing in August of 2019.</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Loans under the Credit Agreements are subject to varying rates of interest based on whether the loan is a Eurodollar loan or an alternate base rate loan.</w:t>
      </w:r>
    </w:p>
    <w:p>
      <w:pPr>
        <w:spacing w:after="0" w:line="194" w:lineRule="exact"/>
        <w:rPr>
          <w:sz w:val="20"/>
          <w:szCs w:val="20"/>
          <w:color w:val="auto"/>
        </w:rPr>
      </w:pPr>
    </w:p>
    <w:p>
      <w:pPr>
        <w:ind w:right="260" w:firstLine="549"/>
        <w:spacing w:after="0" w:line="299" w:lineRule="auto"/>
        <w:rPr>
          <w:sz w:val="20"/>
          <w:szCs w:val="20"/>
          <w:color w:val="auto"/>
        </w:rPr>
      </w:pPr>
      <w:r>
        <w:rPr>
          <w:rFonts w:ascii="Arial" w:cs="Arial" w:eastAsia="Arial" w:hAnsi="Arial"/>
          <w:sz w:val="13"/>
          <w:szCs w:val="13"/>
          <w:color w:val="auto"/>
        </w:rPr>
        <w:t>Eurodollar loans bear interest at the Eurodollar rate, which is LIBOR, plus the applicable margin. The applicable margin for Eurodollar loans under the Revolving Credit Agreement depends on whether the lender is an extending lender or a non-extending lender. For non-extending lenders, the applicable margin under the Revolving Credit Agreement ranges from 1.925% to 3.700% depending on the Specified Senior Leverage Ratio, and for extending lenders under the Revolving Credit Agreement the applicable margin ranges from</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2.675% to 4.450% depending on the Specified Senior Leverage Ratio (as defined in the Revolving Credit Agreement). The applicable margin for Eurodollar loans under the Term Loan Agreement ranges from 1.425% to 3.2% depending on the Specified Senior Leverage Ratio. The applicable margin for Eurodollar loans under the 364-Day Credit Agreement ranges from 2.175% to 3.95% depending on the Specified Senior Leverage Ratio.</w:t>
      </w:r>
    </w:p>
    <w:p>
      <w:pPr>
        <w:spacing w:after="0" w:line="157" w:lineRule="exact"/>
        <w:rPr>
          <w:sz w:val="20"/>
          <w:szCs w:val="20"/>
          <w:color w:val="auto"/>
        </w:rPr>
      </w:pPr>
    </w:p>
    <w:p>
      <w:pPr>
        <w:ind w:right="160" w:firstLine="549"/>
        <w:spacing w:after="0" w:line="260" w:lineRule="auto"/>
        <w:rPr>
          <w:sz w:val="20"/>
          <w:szCs w:val="20"/>
          <w:color w:val="auto"/>
        </w:rPr>
      </w:pPr>
      <w:r>
        <w:rPr>
          <w:rFonts w:ascii="Arial" w:cs="Arial" w:eastAsia="Arial" w:hAnsi="Arial"/>
          <w:sz w:val="15"/>
          <w:szCs w:val="15"/>
          <w:color w:val="auto"/>
        </w:rPr>
        <w:t>Alternate base rate loans bear interest at the alternate base rate plus the applicable margin. The applicable margin for alternate base rate loans under the Revolving Credit Agreement depends on whether the lender is an extending lender or a non-extending lender. For non-extending lenders, the applicable margin under the Revolving Credit Agreement ranges from 1.675% to 3.450% depending on the Specified Senior Leverage Ratio, and for extending lenders the applicable margin under the Revolving Credit Agreement ranges from 0.925% to 2.7% depending on the Specified Senior Leverage Ratio. The applicable margin for alternate base rate loans under the Term Loan Agreement ranges from 0.425% to 2.2% depending on the Specified Senior Leverage Ratio. The applicable margin for alternate base rate loans under the 364-Day Credit Agreement ranges from 1.175% to 2.95% depending on the Specified Senior Leverage Ratio.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Credit Agreements contain the following customary covenants, among others:</w:t>
      </w:r>
    </w:p>
    <w:p>
      <w:pPr>
        <w:spacing w:after="0" w:line="194" w:lineRule="exact"/>
        <w:rPr>
          <w:sz w:val="20"/>
          <w:szCs w:val="20"/>
          <w:color w:val="auto"/>
        </w:rPr>
      </w:pPr>
    </w:p>
    <w:p>
      <w:pPr>
        <w:ind w:left="1060" w:hanging="519"/>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prohibition against incurring debt, subject to permitted exceptions;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restriction on creating liens on assets and the assets of our operating subsidiaries, subject to permitted exceptions;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restrictions on mergers and asset dispositions;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restrictions on use of proceeds, investments, transactions with affiliates, or change of principal business;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provision limiting derivative transactions;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maintenance of the following financial covenants:</w:t>
      </w:r>
    </w:p>
    <w:p>
      <w:pPr>
        <w:spacing w:after="0" w:line="193" w:lineRule="exact"/>
        <w:rPr>
          <w:rFonts w:ascii="Arial" w:cs="Arial" w:eastAsia="Arial" w:hAnsi="Arial"/>
          <w:sz w:val="15"/>
          <w:szCs w:val="15"/>
          <w:color w:val="auto"/>
        </w:rPr>
      </w:pPr>
    </w:p>
    <w:p>
      <w:pPr>
        <w:ind w:left="1700" w:hanging="610"/>
        <w:spacing w:after="0"/>
        <w:tabs>
          <w:tab w:leader="none" w:pos="17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Specified Senior Leverage Ratio of no greater than 2.5 to 1.</w:t>
      </w:r>
    </w:p>
    <w:p>
      <w:pPr>
        <w:spacing w:after="0" w:line="193" w:lineRule="exact"/>
        <w:rPr>
          <w:rFonts w:ascii="Arial" w:cs="Arial" w:eastAsia="Arial" w:hAnsi="Arial"/>
          <w:sz w:val="15"/>
          <w:szCs w:val="15"/>
          <w:color w:val="auto"/>
        </w:rPr>
      </w:pPr>
    </w:p>
    <w:p>
      <w:pPr>
        <w:ind w:left="1700" w:hanging="610"/>
        <w:spacing w:after="0"/>
        <w:tabs>
          <w:tab w:leader="none" w:pos="17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Specified Leverage and LC Ratio of no greater than 3.5 to 1.</w:t>
      </w:r>
    </w:p>
    <w:p>
      <w:pPr>
        <w:spacing w:after="0" w:line="193" w:lineRule="exact"/>
        <w:rPr>
          <w:rFonts w:ascii="Arial" w:cs="Arial" w:eastAsia="Arial" w:hAnsi="Arial"/>
          <w:sz w:val="15"/>
          <w:szCs w:val="15"/>
          <w:color w:val="auto"/>
        </w:rPr>
      </w:pPr>
    </w:p>
    <w:p>
      <w:pPr>
        <w:ind w:left="1700" w:hanging="610"/>
        <w:spacing w:after="0"/>
        <w:tabs>
          <w:tab w:leader="none" w:pos="17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Specified Asset Coverage Ratio of at least 4 to 1.</w:t>
      </w:r>
    </w:p>
    <w:p>
      <w:pPr>
        <w:spacing w:after="0" w:line="193" w:lineRule="exact"/>
        <w:rPr>
          <w:rFonts w:ascii="Arial" w:cs="Arial" w:eastAsia="Arial" w:hAnsi="Arial"/>
          <w:sz w:val="15"/>
          <w:szCs w:val="15"/>
          <w:color w:val="auto"/>
        </w:rPr>
      </w:pPr>
    </w:p>
    <w:p>
      <w:pPr>
        <w:ind w:left="1700" w:hanging="610"/>
        <w:spacing w:after="0"/>
        <w:tabs>
          <w:tab w:leader="none" w:pos="17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Current Asset Coverage Ratio of not less than 2.1 to 1.</w:t>
      </w:r>
    </w:p>
    <w:p>
      <w:pPr>
        <w:spacing w:after="0" w:line="194" w:lineRule="exact"/>
        <w:rPr>
          <w:sz w:val="20"/>
          <w:szCs w:val="20"/>
          <w:color w:val="auto"/>
        </w:rPr>
      </w:pPr>
    </w:p>
    <w:p>
      <w:pPr>
        <w:ind w:right="20" w:firstLine="549"/>
        <w:spacing w:after="0" w:line="262" w:lineRule="auto"/>
        <w:rPr>
          <w:sz w:val="20"/>
          <w:szCs w:val="20"/>
          <w:color w:val="auto"/>
        </w:rPr>
      </w:pPr>
      <w:r>
        <w:rPr>
          <w:rFonts w:ascii="Arial" w:cs="Arial" w:eastAsia="Arial" w:hAnsi="Arial"/>
          <w:sz w:val="15"/>
          <w:szCs w:val="15"/>
          <w:color w:val="auto"/>
        </w:rPr>
        <w:t>The Credit Agreements contain customary events of default, including, among other things,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which would permit the lenders to accelerate the debt if not cured within applicable grace and cure periods (if any). If an event of default occurs and is continuing, lenders may require the administrative agent to declare all amounts outstanding thereunder to be immediately due and payable, which may materially and adversely affect our financial condition and liquidity.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Existing Senior Notes</w:t>
      </w:r>
    </w:p>
    <w:p>
      <w:pPr>
        <w:spacing w:after="0" w:line="198" w:lineRule="exact"/>
        <w:rPr>
          <w:sz w:val="20"/>
          <w:szCs w:val="20"/>
          <w:color w:val="auto"/>
        </w:rPr>
      </w:pPr>
    </w:p>
    <w:p>
      <w:pPr>
        <w:ind w:firstLine="549"/>
        <w:spacing w:after="0" w:line="297" w:lineRule="auto"/>
        <w:rPr>
          <w:sz w:val="20"/>
          <w:szCs w:val="20"/>
          <w:color w:val="auto"/>
        </w:rPr>
      </w:pPr>
      <w:r>
        <w:rPr>
          <w:rFonts w:ascii="Arial" w:cs="Arial" w:eastAsia="Arial" w:hAnsi="Arial"/>
          <w:sz w:val="14"/>
          <w:szCs w:val="14"/>
          <w:color w:val="auto"/>
        </w:rPr>
        <w:t>The existing senior notes represent our senior obligations and rank equally with all of our other existing and future senior indebtedness, including the new notes, and senior to any of our future subordinated indebtedness. Either Weatherford Bermuda or Weatherford Delaware is the issuer of each series of the existing senior notes. Each series is guaranteed by Weatherford Ireland and either Weatherford Bermuda or Weatherford Delaware, whichever entity is not the issuer of the respective series of notes.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September 30, 2018, Weatherford Bermuda and Weatherford Delaware, as applicable, had outstanding the following series of senior notes:</w:t>
      </w:r>
    </w:p>
    <w:p>
      <w:pPr>
        <w:spacing w:after="0" w:line="194" w:lineRule="exact"/>
        <w:rPr>
          <w:sz w:val="20"/>
          <w:szCs w:val="20"/>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$364 million in aggregate amount of our 5.125% senior notes due 2020;</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$743 million in aggregate amount of our 7.750% senior notes due 2021;</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$643 million in aggregate amount of our 4.50% senior notes due 2022;</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$741 million in aggregate amount of our 8.250% senior notes due 2023;</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$781 million in aggregate amount of our 9.875% senior notes due 2024;</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$447 million in aggregate amount of our 6.50% senior notes due 2036;</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$255 million in aggregate amount of our 6.80% senior notes due 2037;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060" w:hanging="519"/>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$456 million in aggregate amount of our 7.00% senior notes due 2038;</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$245 million in aggregate amount of our 9.875% senior notes due 2039;</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$457 million in aggregate amount of our 6.75% senior notes due 2040;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$369 million in aggregate amount of our 5.95% senior notes due 2042.</w:t>
      </w:r>
    </w:p>
    <w:p>
      <w:pPr>
        <w:spacing w:after="0" w:line="194" w:lineRule="exact"/>
        <w:rPr>
          <w:sz w:val="20"/>
          <w:szCs w:val="20"/>
          <w:color w:val="auto"/>
        </w:rPr>
      </w:pPr>
    </w:p>
    <w:p>
      <w:pPr>
        <w:ind w:right="240" w:firstLine="549"/>
        <w:spacing w:after="0" w:line="322" w:lineRule="auto"/>
        <w:rPr>
          <w:sz w:val="20"/>
          <w:szCs w:val="20"/>
          <w:color w:val="auto"/>
        </w:rPr>
      </w:pPr>
      <w:r>
        <w:rPr>
          <w:rFonts w:ascii="Arial" w:cs="Arial" w:eastAsia="Arial" w:hAnsi="Arial"/>
          <w:sz w:val="14"/>
          <w:szCs w:val="14"/>
          <w:color w:val="auto"/>
        </w:rPr>
        <w:t>In connection with a tender offer that closed on February 28, 2018, we repurchased $425 million in aggregate amount of our 9.625% senior notes due 2019. In April 2018, we repaid the remaining principal outstanding pursuant to an early redemption of the 9.625% senior notes due 2019 that remained outstanding following the tender offer.</w:t>
      </w:r>
    </w:p>
    <w:p>
      <w:pPr>
        <w:spacing w:after="0" w:line="117" w:lineRule="exact"/>
        <w:rPr>
          <w:sz w:val="20"/>
          <w:szCs w:val="20"/>
          <w:color w:val="auto"/>
        </w:rPr>
      </w:pPr>
    </w:p>
    <w:p>
      <w:pPr>
        <w:jc w:val="both"/>
        <w:ind w:right="20" w:firstLine="549"/>
        <w:spacing w:after="0" w:line="285" w:lineRule="auto"/>
        <w:rPr>
          <w:sz w:val="20"/>
          <w:szCs w:val="20"/>
          <w:color w:val="auto"/>
        </w:rPr>
      </w:pPr>
      <w:r>
        <w:rPr>
          <w:rFonts w:ascii="Arial" w:cs="Arial" w:eastAsia="Arial" w:hAnsi="Arial"/>
          <w:sz w:val="14"/>
          <w:szCs w:val="14"/>
          <w:color w:val="auto"/>
        </w:rPr>
        <w:t>The existing senior notes contain various covenants that limit, among other things, our ability to incur indebtedness secured by certain liens and engage in certain sale-leaseback transactions. Each series of existing senior notes is redeemable, in whole or in part, at any time at the respective issuer’s option, at a price equal to the greater of (a) 100% of principal plus accrued and unpaid interest and (b) the sum of the present values of the remaining scheduled payments of principal and interest discounted on a semiannual basis at the applicable treasury yield plus a number of basis points dependent on the series of notes. If the redemption occurs on or after the date that is 90 days, for the 4.50% senior notes due 2022, or 180 days, for the 5.95% senior notes due 2042, prior to maturity, then the redemption price in each case is 100% of principal plus accrued and unpaid interest, if any.</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addition to the above, our 7.750% senior notes due 2021, 8.250% senior notes due 2023 and 9.875% senior notes due 2024 have additional limitations on, among other things,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Weatherford Ireland’s and its restricted subsidiaries’ ability to:</w:t>
      </w:r>
    </w:p>
    <w:p>
      <w:pPr>
        <w:spacing w:after="0" w:line="183" w:lineRule="exact"/>
        <w:rPr>
          <w:sz w:val="20"/>
          <w:szCs w:val="20"/>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incur or guarantee additional indebtedness or issue certain types of equity securities;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pay dividends or repurchase equity or subordinated debt;</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investments or loans;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unscheduled payments on subordinated indebtedness;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engage in transactions with affiliates;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create certain liens;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create unrestricted subsidiaries;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consolidate, amalgamate, merge or transfer their assets as, or substantially as, an entirety;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engage in certain sale-leaseback transactions.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Exchangeable Senior Notes</w:t>
      </w:r>
    </w:p>
    <w:p>
      <w:pPr>
        <w:spacing w:after="0" w:line="194" w:lineRule="exact"/>
        <w:rPr>
          <w:sz w:val="20"/>
          <w:szCs w:val="20"/>
          <w:color w:val="auto"/>
        </w:rPr>
      </w:pPr>
    </w:p>
    <w:p>
      <w:pPr>
        <w:jc w:val="both"/>
        <w:ind w:right="360" w:firstLine="549"/>
        <w:spacing w:after="0" w:line="302" w:lineRule="auto"/>
        <w:rPr>
          <w:sz w:val="20"/>
          <w:szCs w:val="20"/>
          <w:color w:val="auto"/>
        </w:rPr>
      </w:pPr>
      <w:r>
        <w:rPr>
          <w:rFonts w:ascii="Arial" w:cs="Arial" w:eastAsia="Arial" w:hAnsi="Arial"/>
          <w:sz w:val="13"/>
          <w:szCs w:val="13"/>
          <w:color w:val="auto"/>
        </w:rPr>
        <w:t>On June 7, 2016, Weatherford Bermuda issued $1.265 billion aggregate principal amount of 5.875% Exchangeable Senior Notes due 2021 (the “Exchangeable Notes”). The Exchangeable Notes bear cash interest from June 7, 2016 at an annual rate of 5.875%, payable semi-annually in arrears on July 1 and January 1 of each year, beginning on January 1,</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2017. The Exchangeable Notes mature on July 1, 2021, unless earlier repurchased, redeemed or exchanged. The Exchangeable Notes are fully and unconditionally guaranteed, on a senior, unsecured basis, by Weatherford Ireland and Weatherford Delaware.</w:t>
      </w:r>
    </w:p>
    <w:p>
      <w:pPr>
        <w:spacing w:after="0" w:line="152" w:lineRule="exact"/>
        <w:rPr>
          <w:sz w:val="20"/>
          <w:szCs w:val="20"/>
          <w:color w:val="auto"/>
        </w:rPr>
      </w:pPr>
    </w:p>
    <w:p>
      <w:pPr>
        <w:ind w:right="40" w:firstLine="549"/>
        <w:spacing w:after="0" w:line="264" w:lineRule="auto"/>
        <w:rPr>
          <w:sz w:val="20"/>
          <w:szCs w:val="20"/>
          <w:color w:val="auto"/>
        </w:rPr>
      </w:pPr>
      <w:r>
        <w:rPr>
          <w:rFonts w:ascii="Arial" w:cs="Arial" w:eastAsia="Arial" w:hAnsi="Arial"/>
          <w:sz w:val="15"/>
          <w:szCs w:val="15"/>
          <w:color w:val="auto"/>
        </w:rPr>
        <w:t>The Exchangeable Notes may be exchanged at the option of the holders in certain circumstances and during certain periods. Weatherford Bermuda may settle exchanges by paying or delivering, as applicable, cash, ordinary shares of Weatherford Ireland or a combination of cash and ordinary shares, at Weatherford Bermuda’s election. The Exchangeable Notes may not be redeemed by Weatherford Bermuda at its option, except in limited circumstances in connection with a change in tax law. If a “fundamental change” occurs, then holders of the Exchangeable Notes may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require Weatherford Bermuda to repurchase its Exchangeable Notes at a cash repurchase price equal to the principal amount of the Exchangeable Notes to be repurchased, plus accrued and unpaid interest.</w:t>
      </w:r>
    </w:p>
    <w:p>
      <w:pPr>
        <w:spacing w:after="0" w:line="141" w:lineRule="exact"/>
        <w:rPr>
          <w:sz w:val="20"/>
          <w:szCs w:val="20"/>
          <w:color w:val="auto"/>
        </w:rPr>
      </w:pPr>
    </w:p>
    <w:p>
      <w:pPr>
        <w:ind w:right="100" w:firstLine="549"/>
        <w:spacing w:after="0" w:line="317" w:lineRule="auto"/>
        <w:rPr>
          <w:sz w:val="20"/>
          <w:szCs w:val="20"/>
          <w:color w:val="auto"/>
        </w:rPr>
      </w:pPr>
      <w:r>
        <w:rPr>
          <w:rFonts w:ascii="Arial" w:cs="Arial" w:eastAsia="Arial" w:hAnsi="Arial"/>
          <w:sz w:val="13"/>
          <w:szCs w:val="13"/>
          <w:color w:val="auto"/>
        </w:rPr>
        <w:t>The Exchangeable Notes and the related guarantees are senior, unsecured obligations of Weatherford Bermuda and the guarantors, respectively, and are (1) equal in right of payment with existing and future senior indebtedness of Weatherford Bermuda and the guarantors, respectively; (2) senior in right of payment to existing and future indebtedness of Weatherford Bermuda and the guarantors, respectively, that is expressly subordinated to the Exchangeable Notes and the guarantees, as applicable; and (3) effectively subordinated to existing and future secured indebtedness of Weatherford Bermuda and the guarantors, respectively, to the extent of the value of the collateral securing that indebtedness.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00"/>
          </w:cols>
          <w:pgMar w:left="240" w:top="129" w:right="45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NEW NOTES</w:t>
      </w:r>
    </w:p>
    <w:p>
      <w:pPr>
        <w:spacing w:after="0" w:line="198" w:lineRule="exact"/>
        <w:rPr>
          <w:sz w:val="20"/>
          <w:szCs w:val="20"/>
          <w:color w:val="auto"/>
        </w:rPr>
      </w:pPr>
    </w:p>
    <w:p>
      <w:pPr>
        <w:ind w:right="40" w:firstLine="549"/>
        <w:spacing w:after="0" w:line="262" w:lineRule="auto"/>
        <w:rPr>
          <w:sz w:val="20"/>
          <w:szCs w:val="20"/>
          <w:color w:val="auto"/>
        </w:rPr>
      </w:pPr>
      <w:r>
        <w:rPr>
          <w:rFonts w:ascii="Arial" w:cs="Arial" w:eastAsia="Arial" w:hAnsi="Arial"/>
          <w:sz w:val="15"/>
          <w:szCs w:val="15"/>
          <w:color w:val="auto"/>
        </w:rPr>
        <w:t>We are offering to exchange up to $600 million aggregate principal amount of our new 9.875% Senior Notes due 2025, which have been registered under the Securities Act, referred to in this prospectus as the “new notes,” for any and all of our outstanding unregistered 9.875% Senior Notes due 2025, referred to in this prospectus as the “old notes.” We issued $600 million aggregate principal amount of old notes on February 28, 2018, in a transaction exempt from registration under the Securities Act. We are offering new notes to the holders of the old notes in exchange for such notes in order to satisfy our registration obligations under the registration rights agreement that we entered into in connection with the issuance of the old notes.</w:t>
      </w:r>
    </w:p>
    <w:p>
      <w:pPr>
        <w:spacing w:after="0" w:line="157" w:lineRule="exact"/>
        <w:rPr>
          <w:sz w:val="20"/>
          <w:szCs w:val="20"/>
          <w:color w:val="auto"/>
        </w:rPr>
      </w:pPr>
    </w:p>
    <w:p>
      <w:pPr>
        <w:ind w:right="180" w:firstLine="549"/>
        <w:spacing w:after="0" w:line="281" w:lineRule="auto"/>
        <w:rPr>
          <w:sz w:val="20"/>
          <w:szCs w:val="20"/>
          <w:color w:val="auto"/>
        </w:rPr>
      </w:pPr>
      <w:r>
        <w:rPr>
          <w:rFonts w:ascii="Arial" w:cs="Arial" w:eastAsia="Arial" w:hAnsi="Arial"/>
          <w:sz w:val="14"/>
          <w:szCs w:val="14"/>
          <w:color w:val="auto"/>
        </w:rPr>
        <w:t>The new notes will be treated as a single class with any old notes that remain outstanding after the completion of the exchange offer. The new notes will be issued, and the old notes are currently outstanding, under an indenture dated as of June 18, 2007 (the “Base Indenture”), among Weatherford International, LLC, a Delaware limited liability company (the “Issuer”), Weatherford International plc, an Irish public limited company (the “Parent Guarantor”), Weatherford International Ltd., a Bermuda exempted company (“Weatherford Bermuda”), as the initial Subsidiary Guarantor, and Deutsche Bank Trust Company Americas, as trustee (the “Trustee”), as amended and supplemented by several supplemental indentures, including the Sixth Supplemental Indenture dated February 28, 2018, that established the form and terms of the notes. We refer to the Base Indenture, as amended and supplemented by such supplemental indentures, as the “Indenture.” You may obtain a copy of each of the Base Indenture and such supplemental indentures from the Issuer at its address set forth elsewhere in this prospectus— in the section “Where You Can Find Additional Information; Incorporation by Reference.”</w:t>
      </w:r>
    </w:p>
    <w:p>
      <w:pPr>
        <w:spacing w:after="0" w:line="145" w:lineRule="exact"/>
        <w:rPr>
          <w:sz w:val="20"/>
          <w:szCs w:val="20"/>
          <w:color w:val="auto"/>
        </w:rPr>
      </w:pPr>
    </w:p>
    <w:p>
      <w:pPr>
        <w:ind w:right="100" w:firstLine="549"/>
        <w:spacing w:after="0" w:line="262" w:lineRule="auto"/>
        <w:rPr>
          <w:sz w:val="20"/>
          <w:szCs w:val="20"/>
          <w:color w:val="auto"/>
        </w:rPr>
      </w:pPr>
      <w:r>
        <w:rPr>
          <w:rFonts w:ascii="Arial" w:cs="Arial" w:eastAsia="Arial" w:hAnsi="Arial"/>
          <w:sz w:val="15"/>
          <w:szCs w:val="15"/>
          <w:color w:val="auto"/>
        </w:rPr>
        <w:t>The following is a summary of the material terms and provisions of the notes, the Indenture and the registration rights agreement. The following summary does not purport to be a complete description of the notes, the Indenture and the registration rights agreement, and is subject to the detailed provisions of, and qualified in its entirety by reference to, the notes, the Indenture and the registration rights agreement, which are filed as exhibits to the registration statement of which this prospectus is a part, for a complete description of our obligations and your rights under the notes, the Indenture and the registration rights agreement. You can find definitions of certain terms used in this description under the heading “—Certain Definitions.”</w:t>
      </w:r>
    </w:p>
    <w:p>
      <w:pPr>
        <w:spacing w:after="0" w:line="157"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In this description, the terms “Issuer,” “Company,” “we,” “us” and “our” refers to Weatherford International, LLC, the issuer of the new notes offered hereby. The term “Notes” in this section of the prospectus includes the old notes issued on February 28, 2018, as well as the new notes, unless the context otherwise requires.</w:t>
      </w:r>
    </w:p>
    <w:p>
      <w:pPr>
        <w:spacing w:after="0" w:line="141" w:lineRule="exact"/>
        <w:rPr>
          <w:sz w:val="20"/>
          <w:szCs w:val="20"/>
          <w:color w:val="auto"/>
        </w:rPr>
      </w:pPr>
    </w:p>
    <w:p>
      <w:pPr>
        <w:ind w:right="20" w:firstLine="549"/>
        <w:spacing w:after="0" w:line="259" w:lineRule="auto"/>
        <w:rPr>
          <w:sz w:val="20"/>
          <w:szCs w:val="20"/>
          <w:color w:val="auto"/>
        </w:rPr>
      </w:pPr>
      <w:r>
        <w:rPr>
          <w:rFonts w:ascii="Arial" w:cs="Arial" w:eastAsia="Arial" w:hAnsi="Arial"/>
          <w:sz w:val="15"/>
          <w:szCs w:val="15"/>
          <w:color w:val="auto"/>
        </w:rPr>
        <w:t>If the exchange offer is consummated, Holders of old notes who do not exchange their old notes for new notes will vote together with the Holders of the new notes for all relevant purposes under the Indenture. In that regard, the Indenture requires that certain actions by the Holders under the Indenture (including acceleration after an Event of Default as defined in “—Events of Defaults” below) must be taken, and certain rights must be exercised, by Holders of specified minimum percentages of the aggregate principal amount of all outstanding Notes issued under the Indenture. In determining whether Holders of the requisite percentage in aggregate principal amount of Notes have given any notice, consent or waiver or taken any other action permitted or required under the Indenture, any old notes that remain outstanding after the exchange offer will be aggregated with the new notes, and the Holders of these old notes and the new notes will vote together as a single class for all such purposes. Accordingly, all references in this “Description of New Notes” to specified percentages in aggregate principal amount of the outstanding Notes mean, at any time after the exchange offer for the old notes is consummated, such percentage in aggregate principal amount of such old notes and the new notes then outstanding.</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registered Holder of a Note will be treated as the owner of it for all purposes. Only registered Holders will have rights under the Indenture.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8" w:lineRule="exact"/>
        <w:rPr>
          <w:sz w:val="20"/>
          <w:szCs w:val="20"/>
          <w:color w:val="auto"/>
        </w:rPr>
      </w:pPr>
    </w:p>
    <w:p>
      <w:pPr>
        <w:ind w:right="160" w:firstLine="549"/>
        <w:spacing w:after="0" w:line="269" w:lineRule="auto"/>
        <w:rPr>
          <w:sz w:val="20"/>
          <w:szCs w:val="20"/>
          <w:color w:val="auto"/>
        </w:rPr>
      </w:pPr>
      <w:r>
        <w:rPr>
          <w:rFonts w:ascii="Arial" w:cs="Arial" w:eastAsia="Arial" w:hAnsi="Arial"/>
          <w:sz w:val="15"/>
          <w:szCs w:val="15"/>
          <w:color w:val="auto"/>
        </w:rPr>
        <w:t>Principal of and interest on the new notes will be payable, and the new notes may be exchanged or transferred, at our office or agency in the City and State of New York (which initially shall be the corporate trust office of the Trustee), except that, at our option, payment of interest may be made by check mailed to the address of the Holders as such address appears in the note register.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right="40" w:firstLine="549"/>
        <w:spacing w:after="0" w:line="269" w:lineRule="auto"/>
        <w:rPr>
          <w:sz w:val="20"/>
          <w:szCs w:val="20"/>
          <w:color w:val="auto"/>
        </w:rPr>
      </w:pPr>
      <w:r>
        <w:rPr>
          <w:rFonts w:ascii="Arial" w:cs="Arial" w:eastAsia="Arial" w:hAnsi="Arial"/>
          <w:sz w:val="15"/>
          <w:szCs w:val="15"/>
          <w:color w:val="auto"/>
        </w:rPr>
        <w:t>The new notes will be issued only in fully registered form, without coupons, in denominations of $2,000 and any integral multiple of $1,000 in excess thereof. No service charge shall be made for any registration of transfer or exchange of Notes, but we may require payment of a sum sufficient to cover any transfer tax or other similar governmental charge payable in connection therewith.</w:t>
      </w:r>
    </w:p>
    <w:p>
      <w:pPr>
        <w:spacing w:after="0" w:line="152" w:lineRule="exact"/>
        <w:rPr>
          <w:sz w:val="20"/>
          <w:szCs w:val="20"/>
          <w:color w:val="auto"/>
        </w:rPr>
      </w:pPr>
    </w:p>
    <w:p>
      <w:pPr>
        <w:ind w:right="160" w:firstLine="549"/>
        <w:spacing w:after="0" w:line="262" w:lineRule="auto"/>
        <w:rPr>
          <w:sz w:val="20"/>
          <w:szCs w:val="20"/>
          <w:color w:val="auto"/>
        </w:rPr>
      </w:pPr>
      <w:r>
        <w:rPr>
          <w:rFonts w:ascii="Arial" w:cs="Arial" w:eastAsia="Arial" w:hAnsi="Arial"/>
          <w:sz w:val="15"/>
          <w:szCs w:val="15"/>
          <w:color w:val="auto"/>
        </w:rPr>
        <w:t>Subject to the covenants described below under “—Certain Covenants,” the Company may issue additional Notes under the Indenture in unlimited principal amounts; provided that the Additional Notes are fungible with the Notes for U.S. federal income tax purposes so that such Additional Notes will trade as a single class with the Notes (any Notes so issued, “Additional Notes”). The Notes and any Additional Notes subsequently issued under the Indenture would be treated as a single class for all purposes under the Indenture, in each case including waivers, amendments, redemptions and offers to purchase. Unless the context otherwise requires, for all purposes of the Indenture and this “Description of New Notes,” references to the new notes include any Additional Notes actually issued.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the New Notes</w:t>
      </w:r>
    </w:p>
    <w:p>
      <w:pPr>
        <w:spacing w:after="0" w:line="198" w:lineRule="exact"/>
        <w:rPr>
          <w:sz w:val="20"/>
          <w:szCs w:val="20"/>
          <w:color w:val="auto"/>
        </w:rPr>
      </w:pPr>
    </w:p>
    <w:p>
      <w:pPr>
        <w:ind w:firstLine="549"/>
        <w:spacing w:after="0" w:line="308" w:lineRule="auto"/>
        <w:rPr>
          <w:sz w:val="20"/>
          <w:szCs w:val="20"/>
          <w:color w:val="auto"/>
        </w:rPr>
      </w:pPr>
      <w:r>
        <w:rPr>
          <w:rFonts w:ascii="Arial" w:cs="Arial" w:eastAsia="Arial" w:hAnsi="Arial"/>
          <w:sz w:val="13"/>
          <w:szCs w:val="13"/>
          <w:color w:val="auto"/>
        </w:rPr>
        <w:t>The $600 million aggregate principal amount of new notes offered hereby will be senior, unsecured obligations of the Company. The new notes will mature on March 1, 2025 and bear interest at the rate per annum shown on the cover page of the prospectus from the most recent date to which interest has been paid or provided for, payable in cash semi-annually in arrears, on May and November 1 of each year, commencing on November 1, 2018, to Holders at the close of business on April 15 or October 15, as the case may be (whether or not a Business Day), immediately preceding the related interest payment date. Interest from November 1, 2024 to March 1, 2025 will be payable in cash in arrears on March 1, 2025, to Holders at the close of business on February 15, 2025. In the case of the new notes, all interest accrued on the old notes from the original issuance date, February 28, 2018, will be treated as having accrued on the new notes that are issued in exchange for the old notes. Interest on the new notes will be computed on the basis of a 360-day year of twelve 30-day months.</w:t>
      </w:r>
    </w:p>
    <w:p>
      <w:pPr>
        <w:spacing w:after="0" w:line="131" w:lineRule="exact"/>
        <w:rPr>
          <w:sz w:val="20"/>
          <w:szCs w:val="20"/>
          <w:color w:val="auto"/>
        </w:rPr>
      </w:pPr>
    </w:p>
    <w:p>
      <w:pPr>
        <w:ind w:right="140" w:firstLine="549"/>
        <w:spacing w:after="0" w:line="269" w:lineRule="auto"/>
        <w:rPr>
          <w:sz w:val="20"/>
          <w:szCs w:val="20"/>
          <w:color w:val="auto"/>
        </w:rPr>
      </w:pPr>
      <w:r>
        <w:rPr>
          <w:rFonts w:ascii="Arial" w:cs="Arial" w:eastAsia="Arial" w:hAnsi="Arial"/>
          <w:sz w:val="15"/>
          <w:szCs w:val="15"/>
          <w:color w:val="auto"/>
        </w:rPr>
        <w:t>If a scheduled payment date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Interest on overdue principal and interest and premium, if any, will accrue at the applicable interest rate on the new notes.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Methods of Receiving Payments on the Certificated Notes</w:t>
      </w:r>
    </w:p>
    <w:p>
      <w:pPr>
        <w:spacing w:after="0" w:line="198" w:lineRule="exact"/>
        <w:rPr>
          <w:sz w:val="20"/>
          <w:szCs w:val="20"/>
          <w:color w:val="auto"/>
        </w:rPr>
      </w:pPr>
    </w:p>
    <w:p>
      <w:pPr>
        <w:ind w:right="100" w:firstLine="549"/>
        <w:spacing w:after="0" w:line="311" w:lineRule="auto"/>
        <w:rPr>
          <w:sz w:val="20"/>
          <w:szCs w:val="20"/>
          <w:color w:val="auto"/>
        </w:rPr>
      </w:pPr>
      <w:r>
        <w:rPr>
          <w:rFonts w:ascii="Arial" w:cs="Arial" w:eastAsia="Arial" w:hAnsi="Arial"/>
          <w:sz w:val="13"/>
          <w:szCs w:val="13"/>
          <w:color w:val="auto"/>
        </w:rPr>
        <w:t>If a Holder has given wire transfer instructions to the Trustee at least ten Business Days prior to the applicable payment date, the Issuer will make all payments on such Holder’s Notes by wire transfer of immediately available funds to the account in the City and State of New York specified in those instructions. Otherwise, payments on the Notes will be made at the office or agency of the paying agent (the “Paying Agent”) and registrar (the “Registrar”) for the Notes in the City and State of New York unless the Issuer elects to make interest payments by check mailed to the Holders at their addresses set forth in the register of Holders. The Issuer has initially designated the Trustee to act as Paying Agent and Registrar. The Issuer may change the Paying Agent or Registrar without prior notice to the Holders, and the Issuer and/or any Restricted Subsidiary may act as Paying Agent or Registrar.</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Ranking</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Notes will be the senior, unsecured obligations of the Issuer and will be:</w:t>
      </w:r>
    </w:p>
    <w:p>
      <w:pPr>
        <w:spacing w:after="0" w:line="194" w:lineRule="exact"/>
        <w:rPr>
          <w:sz w:val="20"/>
          <w:szCs w:val="20"/>
          <w:color w:val="auto"/>
        </w:rPr>
      </w:pPr>
    </w:p>
    <w:p>
      <w:pPr>
        <w:ind w:left="1060" w:hanging="519"/>
        <w:spacing w:after="0"/>
        <w:tabs>
          <w:tab w:leader="none" w:pos="10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equal in right of payment with our existing and future senior Indebtedness;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senior in right of payment to our existing and future Indebtedness that is expressly subordinated to the Notes;</w:t>
      </w:r>
    </w:p>
    <w:p>
      <w:pPr>
        <w:spacing w:after="0" w:line="193" w:lineRule="exact"/>
        <w:rPr>
          <w:rFonts w:ascii="Arial" w:cs="Arial" w:eastAsia="Arial" w:hAnsi="Arial"/>
          <w:sz w:val="15"/>
          <w:szCs w:val="15"/>
          <w:color w:val="auto"/>
        </w:rPr>
      </w:pPr>
    </w:p>
    <w:p>
      <w:pPr>
        <w:jc w:val="center"/>
        <w:ind w:left="5640" w:right="1420" w:hanging="5099"/>
        <w:spacing w:after="0" w:line="539" w:lineRule="auto"/>
        <w:tabs>
          <w:tab w:leader="none" w:pos="1062" w:val="left"/>
        </w:tabs>
        <w:numPr>
          <w:ilvl w:val="0"/>
          <w:numId w:val="25"/>
        </w:numPr>
        <w:rPr>
          <w:rFonts w:ascii="Arial" w:cs="Arial" w:eastAsia="Arial" w:hAnsi="Arial"/>
          <w:sz w:val="15"/>
          <w:szCs w:val="15"/>
          <w:color w:val="auto"/>
        </w:rPr>
      </w:pPr>
      <w:r>
        <w:rPr>
          <w:rFonts w:ascii="Arial" w:cs="Arial" w:eastAsia="Arial" w:hAnsi="Arial"/>
          <w:sz w:val="15"/>
          <w:szCs w:val="15"/>
          <w:color w:val="auto"/>
        </w:rPr>
        <w:t>effectively subordinated to our existing and future secured Indebtedness, to the extent of the value of the collateral securing that Indebtedness; and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-80645</wp:posOffset>
            </wp:positionV>
            <wp:extent cx="728726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100" w:right="220" w:hanging="559"/>
        <w:spacing w:after="0" w:line="284" w:lineRule="auto"/>
        <w:tabs>
          <w:tab w:leader="none" w:pos="1069" w:val="left"/>
        </w:tabs>
        <w:numPr>
          <w:ilvl w:val="0"/>
          <w:numId w:val="26"/>
        </w:numPr>
        <w:rPr>
          <w:rFonts w:ascii="Arial" w:cs="Arial" w:eastAsia="Arial" w:hAnsi="Arial"/>
          <w:sz w:val="15"/>
          <w:szCs w:val="15"/>
          <w:color w:val="auto"/>
        </w:rPr>
      </w:pPr>
      <w:r>
        <w:rPr>
          <w:rFonts w:ascii="Arial" w:cs="Arial" w:eastAsia="Arial" w:hAnsi="Arial"/>
          <w:sz w:val="15"/>
          <w:szCs w:val="15"/>
          <w:color w:val="auto"/>
        </w:rPr>
        <w:t>structurally subordinated to all existing and future Indebtedness and other liabilities, including trade payables, and (to the extent we are not a holder thereof) preferred equity, if any, of our non-guarantor subsidiaries.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Guarantee of the Notes by each Guarantor will be that Guarantor’s senior, unsecured obligation and will be:</w:t>
      </w:r>
    </w:p>
    <w:p>
      <w:pPr>
        <w:spacing w:after="0" w:line="194" w:lineRule="exact"/>
        <w:rPr>
          <w:sz w:val="20"/>
          <w:szCs w:val="20"/>
          <w:color w:val="auto"/>
        </w:rPr>
      </w:pPr>
    </w:p>
    <w:p>
      <w:pPr>
        <w:ind w:left="1060" w:hanging="519"/>
        <w:spacing w:after="0"/>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equal in right of payment with that Guarantor’s existing and future senior Indebtedness;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senior in right of payment to that Guarantor’s existing and future Indebtedness that is expressly subordinated to its Guarantee;</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subordinated to that Guarantor’s existing and future secured Indebtedness, to the extent of the value of the collateral securing that Indebtedness; and</w:t>
      </w:r>
    </w:p>
    <w:p>
      <w:pPr>
        <w:spacing w:after="0" w:line="205" w:lineRule="exact"/>
        <w:rPr>
          <w:rFonts w:ascii="Arial" w:cs="Arial" w:eastAsia="Arial" w:hAnsi="Arial"/>
          <w:sz w:val="14"/>
          <w:szCs w:val="14"/>
          <w:color w:val="auto"/>
        </w:rPr>
      </w:pPr>
    </w:p>
    <w:p>
      <w:pPr>
        <w:ind w:left="1100" w:right="200" w:hanging="559"/>
        <w:spacing w:after="0" w:line="284" w:lineRule="auto"/>
        <w:tabs>
          <w:tab w:leader="none" w:pos="1069" w:val="left"/>
        </w:tabs>
        <w:numPr>
          <w:ilvl w:val="0"/>
          <w:numId w:val="27"/>
        </w:numPr>
        <w:rPr>
          <w:rFonts w:ascii="Arial" w:cs="Arial" w:eastAsia="Arial" w:hAnsi="Arial"/>
          <w:sz w:val="15"/>
          <w:szCs w:val="15"/>
          <w:color w:val="auto"/>
        </w:rPr>
      </w:pPr>
      <w:r>
        <w:rPr>
          <w:rFonts w:ascii="Arial" w:cs="Arial" w:eastAsia="Arial" w:hAnsi="Arial"/>
          <w:sz w:val="15"/>
          <w:szCs w:val="15"/>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141" w:lineRule="exact"/>
        <w:rPr>
          <w:sz w:val="20"/>
          <w:szCs w:val="20"/>
          <w:color w:val="auto"/>
        </w:rPr>
      </w:pPr>
    </w:p>
    <w:p>
      <w:pPr>
        <w:ind w:firstLine="549"/>
        <w:spacing w:after="0" w:line="282" w:lineRule="auto"/>
        <w:rPr>
          <w:sz w:val="20"/>
          <w:szCs w:val="20"/>
          <w:color w:val="auto"/>
        </w:rPr>
      </w:pPr>
      <w:r>
        <w:rPr>
          <w:rFonts w:ascii="Arial" w:cs="Arial" w:eastAsia="Arial" w:hAnsi="Arial"/>
          <w:sz w:val="14"/>
          <w:szCs w:val="14"/>
          <w:color w:val="auto"/>
        </w:rPr>
        <w:t>In the event of the Issuer’s or any Guarantor’s bankruptcy, liquidation, reorganization or other winding up, the Issuer or that Guarantor’s assets that secure any Indebtedness will not be available to make payments under the Notes or the applicable Guarantee unless all of that Indebtedness is first paid in full. In the event of the bankruptcy, liquidation, reorganization or other winding up of any non-guarantor subsidiaries of the Issuer, the Issuer, as a common equity holder of that subsidiary, and, therefore, the Holders, will rank behind that subsidiary’s creditors, including that subsidiary’s trade creditors, and (to the extent the Issuer is not a holder thereof) that subsidiary’s preferred equity holders. Even if the Issuer were a creditor of any of its non-guarantor subsidiaries, its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the Issuer.</w:t>
      </w:r>
    </w:p>
    <w:p>
      <w:pPr>
        <w:spacing w:after="0" w:line="147"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As of September 30, 2018, the Parent Guarantor had total consolidated Indebtedness of approximately $8.0 billion substantially all of which, other than other than $338 million and $317 million of Indebtedness incurred under the Term Loan Agreement and 364-Day Credit Agreement, respectively, was unsecured Indebtedness of the Issuer or its subsidiaries guaranteed by the Guarantors and/or the Issuer and to which the Notes and the Guarantees will rank equal in right of payment. See “Risk Factors—Risks Relating to the New Notes and our Indebtedness—The new notes and the related guarantees will be effectively subordinated to any of our or the guarantors’ existing and future secured debt and structurally subordinated to the liabilities of our and our guarantors’ non-guarantor subsidiaries.”</w:t>
      </w:r>
    </w:p>
    <w:p>
      <w:pPr>
        <w:spacing w:after="0" w:line="157" w:lineRule="exact"/>
        <w:rPr>
          <w:sz w:val="20"/>
          <w:szCs w:val="20"/>
          <w:color w:val="auto"/>
        </w:rPr>
      </w:pPr>
    </w:p>
    <w:p>
      <w:pPr>
        <w:ind w:right="180" w:firstLine="549"/>
        <w:spacing w:after="0" w:line="269" w:lineRule="auto"/>
        <w:rPr>
          <w:sz w:val="20"/>
          <w:szCs w:val="20"/>
          <w:color w:val="auto"/>
        </w:rPr>
      </w:pPr>
      <w:r>
        <w:rPr>
          <w:rFonts w:ascii="Arial" w:cs="Arial" w:eastAsia="Arial" w:hAnsi="Arial"/>
          <w:sz w:val="15"/>
          <w:szCs w:val="15"/>
          <w:color w:val="auto"/>
        </w:rPr>
        <w:t>Although the Indenture contains limitations on the amount of additional secured Indebtedness that the Parent Guarantor and its Restricted Subsidiaries may incur, under certain circumstances, the amount of this Indebtedness could be substantial. See “—Certain Covenants—Limitation on Additional Indebtedness” and “—Certain Covenants—Limitation on Liens.”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w:t>
      </w:r>
    </w:p>
    <w:p>
      <w:pPr>
        <w:spacing w:after="0" w:line="198"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The Issuer’s obligations under the Indenture and old notes currently are, and the new notes will be, fully and unconditionally and jointly and severally guaranteed, on a senior unsecured basis, by the Parent Guarantor and Weatherford Bermuda. In the future, such obligations may also be guaranteed by certain other Restricted Subsidiaries of the Parent Guarantor as described under “—Certain Covenants—Additional Guarantees.”</w:t>
      </w:r>
    </w:p>
    <w:p>
      <w:pPr>
        <w:spacing w:after="0" w:line="152" w:lineRule="exact"/>
        <w:rPr>
          <w:sz w:val="20"/>
          <w:szCs w:val="20"/>
          <w:color w:val="auto"/>
        </w:rPr>
      </w:pPr>
    </w:p>
    <w:p>
      <w:pPr>
        <w:ind w:right="140" w:firstLine="549"/>
        <w:spacing w:after="0" w:line="289" w:lineRule="auto"/>
        <w:rPr>
          <w:sz w:val="20"/>
          <w:szCs w:val="20"/>
          <w:color w:val="auto"/>
        </w:rPr>
      </w:pPr>
      <w:r>
        <w:rPr>
          <w:rFonts w:ascii="Arial" w:cs="Arial" w:eastAsia="Arial" w:hAnsi="Arial"/>
          <w:sz w:val="14"/>
          <w:szCs w:val="14"/>
          <w:color w:val="auto"/>
        </w:rPr>
        <w:t>Currently, none of the Parent Guarantor’s Subsidiaries guarantee the Notes, other than Weatherford Bermuda. In the event of a bankruptcy, liquidation or reorganization of any non-guarantor Subsidiaries, the non-guarantor Subsidiaries will pay the holders of their debt and their trade creditors before they will be able to distribute any of their assets to the Issuer or a Guarantor. As of September 30, 2018, the Parent Guarantor’s non-guarantor Subsidiaries (excluding the Issuer) had outstanding guarantees for approximately $8.0 million of the Issuer’s debt under the Revolving Credit Agreement, the Term Loan Agreement and the 364-Day Credit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549"/>
        <w:spacing w:after="0" w:line="276" w:lineRule="auto"/>
        <w:rPr>
          <w:sz w:val="20"/>
          <w:szCs w:val="20"/>
          <w:color w:val="auto"/>
        </w:rPr>
      </w:pPr>
      <w:r>
        <w:rPr>
          <w:rFonts w:ascii="Arial" w:cs="Arial" w:eastAsia="Arial" w:hAnsi="Arial"/>
          <w:sz w:val="14"/>
          <w:szCs w:val="14"/>
          <w:color w:val="auto"/>
        </w:rPr>
        <w:t>The obligations of each Guarantor under its Guarantee will be limited to the maximum amount as will, after giving effect to all other contingent and fixed liabilities of such Guarantor (including, without limitation, any guarantees under the Revolving Credit Agreement, the Term Loan Agreement and the 364-Day Credit Agreement) and after giving effect to any collections from or payments made by or on behalf of any other Guarantor in respect of the obligations of such other Guarantor under its Guarantee or pursuant to its contribution obligations under the Indenture, result in the obligations of such Guarantor under its Guarantee not constituting a fraudulent conveyance, fraudulent preference or fraudulent transfer or otherwise reviewable transaction under applicable law. Nonetheless, in the event of the bankruptcy, insolvency or financial difficulty of a Guarantor, such Guarantor’s obligations under its Guarantee may be subject to review and avoidance under applicable fraudulent conveyance, fraudulent preference, fraudulent transfer and insolvency laws. Among other things, such obligations may be avoided if a court concludes that such obligations were incurred for less than a reasonably equivalent value or fair or sufficient consideration at a time when the Guarantor was insolvent, was on the eve of insolvency, was rendered insolvent, was made with the dominant intention of preferring certain creditors over other creditors, was made with the dominant intention of putting property beyond the reach of creditors or was left with inadequate capital to conduct its business. A court may conclude that a Guarantor did not receive reasonably equivalent value or fair or sufficient consideration to the extent that the aggregate amount of its liability on its Guarantee exceeds the economic benefits it receives from the issuance of the Guarantee. If a Guarantee was rendered avoidable, it could be subordinated by a court to all other indebtedness (including guarantees and other contingent liabilities) of the Guarantor, and, depending on the amount of such indebtedness, a Guarantor’s liability on its Guarantee could be reduced to zero. See “Risk Factors—Risks Relating to the New Notes and our Indebtedness—U.S. Federal and state laws, Bermuda law and Irish law allow courts, under specific circumstances, to void guarantees and require noteholders to return payments received from guarantors.”</w:t>
      </w:r>
    </w:p>
    <w:p>
      <w:pPr>
        <w:spacing w:after="0" w:line="155" w:lineRule="exact"/>
        <w:rPr>
          <w:sz w:val="20"/>
          <w:szCs w:val="20"/>
          <w:color w:val="auto"/>
        </w:rPr>
      </w:pPr>
    </w:p>
    <w:p>
      <w:pPr>
        <w:ind w:right="160" w:firstLine="549"/>
        <w:spacing w:after="0" w:line="365" w:lineRule="auto"/>
        <w:rPr>
          <w:sz w:val="20"/>
          <w:szCs w:val="20"/>
          <w:color w:val="auto"/>
        </w:rPr>
      </w:pPr>
      <w:r>
        <w:rPr>
          <w:rFonts w:ascii="Arial" w:cs="Arial" w:eastAsia="Arial" w:hAnsi="Arial"/>
          <w:sz w:val="13"/>
          <w:szCs w:val="13"/>
          <w:color w:val="auto"/>
        </w:rPr>
        <w:t>Each Guarantor that makes a payment for distribution under its Guarantee is entitled upon payment in full of all guaranteed obligations under the Indenture to seek contribution from each other Guarantor in a pro rata amount of such payment based on the respective net assets of all the Guarantors at the time of such payment in accordance with GAAP.</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Guarantor shall be released automatically from its obligations under its Guarantee and its other obligations under the Indenture upon: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194" w:lineRule="exact"/>
        <w:rPr>
          <w:sz w:val="20"/>
          <w:szCs w:val="20"/>
          <w:color w:val="auto"/>
        </w:rPr>
      </w:pPr>
    </w:p>
    <w:p>
      <w:pPr>
        <w:ind w:left="1100" w:right="100" w:hanging="559"/>
        <w:spacing w:after="0" w:line="269" w:lineRule="auto"/>
        <w:tabs>
          <w:tab w:leader="none" w:pos="1098"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152" w:lineRule="exact"/>
        <w:rPr>
          <w:rFonts w:ascii="Arial" w:cs="Arial" w:eastAsia="Arial" w:hAnsi="Arial"/>
          <w:sz w:val="15"/>
          <w:szCs w:val="15"/>
          <w:color w:val="auto"/>
        </w:rPr>
      </w:pPr>
    </w:p>
    <w:p>
      <w:pPr>
        <w:jc w:val="both"/>
        <w:ind w:left="1100" w:right="240" w:hanging="559"/>
        <w:spacing w:after="0" w:line="269" w:lineRule="auto"/>
        <w:tabs>
          <w:tab w:leader="none" w:pos="1106"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152" w:lineRule="exact"/>
        <w:rPr>
          <w:rFonts w:ascii="Arial" w:cs="Arial" w:eastAsia="Arial" w:hAnsi="Arial"/>
          <w:sz w:val="15"/>
          <w:szCs w:val="15"/>
          <w:color w:val="auto"/>
        </w:rPr>
      </w:pPr>
    </w:p>
    <w:p>
      <w:pPr>
        <w:ind w:left="1100" w:hanging="559"/>
        <w:spacing w:after="0"/>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case of a Subsidiary Guarantor, the proper designation of such Subsidiary Guarantor as an Unrestricted Subsidiary;</w:t>
      </w:r>
    </w:p>
    <w:p>
      <w:pPr>
        <w:spacing w:after="0" w:line="193" w:lineRule="exact"/>
        <w:rPr>
          <w:rFonts w:ascii="Arial" w:cs="Arial" w:eastAsia="Arial" w:hAnsi="Arial"/>
          <w:sz w:val="15"/>
          <w:szCs w:val="15"/>
          <w:color w:val="auto"/>
        </w:rPr>
      </w:pPr>
    </w:p>
    <w:p>
      <w:pPr>
        <w:ind w:left="1100" w:right="60" w:hanging="559"/>
        <w:spacing w:after="0" w:line="322" w:lineRule="auto"/>
        <w:tabs>
          <w:tab w:leader="none" w:pos="110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the case of a Subsidiary Guarantor, provided that no Event of Default has occurred and is continuing, all Debt which required such Subsidiary Guarantor to guarantee the Notes pursuant to the covenant described below under the caption “—Certain Covenants—Additional Guarantees” is no longer outstanding;</w:t>
      </w:r>
    </w:p>
    <w:p>
      <w:pPr>
        <w:spacing w:after="0" w:line="117" w:lineRule="exact"/>
        <w:rPr>
          <w:rFonts w:ascii="Arial" w:cs="Arial" w:eastAsia="Arial" w:hAnsi="Arial"/>
          <w:sz w:val="14"/>
          <w:szCs w:val="14"/>
          <w:color w:val="auto"/>
        </w:rPr>
      </w:pPr>
    </w:p>
    <w:p>
      <w:pPr>
        <w:ind w:left="1100" w:right="160" w:hanging="559"/>
        <w:spacing w:after="0" w:line="284" w:lineRule="auto"/>
        <w:tabs>
          <w:tab w:leader="none" w:pos="1109" w:val="left"/>
        </w:tabs>
        <w:numPr>
          <w:ilvl w:val="0"/>
          <w:numId w:val="28"/>
        </w:numPr>
        <w:rPr>
          <w:rFonts w:ascii="Arial" w:cs="Arial" w:eastAsia="Arial" w:hAnsi="Arial"/>
          <w:sz w:val="15"/>
          <w:szCs w:val="15"/>
          <w:color w:val="auto"/>
        </w:rPr>
      </w:pPr>
      <w:r>
        <w:rPr>
          <w:rFonts w:ascii="Arial" w:cs="Arial" w:eastAsia="Arial" w:hAnsi="Arial"/>
          <w:sz w:val="15"/>
          <w:szCs w:val="15"/>
          <w:color w:val="auto"/>
        </w:rPr>
        <w:t>legal or covenant defeasance or satisfaction and discharge of the Indenture as provided below under the captions “—Legal Defeasance and Covenant Defeasance” and “—Satisfaction and Discharge”; or</w:t>
      </w:r>
    </w:p>
    <w:p>
      <w:pPr>
        <w:spacing w:after="0" w:line="141" w:lineRule="exact"/>
        <w:rPr>
          <w:rFonts w:ascii="Arial" w:cs="Arial" w:eastAsia="Arial" w:hAnsi="Arial"/>
          <w:sz w:val="15"/>
          <w:szCs w:val="15"/>
          <w:color w:val="auto"/>
        </w:rPr>
      </w:pPr>
    </w:p>
    <w:p>
      <w:pPr>
        <w:ind w:left="1100" w:hanging="559"/>
        <w:spacing w:after="0"/>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liquidation and dissolution of such Guarantor, provided no Default or Event of Default has occurred that is continuing;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9" w:name="page40"/>
    <w:bookmarkEnd w:id="39"/>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440" w:hanging="548"/>
        <w:spacing w:after="0" w:line="284" w:lineRule="auto"/>
        <w:tabs>
          <w:tab w:leader="none" w:pos="55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Issuer delivering to the Trustee an Officer’s Certificate and an Opinion of Counsel to the effect that all conditions precedent provided for in the Indenture relating to the release of such Guarantor’s Guarantee and its other obligations under the Indenture have been complied with.</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Optional Redemption</w:t>
      </w:r>
    </w:p>
    <w:p>
      <w:pPr>
        <w:spacing w:after="0" w:line="198"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General</w:t>
      </w:r>
    </w:p>
    <w:p>
      <w:pPr>
        <w:spacing w:after="0" w:line="194" w:lineRule="exact"/>
        <w:rPr>
          <w:sz w:val="20"/>
          <w:szCs w:val="20"/>
          <w:color w:val="auto"/>
        </w:rPr>
      </w:pPr>
    </w:p>
    <w:p>
      <w:pPr>
        <w:ind w:left="8" w:right="60" w:firstLine="549"/>
        <w:spacing w:after="0" w:line="269" w:lineRule="auto"/>
        <w:rPr>
          <w:sz w:val="20"/>
          <w:szCs w:val="20"/>
          <w:color w:val="auto"/>
        </w:rPr>
      </w:pPr>
      <w:r>
        <w:rPr>
          <w:rFonts w:ascii="Arial" w:cs="Arial" w:eastAsia="Arial" w:hAnsi="Arial"/>
          <w:sz w:val="15"/>
          <w:szCs w:val="15"/>
          <w:color w:val="auto"/>
        </w:rPr>
        <w:t>At any time on or after, December 1, 2024 (three months prior to their maturity date) (the “Notes Par Call Date”), the Notes will be redeemable, at our option, in whole or in part, at a price equal to 100% of the principal amount of the Notes to be redeemed, plus accrued and unpaid interest to the redemption date (subject to the right of Holders of record on the relevant record date to receive interest due on the relevant interest payment date).</w:t>
      </w:r>
    </w:p>
    <w:p>
      <w:pPr>
        <w:spacing w:after="0" w:line="152"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Make-Whole Redemption</w:t>
      </w:r>
    </w:p>
    <w:p>
      <w:pPr>
        <w:spacing w:after="0" w:line="194" w:lineRule="exact"/>
        <w:rPr>
          <w:sz w:val="20"/>
          <w:szCs w:val="20"/>
          <w:color w:val="auto"/>
        </w:rPr>
      </w:pPr>
    </w:p>
    <w:p>
      <w:pPr>
        <w:ind w:left="8" w:right="340" w:firstLine="549"/>
        <w:spacing w:after="0" w:line="284" w:lineRule="auto"/>
        <w:rPr>
          <w:sz w:val="20"/>
          <w:szCs w:val="20"/>
          <w:color w:val="auto"/>
        </w:rPr>
      </w:pPr>
      <w:r>
        <w:rPr>
          <w:rFonts w:ascii="Arial" w:cs="Arial" w:eastAsia="Arial" w:hAnsi="Arial"/>
          <w:sz w:val="15"/>
          <w:szCs w:val="15"/>
          <w:color w:val="auto"/>
        </w:rPr>
        <w:t>In addition, at any time prior to the Notes Par Call Date, the Notes will be redeemable, at our option, at any time in whole, or from time to time in part, at a price equal to the greater of:</w:t>
      </w:r>
    </w:p>
    <w:p>
      <w:pPr>
        <w:spacing w:after="0" w:line="141" w:lineRule="exact"/>
        <w:rPr>
          <w:sz w:val="20"/>
          <w:szCs w:val="20"/>
          <w:color w:val="auto"/>
        </w:rPr>
      </w:pPr>
    </w:p>
    <w:p>
      <w:pPr>
        <w:ind w:left="1068" w:hanging="519"/>
        <w:spacing w:after="0"/>
        <w:tabs>
          <w:tab w:leader="none" w:pos="1068" w:val="left"/>
        </w:tabs>
        <w:numPr>
          <w:ilvl w:val="0"/>
          <w:numId w:val="30"/>
        </w:numPr>
        <w:rPr>
          <w:rFonts w:ascii="Arial" w:cs="Arial" w:eastAsia="Arial" w:hAnsi="Arial"/>
          <w:sz w:val="15"/>
          <w:szCs w:val="15"/>
          <w:color w:val="auto"/>
        </w:rPr>
      </w:pPr>
      <w:r>
        <w:rPr>
          <w:rFonts w:ascii="Arial" w:cs="Arial" w:eastAsia="Arial" w:hAnsi="Arial"/>
          <w:sz w:val="15"/>
          <w:szCs w:val="15"/>
          <w:color w:val="auto"/>
        </w:rPr>
        <w:t>100% of the principal amount of the Notes to be redeemed; or</w:t>
      </w:r>
    </w:p>
    <w:p>
      <w:pPr>
        <w:spacing w:after="0" w:line="193" w:lineRule="exact"/>
        <w:rPr>
          <w:rFonts w:ascii="Arial" w:cs="Arial" w:eastAsia="Arial" w:hAnsi="Arial"/>
          <w:sz w:val="15"/>
          <w:szCs w:val="15"/>
          <w:color w:val="auto"/>
        </w:rPr>
      </w:pPr>
    </w:p>
    <w:p>
      <w:pPr>
        <w:ind w:left="1108" w:right="60" w:hanging="559"/>
        <w:spacing w:after="0" w:line="264" w:lineRule="auto"/>
        <w:tabs>
          <w:tab w:leader="none" w:pos="1078"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(at the rate in effect on the date of calculation of the redemption price) on the Notes to be redeemed (exclusive of interest accrued to, but not including, the redemption date) that would have been due if the Notes had matured on the Notes Par Call Date, discounted to the redemption date on a semi-annual basis (assuming a 360-day year consisting of twelve 30-day months) at the applicable Treasury Yield plus 50 basis points;</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color w:val="auto"/>
        </w:rPr>
        <w:t>plus, in either case, accrued and unpaid interest to, but not including, the redemption date.</w:t>
      </w:r>
    </w:p>
    <w:p>
      <w:pPr>
        <w:spacing w:after="0" w:line="194" w:lineRule="exact"/>
        <w:rPr>
          <w:sz w:val="20"/>
          <w:szCs w:val="20"/>
          <w:color w:val="auto"/>
        </w:rPr>
      </w:pPr>
    </w:p>
    <w:p>
      <w:pPr>
        <w:ind w:left="8" w:firstLine="549"/>
        <w:spacing w:after="0" w:line="284" w:lineRule="auto"/>
        <w:rPr>
          <w:sz w:val="20"/>
          <w:szCs w:val="20"/>
          <w:color w:val="auto"/>
        </w:rPr>
      </w:pPr>
      <w:r>
        <w:rPr>
          <w:rFonts w:ascii="Arial" w:cs="Arial" w:eastAsia="Arial" w:hAnsi="Arial"/>
          <w:sz w:val="15"/>
          <w:szCs w:val="15"/>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41" w:lineRule="exact"/>
        <w:rPr>
          <w:sz w:val="20"/>
          <w:szCs w:val="20"/>
          <w:color w:val="auto"/>
        </w:rPr>
      </w:pPr>
    </w:p>
    <w:p>
      <w:pPr>
        <w:jc w:val="both"/>
        <w:ind w:left="8" w:right="4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Treasury Yield</w:t>
      </w:r>
      <w:r>
        <w:rPr>
          <w:rFonts w:ascii="Arial" w:cs="Arial" w:eastAsia="Arial" w:hAnsi="Arial"/>
          <w:sz w:val="15"/>
          <w:szCs w:val="15"/>
          <w:color w:val="auto"/>
        </w:rPr>
        <w:t>” means, with respect to any redemption date applicable to the Notes,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52" w:lineRule="exact"/>
        <w:rPr>
          <w:sz w:val="20"/>
          <w:szCs w:val="20"/>
          <w:color w:val="auto"/>
        </w:rPr>
      </w:pPr>
    </w:p>
    <w:p>
      <w:pPr>
        <w:ind w:left="8" w:right="160" w:firstLine="549"/>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Comparable Treasury Issue</w:t>
      </w:r>
      <w:r>
        <w:rPr>
          <w:rFonts w:ascii="Arial" w:cs="Arial" w:eastAsia="Arial" w:hAnsi="Arial"/>
          <w:sz w:val="14"/>
          <w:szCs w:val="14"/>
          <w:color w:val="auto"/>
        </w:rPr>
        <w:t>” means the United States Treasury security selected by the Independent Investment Banker as having a maturity comparable to the remaining term of the Notes to be redeemed, calculated as if the maturity date of the Notes were the Notes Par Call Date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Notes Par Call Date,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43" w:lineRule="exact"/>
        <w:rPr>
          <w:sz w:val="20"/>
          <w:szCs w:val="20"/>
          <w:color w:val="auto"/>
        </w:rPr>
      </w:pPr>
    </w:p>
    <w:p>
      <w:pPr>
        <w:ind w:left="8" w:right="28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Independent Investment Banker</w:t>
      </w:r>
      <w:r>
        <w:rPr>
          <w:rFonts w:ascii="Arial" w:cs="Arial" w:eastAsia="Arial" w:hAnsi="Arial"/>
          <w:sz w:val="15"/>
          <w:szCs w:val="15"/>
          <w:color w:val="auto"/>
        </w:rPr>
        <w:t>” means Deutsche Bank Securities Inc. and its successors or, if such firm is not willing and able to select the applicable Comparable Treasury Issue, an independent investment banking institution of national standing appointed by the Issuer.</w:t>
      </w:r>
    </w:p>
    <w:p>
      <w:pPr>
        <w:spacing w:after="0" w:line="141" w:lineRule="exact"/>
        <w:rPr>
          <w:sz w:val="20"/>
          <w:szCs w:val="20"/>
          <w:color w:val="auto"/>
        </w:rPr>
      </w:pPr>
    </w:p>
    <w:p>
      <w:pPr>
        <w:jc w:val="both"/>
        <w:ind w:left="8" w:right="16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Comparable Treasury Price</w:t>
      </w:r>
      <w:r>
        <w:rPr>
          <w:rFonts w:ascii="Arial" w:cs="Arial" w:eastAsia="Arial" w:hAnsi="Arial"/>
          <w:sz w:val="15"/>
          <w:szCs w:val="15"/>
          <w:color w:val="auto"/>
        </w:rPr>
        <w:t>”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w:t>
      </w:r>
      <w:r>
        <w:rPr>
          <w:rFonts w:ascii="Arial" w:cs="Arial" w:eastAsia="Arial" w:hAnsi="Arial"/>
          <w:sz w:val="15"/>
          <w:szCs w:val="15"/>
          <w:color w:val="auto"/>
        </w:rPr>
        <w:t>” means Deutsche Bank Securities Inc. so long as it is a primary U.S. Government securities dealer in the United States (a “Primary Treasury Dealer”) at the relevant time and, if it is not then a Primary Treasury Dealer, then a Primary Treasury Dealer selected by it, and its successors, plus at least three other Primary Treasury Dealers selected by us.</w:t>
      </w:r>
    </w:p>
    <w:p>
      <w:pPr>
        <w:spacing w:after="0" w:line="152" w:lineRule="exact"/>
        <w:rPr>
          <w:sz w:val="20"/>
          <w:szCs w:val="20"/>
          <w:color w:val="auto"/>
        </w:rPr>
      </w:pPr>
    </w:p>
    <w:p>
      <w:pPr>
        <w:ind w:right="260" w:firstLine="549"/>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Reference Treasury Dealer Quotations</w:t>
      </w:r>
      <w:r>
        <w:rPr>
          <w:rFonts w:ascii="Arial" w:cs="Arial" w:eastAsia="Arial" w:hAnsi="Arial"/>
          <w:sz w:val="14"/>
          <w:szCs w:val="14"/>
          <w:color w:val="auto"/>
        </w:rPr>
        <w:t>” means, with respect to each Reference Treasury Dealer and any redemption date for the Notes, an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General Provisions Respecting Any Redemption</w:t>
      </w:r>
    </w:p>
    <w:p>
      <w:pPr>
        <w:spacing w:after="0" w:line="194" w:lineRule="exact"/>
        <w:rPr>
          <w:sz w:val="20"/>
          <w:szCs w:val="20"/>
          <w:color w:val="auto"/>
        </w:rPr>
      </w:pPr>
    </w:p>
    <w:p>
      <w:pPr>
        <w:ind w:right="40" w:firstLine="549"/>
        <w:spacing w:after="0" w:line="269" w:lineRule="auto"/>
        <w:rPr>
          <w:sz w:val="20"/>
          <w:szCs w:val="20"/>
          <w:color w:val="auto"/>
        </w:rPr>
      </w:pPr>
      <w:r>
        <w:rPr>
          <w:rFonts w:ascii="Arial" w:cs="Arial" w:eastAsia="Arial" w:hAnsi="Arial"/>
          <w:sz w:val="15"/>
          <w:szCs w:val="15"/>
          <w:color w:val="auto"/>
        </w:rPr>
        <w:t>If a redemption date is after a regular record date and on or before the next interest payment date, then (i) the Holder of a Note at the close of business on such regular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52" w:lineRule="exact"/>
        <w:rPr>
          <w:sz w:val="20"/>
          <w:szCs w:val="20"/>
          <w:color w:val="auto"/>
        </w:rPr>
      </w:pPr>
    </w:p>
    <w:p>
      <w:pPr>
        <w:ind w:right="60" w:firstLine="549"/>
        <w:spacing w:after="0" w:line="284" w:lineRule="auto"/>
        <w:rPr>
          <w:sz w:val="20"/>
          <w:szCs w:val="20"/>
          <w:color w:val="auto"/>
        </w:rPr>
      </w:pPr>
      <w:r>
        <w:rPr>
          <w:rFonts w:ascii="Arial" w:cs="Arial" w:eastAsia="Arial" w:hAnsi="Arial"/>
          <w:sz w:val="15"/>
          <w:szCs w:val="15"/>
          <w:color w:val="auto"/>
        </w:rPr>
        <w:t>Notes called for redemption must be delivered to the Paying Agent (in the case of certificated Notes) or DTC’s procedures must be complied with (in the case of global notes) for the Holder of those Notes to be entitled to receive the redemption price.</w:t>
      </w:r>
    </w:p>
    <w:p>
      <w:pPr>
        <w:spacing w:after="0" w:line="141" w:lineRule="exact"/>
        <w:rPr>
          <w:sz w:val="20"/>
          <w:szCs w:val="20"/>
          <w:color w:val="auto"/>
        </w:rPr>
      </w:pPr>
    </w:p>
    <w:p>
      <w:pPr>
        <w:ind w:right="300" w:firstLine="549"/>
        <w:spacing w:after="0" w:line="322" w:lineRule="auto"/>
        <w:rPr>
          <w:sz w:val="20"/>
          <w:szCs w:val="20"/>
          <w:color w:val="auto"/>
        </w:rPr>
      </w:pPr>
      <w:r>
        <w:rPr>
          <w:rFonts w:ascii="Arial" w:cs="Arial" w:eastAsia="Arial" w:hAnsi="Arial"/>
          <w:sz w:val="14"/>
          <w:szCs w:val="14"/>
          <w:color w:val="auto"/>
        </w:rPr>
        <w:t>Notwithstanding anything to the contrary above,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17" w:lineRule="exact"/>
        <w:rPr>
          <w:sz w:val="20"/>
          <w:szCs w:val="20"/>
          <w:color w:val="auto"/>
        </w:rPr>
      </w:pPr>
    </w:p>
    <w:p>
      <w:pPr>
        <w:ind w:right="280" w:firstLine="549"/>
        <w:spacing w:after="0" w:line="284" w:lineRule="auto"/>
        <w:rPr>
          <w:sz w:val="20"/>
          <w:szCs w:val="20"/>
          <w:color w:val="auto"/>
        </w:rPr>
      </w:pPr>
      <w:r>
        <w:rPr>
          <w:rFonts w:ascii="Arial" w:cs="Arial" w:eastAsia="Arial" w:hAnsi="Arial"/>
          <w:sz w:val="15"/>
          <w:szCs w:val="15"/>
          <w:color w:val="auto"/>
        </w:rPr>
        <w:t>The Issuer may acquire Notes by means other than a redemption, whether pursuant to a tender offer, open market purchase, negotiated transaction or otherwise, in accordance with applicable securities laws.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Mandatory Redemption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Issuer will not be required to make mandatory redemption or sinking fund payments with respect to the Notes.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Selection and Notice of Redemption</w:t>
      </w:r>
    </w:p>
    <w:p>
      <w:pPr>
        <w:spacing w:after="0" w:line="198" w:lineRule="exact"/>
        <w:rPr>
          <w:sz w:val="20"/>
          <w:szCs w:val="20"/>
          <w:color w:val="auto"/>
        </w:rPr>
      </w:pPr>
    </w:p>
    <w:p>
      <w:pPr>
        <w:ind w:right="100" w:firstLine="549"/>
        <w:spacing w:after="0" w:line="289" w:lineRule="auto"/>
        <w:rPr>
          <w:sz w:val="20"/>
          <w:szCs w:val="20"/>
          <w:color w:val="auto"/>
        </w:rPr>
      </w:pPr>
      <w:r>
        <w:rPr>
          <w:rFonts w:ascii="Arial" w:cs="Arial" w:eastAsia="Arial" w:hAnsi="Arial"/>
          <w:sz w:val="14"/>
          <w:szCs w:val="14"/>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DTC may require);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Notes of a principal amount of $2,000 in original principal amount or less shall be redeemed in part.</w:t>
      </w:r>
    </w:p>
    <w:p>
      <w:pPr>
        <w:spacing w:after="0" w:line="140"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Notice of redemption will be sent to the Holders at least 30, but not more than 60, days before the date of redemption, except that redemption notices may be sent more than 60 days prior to a redemption date if the notice is issued in connection with a defeasance of the Notes or a satisfaction and discharge of the Indenture. Notices of redemption may be subject to one or more conditions specified in the notice of redemption. The notice of redemption with respect to a redemption described under “—Optional Redemption—Make-Whole Redemption” need not set forth the redemption price but only the manner of calculation thereof. If any Note is to be redeemed in part only, the notice of redemption that relates to that Note will state the portion of the principal amount of the Note to be redeemed. A new Note in a principal amount equal to the unredeemed portion of the Note will be issued in the name of the Holder of the Note upon cancellation of the original Note. On and after the applicable date of redemption, interest will cease to accrue on Notes or portions thereof called for redemption so long as the Issuer has deposited with the Paying Agent for the Notes funds in satisfaction of the applicable redemption price (including accrued and unpaid interest on the Notes to be redeemed) pursuant to the Indenture.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1" w:name="page42"/>
    <w:bookmarkEnd w:id="41"/>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Change of Control Repurchase Event</w:t>
      </w:r>
    </w:p>
    <w:p>
      <w:pPr>
        <w:spacing w:after="0" w:line="198" w:lineRule="exact"/>
        <w:rPr>
          <w:sz w:val="20"/>
          <w:szCs w:val="20"/>
          <w:color w:val="auto"/>
        </w:rPr>
      </w:pPr>
    </w:p>
    <w:p>
      <w:pPr>
        <w:ind w:left="8" w:right="40" w:firstLine="549"/>
        <w:spacing w:after="0" w:line="264" w:lineRule="auto"/>
        <w:rPr>
          <w:sz w:val="20"/>
          <w:szCs w:val="20"/>
          <w:color w:val="auto"/>
        </w:rPr>
      </w:pPr>
      <w:r>
        <w:rPr>
          <w:rFonts w:ascii="Arial" w:cs="Arial" w:eastAsia="Arial" w:hAnsi="Arial"/>
          <w:sz w:val="15"/>
          <w:szCs w:val="15"/>
          <w:color w:val="auto"/>
        </w:rPr>
        <w:t>Upon the occurrence of a Change of Control Triggering Event, unless the Issuer has previously or concurrently exercised its right to redeem all of the Notes as described under “—Optional Redemption,” each Holder of Notes will have the right, except as provided below, to require that the Issuer purchase all or any part (equal to $2,000 or an integral multiple of $1,000 in excess thereof) of that Holder’s Notes for a cash price equal to 101% of the aggregate principal amount of the Notes to be purchased, plus accrued and unpaid interest, if any, thereon to the date of purchase (the “Change of Control Payment”).</w:t>
      </w:r>
    </w:p>
    <w:p>
      <w:pPr>
        <w:spacing w:after="0" w:line="157" w:lineRule="exact"/>
        <w:rPr>
          <w:sz w:val="20"/>
          <w:szCs w:val="20"/>
          <w:color w:val="auto"/>
        </w:rPr>
      </w:pPr>
    </w:p>
    <w:p>
      <w:pPr>
        <w:ind w:left="548"/>
        <w:spacing w:after="0"/>
        <w:rPr>
          <w:sz w:val="20"/>
          <w:szCs w:val="20"/>
          <w:color w:val="auto"/>
        </w:rPr>
      </w:pPr>
      <w:r>
        <w:rPr>
          <w:rFonts w:ascii="Arial" w:cs="Arial" w:eastAsia="Arial" w:hAnsi="Arial"/>
          <w:sz w:val="14"/>
          <w:szCs w:val="14"/>
          <w:color w:val="auto"/>
        </w:rPr>
        <w:t>Not later than 30 days following any Change of Control Triggering Event, the Issuer will deliver, or cause to be delivered, to the Holders, with a copy to the Trustee, a notice:</w:t>
      </w:r>
    </w:p>
    <w:p>
      <w:pPr>
        <w:spacing w:after="0" w:line="205" w:lineRule="exact"/>
        <w:rPr>
          <w:sz w:val="20"/>
          <w:szCs w:val="20"/>
          <w:color w:val="auto"/>
        </w:rPr>
      </w:pPr>
    </w:p>
    <w:p>
      <w:pPr>
        <w:ind w:left="548" w:hanging="548"/>
        <w:spacing w:after="0"/>
        <w:tabs>
          <w:tab w:leader="none" w:pos="5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describing the transaction or transactions that constitute the Change of Control Triggering Event;</w:t>
      </w:r>
    </w:p>
    <w:p>
      <w:pPr>
        <w:spacing w:after="0" w:line="193" w:lineRule="exact"/>
        <w:rPr>
          <w:rFonts w:ascii="Arial" w:cs="Arial" w:eastAsia="Arial" w:hAnsi="Arial"/>
          <w:sz w:val="15"/>
          <w:szCs w:val="15"/>
          <w:color w:val="auto"/>
        </w:rPr>
      </w:pPr>
    </w:p>
    <w:p>
      <w:pPr>
        <w:ind w:left="548" w:right="40" w:hanging="548"/>
        <w:spacing w:after="0" w:line="264" w:lineRule="auto"/>
        <w:tabs>
          <w:tab w:leader="none" w:pos="554" w:val="left"/>
        </w:tabs>
        <w:numPr>
          <w:ilvl w:val="0"/>
          <w:numId w:val="31"/>
        </w:numPr>
        <w:rPr>
          <w:rFonts w:ascii="Arial" w:cs="Arial" w:eastAsia="Arial" w:hAnsi="Arial"/>
          <w:sz w:val="15"/>
          <w:szCs w:val="15"/>
          <w:color w:val="auto"/>
        </w:rPr>
      </w:pPr>
      <w:r>
        <w:rPr>
          <w:rFonts w:ascii="Arial" w:cs="Arial" w:eastAsia="Arial" w:hAnsi="Arial"/>
          <w:sz w:val="15"/>
          <w:szCs w:val="15"/>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time on the second Business Day preceding the Change of Control Payment Date; and</w:t>
      </w:r>
    </w:p>
    <w:p>
      <w:pPr>
        <w:spacing w:after="0" w:line="156" w:lineRule="exact"/>
        <w:rPr>
          <w:rFonts w:ascii="Arial" w:cs="Arial" w:eastAsia="Arial" w:hAnsi="Arial"/>
          <w:sz w:val="15"/>
          <w:szCs w:val="15"/>
          <w:color w:val="auto"/>
        </w:rPr>
      </w:pPr>
    </w:p>
    <w:p>
      <w:pPr>
        <w:ind w:left="548" w:hanging="548"/>
        <w:spacing w:after="0"/>
        <w:tabs>
          <w:tab w:leader="none" w:pos="5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describing the procedures, as determined by the Issuer, consistent with the Indenture, that Holders must follow to accept the Change of Control Offer.</w:t>
      </w:r>
    </w:p>
    <w:p>
      <w:pPr>
        <w:spacing w:after="0" w:line="194" w:lineRule="exact"/>
        <w:rPr>
          <w:sz w:val="20"/>
          <w:szCs w:val="20"/>
          <w:color w:val="auto"/>
        </w:rPr>
      </w:pPr>
    </w:p>
    <w:p>
      <w:pPr>
        <w:ind w:left="8" w:right="360" w:firstLine="549"/>
        <w:spacing w:after="0" w:line="284" w:lineRule="auto"/>
        <w:rPr>
          <w:sz w:val="20"/>
          <w:szCs w:val="20"/>
          <w:color w:val="auto"/>
        </w:rPr>
      </w:pPr>
      <w:r>
        <w:rPr>
          <w:rFonts w:ascii="Arial" w:cs="Arial" w:eastAsia="Arial" w:hAnsi="Arial"/>
          <w:sz w:val="15"/>
          <w:szCs w:val="15"/>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On the Change of Control Payment Date, the Issuer will, to the extent lawful:</w:t>
      </w:r>
    </w:p>
    <w:p>
      <w:pPr>
        <w:spacing w:after="0" w:line="194" w:lineRule="exact"/>
        <w:rPr>
          <w:sz w:val="20"/>
          <w:szCs w:val="20"/>
          <w:color w:val="auto"/>
        </w:rPr>
      </w:pPr>
    </w:p>
    <w:p>
      <w:pPr>
        <w:ind w:left="548" w:hanging="548"/>
        <w:spacing w:after="0"/>
        <w:tabs>
          <w:tab w:leader="none" w:pos="5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accept for payment all Notes or portions of Notes (of $2,000 or integral multiples of $1,000 in excess thereof) properly tendered pursuant to the Change of Control Offer; and</w:t>
      </w:r>
    </w:p>
    <w:p>
      <w:pPr>
        <w:spacing w:after="0" w:line="205" w:lineRule="exact"/>
        <w:rPr>
          <w:rFonts w:ascii="Arial" w:cs="Arial" w:eastAsia="Arial" w:hAnsi="Arial"/>
          <w:sz w:val="14"/>
          <w:szCs w:val="14"/>
          <w:color w:val="auto"/>
        </w:rPr>
      </w:pPr>
    </w:p>
    <w:p>
      <w:pPr>
        <w:ind w:left="548" w:right="240" w:hanging="548"/>
        <w:spacing w:after="0" w:line="284" w:lineRule="auto"/>
        <w:tabs>
          <w:tab w:leader="none" w:pos="554"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deliver or cause to be delivered to the Trustee the Notes so accepted together with an Officer’s Certificate stating the aggregate principal amount of Notes or portions of Notes being purchased by the Issuer.</w:t>
      </w:r>
    </w:p>
    <w:p>
      <w:pPr>
        <w:spacing w:after="0" w:line="141" w:lineRule="exact"/>
        <w:rPr>
          <w:sz w:val="20"/>
          <w:szCs w:val="20"/>
          <w:color w:val="auto"/>
        </w:rPr>
      </w:pPr>
    </w:p>
    <w:p>
      <w:pPr>
        <w:jc w:val="both"/>
        <w:ind w:left="8" w:right="100" w:firstLine="549"/>
        <w:spacing w:after="0" w:line="269" w:lineRule="auto"/>
        <w:rPr>
          <w:sz w:val="20"/>
          <w:szCs w:val="20"/>
          <w:color w:val="auto"/>
        </w:rPr>
      </w:pPr>
      <w:r>
        <w:rPr>
          <w:rFonts w:ascii="Arial" w:cs="Arial" w:eastAsia="Arial" w:hAnsi="Arial"/>
          <w:sz w:val="15"/>
          <w:szCs w:val="15"/>
          <w:color w:val="auto"/>
        </w:rPr>
        <w:t xml:space="preserve">The Paying Agent will promptly deliver to each Holder who has so tendered Notes the Change of Control Payment for the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each such new Note will be in a principal amount of $2,000 or integral multiples of $1,000 in excess thereof.</w:t>
      </w:r>
    </w:p>
    <w:p>
      <w:pPr>
        <w:spacing w:after="0" w:line="152" w:lineRule="exact"/>
        <w:rPr>
          <w:sz w:val="20"/>
          <w:szCs w:val="20"/>
          <w:color w:val="auto"/>
        </w:rPr>
      </w:pPr>
    </w:p>
    <w:p>
      <w:pPr>
        <w:ind w:left="8" w:firstLine="549"/>
        <w:spacing w:after="0" w:line="284" w:lineRule="auto"/>
        <w:rPr>
          <w:sz w:val="20"/>
          <w:szCs w:val="20"/>
          <w:color w:val="auto"/>
        </w:rPr>
      </w:pPr>
      <w:r>
        <w:rPr>
          <w:rFonts w:ascii="Arial" w:cs="Arial" w:eastAsia="Arial" w:hAnsi="Arial"/>
          <w:sz w:val="15"/>
          <w:szCs w:val="15"/>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41" w:lineRule="exact"/>
        <w:rPr>
          <w:sz w:val="20"/>
          <w:szCs w:val="20"/>
          <w:color w:val="auto"/>
        </w:rPr>
      </w:pPr>
    </w:p>
    <w:p>
      <w:pPr>
        <w:ind w:left="8" w:right="240" w:firstLine="549"/>
        <w:spacing w:after="0" w:line="284" w:lineRule="auto"/>
        <w:rPr>
          <w:sz w:val="20"/>
          <w:szCs w:val="20"/>
          <w:color w:val="auto"/>
        </w:rPr>
      </w:pPr>
      <w:r>
        <w:rPr>
          <w:rFonts w:ascii="Arial" w:cs="Arial" w:eastAsia="Arial" w:hAnsi="Arial"/>
          <w:sz w:val="15"/>
          <w:szCs w:val="15"/>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41" w:lineRule="exact"/>
        <w:rPr>
          <w:sz w:val="20"/>
          <w:szCs w:val="20"/>
          <w:color w:val="auto"/>
        </w:rPr>
      </w:pPr>
    </w:p>
    <w:p>
      <w:pPr>
        <w:ind w:left="8" w:right="120" w:firstLine="549"/>
        <w:spacing w:after="0" w:line="282" w:lineRule="auto"/>
        <w:rPr>
          <w:sz w:val="20"/>
          <w:szCs w:val="20"/>
          <w:color w:val="auto"/>
        </w:rPr>
      </w:pPr>
      <w:r>
        <w:rPr>
          <w:rFonts w:ascii="Arial" w:cs="Arial" w:eastAsia="Arial" w:hAnsi="Arial"/>
          <w:sz w:val="14"/>
          <w:szCs w:val="14"/>
          <w:color w:val="auto"/>
        </w:rPr>
        <w:t>If a Change of Control Offer is made, there can be no assurance that the Issuer will have available funds sufficient to pay for all or any of the Notes that might be delivered by Holders seeking to accept the Change of Control Offer. See “Risk Factors—Risks Relating to the New Notes and our Indebtedness—We may not be able to fund a change of control offer.” In addition, in the event of a Change of Control Triggering Event the Issuer may not be able to obtain the consents necessary to consummate a Change of Control Offer from the lenders under agreements governing outstanding Indebtedness which may prohibit the offer. If the Issuer fails to repurchase all of the Notes tendered for purchase upon a Change of Control Triggering Event, such failure will constitute an Event of Default. In addition, the occurrence of certain of the events which would constitute a Change of Control may constitute an event of default under the Revolving Credit Agreement, the Term Loan Agreement or the 364-Day Credit Agreement and</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may constitute an event of default under other existing or future Indebtedness. Moreover, the exercise by the Holders of their right to require the Issuer to purchase the Notes could cause a default under such Indebtedness, even if the Change of Control itself does not, due to the financial effect of the repurchase on the Issuer. Finally, the Issuer’s ability to pay cash to the Holders upon a Change of Control Triggering Event may be limited by its then existing financial resources.</w:t>
      </w:r>
    </w:p>
    <w:p>
      <w:pPr>
        <w:spacing w:after="0" w:line="152"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The provisions described above that require the Issuer to make a Change of Control Offer following a Change of Control Triggering Event will be applicable regardless of whether any other provisions of the Indenture are applicable to the transaction giving rise to the Change of Control Triggering Event. The Change of Control Triggering Event purchase feature of the Notes may in certain circumstances make more difficult or discourage a sale or takeover of the Parent Guarantor and, thus, the removal of incumbent management. The Change of Control Triggering Event purchase feature is a result of negotiations between the Parent Guarantor and the initial purchasers of the old notes. The Parent Guarantor does not have the present intention to engage in a transaction involving a Change of Control, although it is possible that the Parent Guarantor could decide to do so in the future. Subject to the limitations discussed below, the Parent Guarantor could, in the future, enter into certain transactions, including acquisitions, refinancing or other recapitalizations, that would not constitute a Change of Control Triggering Event under the Indenture, but that could increase the amount of Indebtedness outstanding at such time or otherwise effect the Parent Guarantor’s consolidated capital structure or credit ratings.</w:t>
      </w:r>
    </w:p>
    <w:p>
      <w:pPr>
        <w:spacing w:after="0" w:line="159" w:lineRule="exact"/>
        <w:rPr>
          <w:sz w:val="20"/>
          <w:szCs w:val="20"/>
          <w:color w:val="auto"/>
        </w:rPr>
      </w:pPr>
    </w:p>
    <w:p>
      <w:pPr>
        <w:ind w:right="60" w:firstLine="549"/>
        <w:spacing w:after="0" w:line="297" w:lineRule="auto"/>
        <w:rPr>
          <w:sz w:val="20"/>
          <w:szCs w:val="20"/>
          <w:color w:val="auto"/>
        </w:rPr>
      </w:pPr>
      <w:r>
        <w:rPr>
          <w:rFonts w:ascii="Arial" w:cs="Arial" w:eastAsia="Arial" w:hAnsi="Arial"/>
          <w:sz w:val="14"/>
          <w:szCs w:val="14"/>
          <w:color w:val="auto"/>
        </w:rPr>
        <w:t>Restrictions on the ability of the Parent Guarantor and certain Subsidiaries to incur additional Indebtedness are contained in the covenants described under “—Certain Covenants —Limitation on Additional Indebtedness” and “—Certain Covenants—Limitation on Liens.” Except as described above with respect to a Change of Control, the Indenture does not contain provisions that permit the Holders to require that the Issuer purchase or redeem the Notes in the event of a takeover, recapitalization or similar transaction.</w:t>
      </w:r>
    </w:p>
    <w:p>
      <w:pPr>
        <w:spacing w:after="0" w:line="135" w:lineRule="exact"/>
        <w:rPr>
          <w:sz w:val="20"/>
          <w:szCs w:val="20"/>
          <w:color w:val="auto"/>
        </w:rPr>
      </w:pPr>
    </w:p>
    <w:p>
      <w:pPr>
        <w:ind w:right="140" w:firstLine="549"/>
        <w:spacing w:after="0" w:line="264" w:lineRule="auto"/>
        <w:rPr>
          <w:sz w:val="20"/>
          <w:szCs w:val="20"/>
          <w:color w:val="auto"/>
        </w:rPr>
      </w:pPr>
      <w:r>
        <w:rPr>
          <w:rFonts w:ascii="Arial" w:cs="Arial" w:eastAsia="Arial" w:hAnsi="Arial"/>
          <w:sz w:val="15"/>
          <w:szCs w:val="15"/>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as described under “— Optional Redemption,” unless and until there is a default in the payment of the applicable redemption price.</w:t>
      </w:r>
    </w:p>
    <w:p>
      <w:pPr>
        <w:spacing w:after="0" w:line="157" w:lineRule="exact"/>
        <w:rPr>
          <w:sz w:val="20"/>
          <w:szCs w:val="20"/>
          <w:color w:val="auto"/>
        </w:rPr>
      </w:pPr>
    </w:p>
    <w:p>
      <w:pPr>
        <w:ind w:right="100" w:firstLine="549"/>
        <w:spacing w:after="0" w:line="262" w:lineRule="auto"/>
        <w:rPr>
          <w:sz w:val="20"/>
          <w:szCs w:val="20"/>
          <w:color w:val="auto"/>
        </w:rPr>
      </w:pPr>
      <w:r>
        <w:rPr>
          <w:rFonts w:ascii="Arial" w:cs="Arial" w:eastAsia="Arial" w:hAnsi="Arial"/>
          <w:sz w:val="15"/>
          <w:szCs w:val="15"/>
          <w:color w:val="auto"/>
        </w:rPr>
        <w:t>If Holders of not less than 95%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57" w:lineRule="exact"/>
        <w:rPr>
          <w:sz w:val="20"/>
          <w:szCs w:val="20"/>
          <w:color w:val="auto"/>
        </w:rPr>
      </w:pPr>
    </w:p>
    <w:p>
      <w:pPr>
        <w:ind w:right="100" w:firstLine="549"/>
        <w:spacing w:after="0" w:line="262" w:lineRule="auto"/>
        <w:rPr>
          <w:sz w:val="20"/>
          <w:szCs w:val="20"/>
          <w:color w:val="auto"/>
        </w:rPr>
      </w:pPr>
      <w:r>
        <w:rPr>
          <w:rFonts w:ascii="Arial" w:cs="Arial" w:eastAsia="Arial" w:hAnsi="Arial"/>
          <w:sz w:val="15"/>
          <w:szCs w:val="15"/>
          <w:color w:val="auto"/>
        </w:rPr>
        <w:t>With respect to any disposition of properties or assets, the phrase “all or substantially all” as used in the Indenture varies according to the facts and circumstances of the subject transaction, has no clearly established meaning under New York law (which will govern the Notes and the Indenture) and is subject to judicial interpretation. Accordingly, there may be a degree of uncertainty in ascertaining whether a particular transaction would involve a disposition of “all or substantially all” of the properties or assets of Weatherford Parent Company and its Subsidiaries, and therefore it may be unclear as to whether a Change of Control Triggering Event has occurred and whether the Holders have the right to require the Issuer to purchase Notes.</w:t>
      </w:r>
    </w:p>
    <w:p>
      <w:pPr>
        <w:spacing w:after="0" w:line="157" w:lineRule="exact"/>
        <w:rPr>
          <w:sz w:val="20"/>
          <w:szCs w:val="20"/>
          <w:color w:val="auto"/>
        </w:rPr>
      </w:pPr>
    </w:p>
    <w:p>
      <w:pPr>
        <w:jc w:val="both"/>
        <w:ind w:right="220" w:firstLine="549"/>
        <w:spacing w:after="0" w:line="289" w:lineRule="auto"/>
        <w:rPr>
          <w:sz w:val="20"/>
          <w:szCs w:val="20"/>
          <w:color w:val="auto"/>
        </w:rPr>
      </w:pPr>
      <w:r>
        <w:rPr>
          <w:rFonts w:ascii="Arial" w:cs="Arial" w:eastAsia="Arial" w:hAnsi="Arial"/>
          <w:sz w:val="14"/>
          <w:szCs w:val="14"/>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the “Change of Control Repurchase Event” provisions of the Indenture, the Issuer shall comply with the applicable securities laws and regulations and will not be deemed to have breached its obligations under the “Change of Control Repurchase Event” provisions of the Indenture by virtue of such compliance.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3" w:name="page44"/>
    <w:bookmarkEnd w:id="43"/>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60" w:firstLine="549"/>
        <w:spacing w:after="0" w:line="284" w:lineRule="auto"/>
        <w:rPr>
          <w:sz w:val="20"/>
          <w:szCs w:val="20"/>
          <w:color w:val="auto"/>
        </w:rPr>
      </w:pPr>
      <w:r>
        <w:rPr>
          <w:rFonts w:ascii="Arial" w:cs="Arial" w:eastAsia="Arial" w:hAnsi="Arial"/>
          <w:sz w:val="15"/>
          <w:szCs w:val="15"/>
          <w:color w:val="auto"/>
        </w:rPr>
        <w:t>The provisions under the Indenture relating to the Issuer’s obligation to make a Change of Control Offer may be waived, modified or terminated with the consent of the Holders of a majority in principal amount of the Notes then outstanding.</w:t>
      </w:r>
    </w:p>
    <w:p>
      <w:pPr>
        <w:spacing w:after="0" w:line="141" w:lineRule="exact"/>
        <w:rPr>
          <w:sz w:val="20"/>
          <w:szCs w:val="20"/>
          <w:color w:val="auto"/>
        </w:rPr>
      </w:pPr>
    </w:p>
    <w:p>
      <w:pPr>
        <w:ind w:left="8" w:right="80" w:firstLine="549"/>
        <w:spacing w:after="0" w:line="322" w:lineRule="auto"/>
        <w:rPr>
          <w:sz w:val="20"/>
          <w:szCs w:val="20"/>
          <w:color w:val="auto"/>
        </w:rPr>
      </w:pPr>
      <w:r>
        <w:rPr>
          <w:rFonts w:ascii="Arial" w:cs="Arial" w:eastAsia="Arial" w:hAnsi="Arial"/>
          <w:sz w:val="14"/>
          <w:szCs w:val="14"/>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Certain Covenants</w:t>
      </w:r>
    </w:p>
    <w:p>
      <w:pPr>
        <w:spacing w:after="0" w:line="198" w:lineRule="exact"/>
        <w:rPr>
          <w:sz w:val="20"/>
          <w:szCs w:val="20"/>
          <w:color w:val="auto"/>
        </w:rPr>
      </w:pPr>
    </w:p>
    <w:p>
      <w:pPr>
        <w:ind w:left="8" w:firstLine="549"/>
        <w:spacing w:after="0" w:line="269" w:lineRule="auto"/>
        <w:rPr>
          <w:sz w:val="20"/>
          <w:szCs w:val="20"/>
          <w:color w:val="auto"/>
        </w:rPr>
      </w:pPr>
      <w:r>
        <w:rPr>
          <w:rFonts w:ascii="Arial" w:cs="Arial" w:eastAsia="Arial" w:hAnsi="Arial"/>
          <w:sz w:val="15"/>
          <w:szCs w:val="15"/>
          <w:color w:val="auto"/>
        </w:rPr>
        <w:t>As of the date the new notes are issued, all of the Parent Guarantor’s Subsidiaries will be “Restricted Subsidiaries.” However, under the circumstances described below under the subheading “—Limitation on Designation of Unrestricted Subsidiaries,” the Parent Guarantor will be permitted to designate any of its Subsidiaries as “Unrestricted Subsidiaries.” The effect of designating a Subsidiary as an “Unrestricted Subsidiary” will be that:</w:t>
      </w:r>
    </w:p>
    <w:p>
      <w:pPr>
        <w:spacing w:after="0" w:line="152" w:lineRule="exact"/>
        <w:rPr>
          <w:sz w:val="20"/>
          <w:szCs w:val="20"/>
          <w:color w:val="auto"/>
        </w:rPr>
      </w:pPr>
    </w:p>
    <w:p>
      <w:pPr>
        <w:ind w:left="548" w:hanging="548"/>
        <w:spacing w:after="0"/>
        <w:tabs>
          <w:tab w:leader="none" w:pos="5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Unrestricted Subsidiary will not be subject to any of the restrictive covenants in the Indenture;</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Unrestricted Subsidiary will not guarantee the Notes;</w:t>
      </w:r>
    </w:p>
    <w:p>
      <w:pPr>
        <w:spacing w:after="0" w:line="193" w:lineRule="exact"/>
        <w:rPr>
          <w:rFonts w:ascii="Arial" w:cs="Arial" w:eastAsia="Arial" w:hAnsi="Arial"/>
          <w:sz w:val="15"/>
          <w:szCs w:val="15"/>
          <w:color w:val="auto"/>
        </w:rPr>
      </w:pPr>
    </w:p>
    <w:p>
      <w:pPr>
        <w:ind w:left="548" w:right="140" w:hanging="548"/>
        <w:spacing w:after="0" w:line="284" w:lineRule="auto"/>
        <w:tabs>
          <w:tab w:leader="none" w:pos="554"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Subsidiary that has previously been a Guarantor and that is designated an Unrestricted Subsidiary will be released from its Guarantee and its obligations under the Indenture; and</w:t>
      </w:r>
    </w:p>
    <w:p>
      <w:pPr>
        <w:spacing w:after="0" w:line="141" w:lineRule="exact"/>
        <w:rPr>
          <w:rFonts w:ascii="Arial" w:cs="Arial" w:eastAsia="Arial" w:hAnsi="Arial"/>
          <w:sz w:val="15"/>
          <w:szCs w:val="15"/>
          <w:color w:val="auto"/>
        </w:rPr>
      </w:pPr>
    </w:p>
    <w:p>
      <w:pPr>
        <w:ind w:left="548" w:right="220" w:hanging="548"/>
        <w:spacing w:after="0" w:line="284" w:lineRule="auto"/>
        <w:tabs>
          <w:tab w:leader="none" w:pos="554"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assets, income, cash flows and other financial results of an Unrestricted Subsidiary will not be consolidated with those of the Parent Guarantor for purposes of calculating compliance with the restrictive covenants contained in the Indenture.</w:t>
      </w:r>
    </w:p>
    <w:p>
      <w:pPr>
        <w:spacing w:after="0" w:line="141"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Covenant Termination</w:t>
      </w:r>
    </w:p>
    <w:p>
      <w:pPr>
        <w:spacing w:after="0" w:line="194" w:lineRule="exact"/>
        <w:rPr>
          <w:sz w:val="20"/>
          <w:szCs w:val="20"/>
          <w:color w:val="auto"/>
        </w:rPr>
      </w:pPr>
    </w:p>
    <w:p>
      <w:pPr>
        <w:ind w:left="8" w:right="20" w:firstLine="549"/>
        <w:spacing w:after="0" w:line="269" w:lineRule="auto"/>
        <w:rPr>
          <w:sz w:val="20"/>
          <w:szCs w:val="20"/>
          <w:color w:val="auto"/>
        </w:rPr>
      </w:pPr>
      <w:r>
        <w:rPr>
          <w:rFonts w:ascii="Arial" w:cs="Arial" w:eastAsia="Arial" w:hAnsi="Arial"/>
          <w:sz w:val="15"/>
          <w:szCs w:val="15"/>
          <w:color w:val="auto"/>
        </w:rPr>
        <w:t>Following the first date that the Notes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covenants described under the following subheadings:</w:t>
      </w:r>
    </w:p>
    <w:p>
      <w:pPr>
        <w:spacing w:after="0" w:line="152" w:lineRule="exact"/>
        <w:rPr>
          <w:sz w:val="20"/>
          <w:szCs w:val="20"/>
          <w:color w:val="auto"/>
        </w:rPr>
      </w:pPr>
    </w:p>
    <w:p>
      <w:pPr>
        <w:ind w:left="548" w:hanging="548"/>
        <w:spacing w:after="0"/>
        <w:tabs>
          <w:tab w:leader="none" w:pos="5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“—Limitation on Additional Indebtedness”;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“—Limitation on Restricted Payments”;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“—Limitation on Dividend and Other Restrictions Affecting Restricted Subsidiaries”;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“—Limitation on Transactions with Affiliates”; and</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“—Limitation on Designation of Unrestricted Subsidiaries.”</w:t>
      </w:r>
    </w:p>
    <w:p>
      <w:pPr>
        <w:spacing w:after="0" w:line="194"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Additional Indebtedness</w:t>
      </w:r>
    </w:p>
    <w:p>
      <w:pPr>
        <w:spacing w:after="0" w:line="194" w:lineRule="exact"/>
        <w:rPr>
          <w:sz w:val="20"/>
          <w:szCs w:val="20"/>
          <w:color w:val="auto"/>
        </w:rPr>
      </w:pPr>
    </w:p>
    <w:p>
      <w:pPr>
        <w:jc w:val="both"/>
        <w:ind w:left="8" w:right="120" w:firstLine="549"/>
        <w:spacing w:after="0" w:line="264" w:lineRule="auto"/>
        <w:rPr>
          <w:sz w:val="20"/>
          <w:szCs w:val="20"/>
          <w:color w:val="auto"/>
        </w:rPr>
      </w:pPr>
      <w:r>
        <w:rPr>
          <w:rFonts w:ascii="Arial" w:cs="Arial" w:eastAsia="Arial" w:hAnsi="Arial"/>
          <w:sz w:val="15"/>
          <w:szCs w:val="15"/>
          <w:color w:val="auto"/>
        </w:rPr>
        <w:t xml:space="preserve">The Parent Guarantor will not, and will not permit any Restricted Subsidiary to, directly or indirectly, incur any Indebtedness (including Acquired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5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Notwithstanding the above, each of the following incurrences of Indebtedness shall be permitted (the “Permitted Indebtedness”):</w:t>
      </w:r>
    </w:p>
    <w:p>
      <w:pPr>
        <w:spacing w:after="0" w:line="194" w:lineRule="exact"/>
        <w:rPr>
          <w:sz w:val="20"/>
          <w:szCs w:val="20"/>
          <w:color w:val="auto"/>
        </w:rPr>
      </w:pPr>
    </w:p>
    <w:p>
      <w:pPr>
        <w:ind w:left="548" w:right="200" w:hanging="548"/>
        <w:spacing w:after="0" w:line="322" w:lineRule="auto"/>
        <w:tabs>
          <w:tab w:leader="none" w:pos="5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w:t>
      </w:r>
    </w:p>
    <w:p>
      <w:pPr>
        <w:spacing w:after="0" w:line="117"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8"/>
          </w:cols>
          <w:pgMar w:left="232" w:top="129" w:right="299" w:bottom="1440" w:gutter="0" w:footer="0" w:header="0"/>
        </w:sectPr>
      </w:pPr>
    </w:p>
    <w:bookmarkStart w:id="44" w:name="page45"/>
    <w:bookmarkEnd w:id="44"/>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520"/>
        <w:spacing w:after="0" w:line="284" w:lineRule="auto"/>
        <w:rPr>
          <w:sz w:val="20"/>
          <w:szCs w:val="20"/>
          <w:color w:val="auto"/>
        </w:rPr>
      </w:pPr>
      <w:r>
        <w:rPr>
          <w:rFonts w:ascii="Arial" w:cs="Arial" w:eastAsia="Arial" w:hAnsi="Arial"/>
          <w:sz w:val="15"/>
          <w:szCs w:val="15"/>
          <w:color w:val="auto"/>
        </w:rPr>
        <w:t>a principal amount equal to the face amount thereof) not to exceed the greater of (i) $2,000.0 million or (ii)17.5% of the Parent Guarantor’s Consolidated Tangible Assets determined at the time of incurrence;</w:t>
      </w:r>
    </w:p>
    <w:p>
      <w:pPr>
        <w:spacing w:after="0" w:line="141" w:lineRule="exact"/>
        <w:rPr>
          <w:sz w:val="20"/>
          <w:szCs w:val="20"/>
          <w:color w:val="auto"/>
        </w:rPr>
      </w:pPr>
    </w:p>
    <w:p>
      <w:pPr>
        <w:ind w:left="548" w:right="240" w:hanging="548"/>
        <w:spacing w:after="0" w:line="284" w:lineRule="auto"/>
        <w:tabs>
          <w:tab w:leader="none" w:pos="5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Indebtedness under (a) the old notes issued on the Issue Date, (b) guarantees of the old notes, (c) any Exchange Notes (including the new notes) and (d) the Guarantees of any Exchange Notes (including the new notes);</w:t>
      </w:r>
    </w:p>
    <w:p>
      <w:pPr>
        <w:spacing w:after="0" w:line="141" w:lineRule="exact"/>
        <w:rPr>
          <w:rFonts w:ascii="Arial" w:cs="Arial" w:eastAsia="Arial" w:hAnsi="Arial"/>
          <w:sz w:val="15"/>
          <w:szCs w:val="15"/>
          <w:color w:val="auto"/>
        </w:rPr>
      </w:pPr>
    </w:p>
    <w:p>
      <w:pPr>
        <w:ind w:left="548" w:right="120" w:hanging="548"/>
        <w:spacing w:after="0" w:line="284" w:lineRule="auto"/>
        <w:tabs>
          <w:tab w:leader="none" w:pos="5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Indebtedness of the Parent Guarantor and its Restricted Subsidiaries to the extent outstanding on the Issue Date (other than Indebtedness referred to in clauses (1), (2) and (6) of this paragraph);</w:t>
      </w:r>
    </w:p>
    <w:p>
      <w:pPr>
        <w:spacing w:after="0" w:line="141" w:lineRule="exact"/>
        <w:rPr>
          <w:rFonts w:ascii="Arial" w:cs="Arial" w:eastAsia="Arial" w:hAnsi="Arial"/>
          <w:sz w:val="15"/>
          <w:szCs w:val="15"/>
          <w:color w:val="auto"/>
        </w:rPr>
      </w:pPr>
    </w:p>
    <w:p>
      <w:pPr>
        <w:ind w:left="548" w:right="260" w:hanging="548"/>
        <w:spacing w:after="0" w:line="269" w:lineRule="auto"/>
        <w:tabs>
          <w:tab w:leader="none" w:pos="5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(a) guarantees by the Issuer or any Guarantor of Indebtedness permitted to be incurred in accordance with the provisions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Indebtedness under Hedging Obligations entered into for bona fide hedging purposes of the Parent Guarantor or any Restricted Subsidiary and not for the purpose of speculation;</w:t>
      </w:r>
    </w:p>
    <w:p>
      <w:pPr>
        <w:spacing w:after="0" w:line="216" w:lineRule="exact"/>
        <w:rPr>
          <w:rFonts w:ascii="Arial" w:cs="Arial" w:eastAsia="Arial" w:hAnsi="Arial"/>
          <w:sz w:val="13"/>
          <w:szCs w:val="13"/>
          <w:color w:val="auto"/>
        </w:rPr>
      </w:pPr>
    </w:p>
    <w:p>
      <w:pPr>
        <w:ind w:left="548" w:hanging="548"/>
        <w:spacing w:after="0" w:line="317" w:lineRule="auto"/>
        <w:tabs>
          <w:tab w:leader="none" w:pos="554"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125" w:lineRule="exact"/>
        <w:rPr>
          <w:rFonts w:ascii="Arial" w:cs="Arial" w:eastAsia="Arial" w:hAnsi="Arial"/>
          <w:sz w:val="13"/>
          <w:szCs w:val="13"/>
          <w:color w:val="auto"/>
        </w:rPr>
      </w:pPr>
    </w:p>
    <w:p>
      <w:pPr>
        <w:ind w:left="548" w:right="40" w:hanging="548"/>
        <w:spacing w:after="0" w:line="260" w:lineRule="auto"/>
        <w:tabs>
          <w:tab w:leader="none" w:pos="5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60" w:lineRule="exact"/>
        <w:rPr>
          <w:rFonts w:ascii="Arial" w:cs="Arial" w:eastAsia="Arial" w:hAnsi="Arial"/>
          <w:sz w:val="15"/>
          <w:szCs w:val="15"/>
          <w:color w:val="auto"/>
        </w:rPr>
      </w:pPr>
    </w:p>
    <w:p>
      <w:pPr>
        <w:ind w:left="548" w:right="120" w:hanging="548"/>
        <w:spacing w:after="0" w:line="269" w:lineRule="auto"/>
        <w:tabs>
          <w:tab w:leader="none" w:pos="5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 (b) 5.0% of the Parent Guarantor’s Consolidated Tangible Assets determined at the time of incurrence;</w:t>
      </w:r>
    </w:p>
    <w:p>
      <w:pPr>
        <w:spacing w:after="0" w:line="152" w:lineRule="exact"/>
        <w:rPr>
          <w:rFonts w:ascii="Arial" w:cs="Arial" w:eastAsia="Arial" w:hAnsi="Arial"/>
          <w:sz w:val="15"/>
          <w:szCs w:val="15"/>
          <w:color w:val="auto"/>
        </w:rPr>
      </w:pPr>
    </w:p>
    <w:p>
      <w:pPr>
        <w:ind w:left="548" w:right="80" w:hanging="548"/>
        <w:spacing w:after="0" w:line="284" w:lineRule="auto"/>
        <w:tabs>
          <w:tab w:leader="none" w:pos="554"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Indebtedness of the Parent Guarantor or any Restricted Subsidiary arising in connection with endorsement of instruments for deposit in the ordinary course of business;</w:t>
      </w:r>
    </w:p>
    <w:p>
      <w:pPr>
        <w:spacing w:after="0" w:line="205" w:lineRule="exact"/>
        <w:rPr>
          <w:rFonts w:ascii="Arial" w:cs="Arial" w:eastAsia="Arial" w:hAnsi="Arial"/>
          <w:sz w:val="14"/>
          <w:szCs w:val="14"/>
          <w:color w:val="auto"/>
        </w:rPr>
      </w:pPr>
    </w:p>
    <w:p>
      <w:pPr>
        <w:ind w:left="548" w:hanging="548"/>
        <w:spacing w:after="0"/>
        <w:tabs>
          <w:tab w:leader="none" w:pos="548"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Refinancing Indebtedness with respect to Indebtedness incurred pursuant to the Coverage Ratio Exception or with respect to Indebtedness incurred pursuant to clause (2), (3) or</w:t>
      </w:r>
    </w:p>
    <w:p>
      <w:pPr>
        <w:spacing w:after="0" w:line="44" w:lineRule="exact"/>
        <w:rPr>
          <w:rFonts w:ascii="Arial" w:cs="Arial" w:eastAsia="Arial" w:hAnsi="Arial"/>
          <w:sz w:val="13"/>
          <w:szCs w:val="13"/>
          <w:color w:val="auto"/>
        </w:rPr>
      </w:pPr>
    </w:p>
    <w:p>
      <w:pPr>
        <w:ind w:left="548"/>
        <w:spacing w:after="0"/>
        <w:rPr>
          <w:rFonts w:ascii="Arial" w:cs="Arial" w:eastAsia="Arial" w:hAnsi="Arial"/>
          <w:sz w:val="13"/>
          <w:szCs w:val="13"/>
          <w:color w:val="auto"/>
        </w:rPr>
      </w:pPr>
      <w:r>
        <w:rPr>
          <w:rFonts w:ascii="Arial" w:cs="Arial" w:eastAsia="Arial" w:hAnsi="Arial"/>
          <w:sz w:val="15"/>
          <w:szCs w:val="15"/>
          <w:color w:val="auto"/>
        </w:rPr>
        <w:t>(8) above, this clause (11), or clause (13) or (15) below;</w:t>
      </w:r>
    </w:p>
    <w:p>
      <w:pPr>
        <w:spacing w:after="0" w:line="182" w:lineRule="exact"/>
        <w:rPr>
          <w:rFonts w:ascii="Arial" w:cs="Arial" w:eastAsia="Arial" w:hAnsi="Arial"/>
          <w:sz w:val="13"/>
          <w:szCs w:val="13"/>
          <w:color w:val="auto"/>
        </w:rPr>
      </w:pPr>
    </w:p>
    <w:p>
      <w:pPr>
        <w:ind w:left="548" w:right="60" w:hanging="548"/>
        <w:spacing w:after="0" w:line="284" w:lineRule="auto"/>
        <w:tabs>
          <w:tab w:leader="none" w:pos="551"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45" w:name="page46"/>
    <w:bookmarkEnd w:id="45"/>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580"/>
        <w:spacing w:after="0" w:line="284" w:lineRule="auto"/>
        <w:rPr>
          <w:sz w:val="20"/>
          <w:szCs w:val="20"/>
          <w:color w:val="auto"/>
        </w:rPr>
      </w:pPr>
      <w:r>
        <w:rPr>
          <w:rFonts w:ascii="Arial" w:cs="Arial" w:eastAsia="Arial" w:hAnsi="Arial"/>
          <w:sz w:val="15"/>
          <w:szCs w:val="15"/>
          <w:color w:val="auto"/>
        </w:rPr>
        <w:t>Indebtedness incurred by any Person acquiring all or any portion of such business, assets or Equity Interests for the purpose of financing or in contemplation of any such acquisition;</w:t>
      </w:r>
    </w:p>
    <w:p>
      <w:pPr>
        <w:spacing w:after="0" w:line="141" w:lineRule="exact"/>
        <w:rPr>
          <w:sz w:val="20"/>
          <w:szCs w:val="20"/>
          <w:color w:val="auto"/>
        </w:rPr>
      </w:pPr>
    </w:p>
    <w:p>
      <w:pPr>
        <w:ind w:left="548" w:right="20" w:hanging="548"/>
        <w:spacing w:after="0" w:line="269" w:lineRule="auto"/>
        <w:tabs>
          <w:tab w:leader="none" w:pos="551" w:val="left"/>
        </w:tabs>
        <w:numPr>
          <w:ilvl w:val="0"/>
          <w:numId w:val="37"/>
        </w:numPr>
        <w:rPr>
          <w:rFonts w:ascii="Arial" w:cs="Arial" w:eastAsia="Arial" w:hAnsi="Arial"/>
          <w:sz w:val="15"/>
          <w:szCs w:val="15"/>
          <w:color w:val="auto"/>
        </w:rPr>
      </w:pPr>
      <w:r>
        <w:rPr>
          <w:rFonts w:ascii="Arial" w:cs="Arial" w:eastAsia="Arial" w:hAnsi="Arial"/>
          <w:sz w:val="15"/>
          <w:szCs w:val="15"/>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Indebtedness in respect of Specified Cash Management Agreements entered into in the ordinary course of business;</w:t>
      </w:r>
    </w:p>
    <w:p>
      <w:pPr>
        <w:spacing w:after="0" w:line="193" w:lineRule="exact"/>
        <w:rPr>
          <w:rFonts w:ascii="Arial" w:cs="Arial" w:eastAsia="Arial" w:hAnsi="Arial"/>
          <w:sz w:val="15"/>
          <w:szCs w:val="15"/>
          <w:color w:val="auto"/>
        </w:rPr>
      </w:pPr>
    </w:p>
    <w:p>
      <w:pPr>
        <w:ind w:left="548" w:right="540" w:hanging="548"/>
        <w:spacing w:after="0" w:line="284" w:lineRule="auto"/>
        <w:tabs>
          <w:tab w:leader="none" w:pos="551"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Indebtedness incurred in connection with a Permitted Factoring Transaction that is not recourse to the Parent Guarantor or any Restricted Subsidiary (except for Standard Securitization Undertakings);</w:t>
      </w:r>
    </w:p>
    <w:p>
      <w:pPr>
        <w:spacing w:after="0" w:line="141" w:lineRule="exact"/>
        <w:rPr>
          <w:rFonts w:ascii="Arial" w:cs="Arial" w:eastAsia="Arial" w:hAnsi="Arial"/>
          <w:sz w:val="15"/>
          <w:szCs w:val="15"/>
          <w:color w:val="auto"/>
        </w:rPr>
      </w:pPr>
    </w:p>
    <w:p>
      <w:pPr>
        <w:ind w:left="548" w:hanging="548"/>
        <w:spacing w:after="0" w:line="259" w:lineRule="auto"/>
        <w:tabs>
          <w:tab w:leader="none" w:pos="551"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62" w:lineRule="exact"/>
        <w:rPr>
          <w:sz w:val="20"/>
          <w:szCs w:val="20"/>
          <w:color w:val="auto"/>
        </w:rPr>
      </w:pPr>
    </w:p>
    <w:p>
      <w:pPr>
        <w:ind w:left="8" w:firstLine="549"/>
        <w:spacing w:after="0" w:line="296" w:lineRule="auto"/>
        <w:rPr>
          <w:sz w:val="20"/>
          <w:szCs w:val="20"/>
          <w:color w:val="auto"/>
        </w:rPr>
      </w:pPr>
      <w:r>
        <w:rPr>
          <w:rFonts w:ascii="Arial" w:cs="Arial" w:eastAsia="Arial" w:hAnsi="Arial"/>
          <w:sz w:val="13"/>
          <w:szCs w:val="13"/>
          <w:color w:val="auto"/>
        </w:rPr>
        <w:t>For purposes of determining compliance with this covenant,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Revolving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w:t>
      </w:r>
    </w:p>
    <w:p>
      <w:pPr>
        <w:spacing w:after="0" w:line="2" w:lineRule="exact"/>
        <w:rPr>
          <w:sz w:val="20"/>
          <w:szCs w:val="20"/>
          <w:color w:val="auto"/>
        </w:rPr>
      </w:pPr>
    </w:p>
    <w:p>
      <w:pPr>
        <w:ind w:left="8" w:right="140" w:hanging="8"/>
        <w:spacing w:after="0" w:line="269" w:lineRule="auto"/>
        <w:tabs>
          <w:tab w:leader="none" w:pos="233"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amount of Indebtedness issued at a price that is less than the principal amount thereof will be equal to the amount of the liability in respect thereof determined in accordance with GAAP.</w:t>
      </w:r>
    </w:p>
    <w:p>
      <w:pPr>
        <w:spacing w:after="0" w:line="152" w:lineRule="exact"/>
        <w:rPr>
          <w:sz w:val="20"/>
          <w:szCs w:val="20"/>
          <w:color w:val="auto"/>
        </w:rPr>
      </w:pPr>
    </w:p>
    <w:p>
      <w:pPr>
        <w:jc w:val="both"/>
        <w:ind w:left="8" w:right="160" w:firstLine="549"/>
        <w:spacing w:after="0" w:line="269" w:lineRule="auto"/>
        <w:rPr>
          <w:sz w:val="20"/>
          <w:szCs w:val="20"/>
          <w:color w:val="auto"/>
        </w:rPr>
      </w:pPr>
      <w:r>
        <w:rPr>
          <w:rFonts w:ascii="Arial" w:cs="Arial" w:eastAsia="Arial" w:hAnsi="Arial"/>
          <w:sz w:val="15"/>
          <w:szCs w:val="15"/>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covenant; </w:t>
      </w:r>
      <w:r>
        <w:rPr>
          <w:rFonts w:ascii="Arial" w:cs="Arial" w:eastAsia="Arial" w:hAnsi="Arial"/>
          <w:sz w:val="15"/>
          <w:szCs w:val="15"/>
          <w:i w:val="1"/>
          <w:iCs w:val="1"/>
          <w:color w:val="auto"/>
        </w:rPr>
        <w:t>provided</w:t>
      </w:r>
      <w:r>
        <w:rPr>
          <w:rFonts w:ascii="Arial" w:cs="Arial" w:eastAsia="Arial" w:hAnsi="Arial"/>
          <w:sz w:val="15"/>
          <w:szCs w:val="15"/>
          <w:color w:val="auto"/>
        </w:rPr>
        <w:t>, in each such case, that the amount thereof is included in Consolidated Interest Expense of the Parent Guarantor as accrued.</w:t>
      </w:r>
    </w:p>
    <w:p>
      <w:pPr>
        <w:spacing w:after="0" w:line="152" w:lineRule="exact"/>
        <w:rPr>
          <w:sz w:val="20"/>
          <w:szCs w:val="20"/>
          <w:color w:val="auto"/>
        </w:rPr>
      </w:pPr>
    </w:p>
    <w:p>
      <w:pPr>
        <w:ind w:left="8" w:right="180" w:firstLine="549"/>
        <w:spacing w:after="0" w:line="259" w:lineRule="auto"/>
        <w:rPr>
          <w:sz w:val="20"/>
          <w:szCs w:val="20"/>
          <w:color w:val="auto"/>
        </w:rPr>
      </w:pPr>
      <w:r>
        <w:rPr>
          <w:rFonts w:ascii="Arial" w:cs="Arial" w:eastAsia="Arial" w:hAnsi="Arial"/>
          <w:sz w:val="15"/>
          <w:szCs w:val="15"/>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46" w:name="page47"/>
    <w:bookmarkEnd w:id="46"/>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160"/>
        <w:spacing w:after="0" w:line="284" w:lineRule="auto"/>
        <w:rPr>
          <w:sz w:val="20"/>
          <w:szCs w:val="20"/>
          <w:color w:val="auto"/>
        </w:rPr>
      </w:pPr>
      <w:r>
        <w:rPr>
          <w:rFonts w:ascii="Arial" w:cs="Arial" w:eastAsia="Arial" w:hAnsi="Arial"/>
          <w:sz w:val="15"/>
          <w:szCs w:val="15"/>
          <w:color w:val="auto"/>
        </w:rPr>
        <w:t>the Indebtedness being refinanced, shall be calculated based on the currency exchange rate applicable to the currencies in which such Refinancing Indebtedness is denominated that is in effect on the date of such refinancing.</w:t>
      </w:r>
    </w:p>
    <w:p>
      <w:pPr>
        <w:spacing w:after="0" w:line="141" w:lineRule="exact"/>
        <w:rPr>
          <w:sz w:val="20"/>
          <w:szCs w:val="20"/>
          <w:color w:val="auto"/>
        </w:rPr>
      </w:pPr>
    </w:p>
    <w:p>
      <w:pPr>
        <w:jc w:val="both"/>
        <w:ind w:left="8" w:right="220" w:firstLine="549"/>
        <w:spacing w:after="0" w:line="269" w:lineRule="auto"/>
        <w:rPr>
          <w:sz w:val="20"/>
          <w:szCs w:val="20"/>
          <w:color w:val="auto"/>
        </w:rPr>
      </w:pPr>
      <w:r>
        <w:rPr>
          <w:rFonts w:ascii="Arial" w:cs="Arial" w:eastAsia="Arial" w:hAnsi="Arial"/>
          <w:sz w:val="15"/>
          <w:szCs w:val="15"/>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“—Limitation on Additional Indebtedness” covenant, the Issuer shall be in Default of this covenant).</w:t>
      </w:r>
    </w:p>
    <w:p>
      <w:pPr>
        <w:spacing w:after="0" w:line="152"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Additional Guarantees</w:t>
      </w:r>
    </w:p>
    <w:p>
      <w:pPr>
        <w:spacing w:after="0" w:line="194" w:lineRule="exact"/>
        <w:rPr>
          <w:sz w:val="20"/>
          <w:szCs w:val="20"/>
          <w:color w:val="auto"/>
        </w:rPr>
      </w:pPr>
    </w:p>
    <w:p>
      <w:pPr>
        <w:ind w:left="8" w:right="60" w:firstLine="549"/>
        <w:spacing w:after="0" w:line="262" w:lineRule="auto"/>
        <w:rPr>
          <w:sz w:val="20"/>
          <w:szCs w:val="20"/>
          <w:color w:val="auto"/>
        </w:rPr>
      </w:pPr>
      <w:r>
        <w:rPr>
          <w:rFonts w:ascii="Arial" w:cs="Arial" w:eastAsia="Arial" w:hAnsi="Arial"/>
          <w:sz w:val="15"/>
          <w:szCs w:val="15"/>
          <w:color w:val="auto"/>
        </w:rPr>
        <w:t>If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specified in the Indenture pursuant to which such Restricted Subsidiary shall become a Guarantor with respect to the Notes, upon the terms and subject to the release provisions and other limitations described under “—Guarantees.”</w:t>
      </w:r>
    </w:p>
    <w:p>
      <w:pPr>
        <w:spacing w:after="0" w:line="157"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Restricted Payments</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4"/>
          <w:szCs w:val="14"/>
          <w:color w:val="auto"/>
        </w:rPr>
        <w:t>The Parent Guarantor will not, and will not permit any Restricted Subsidiary to, directly or indirectly, make any Restricted Payment if at the time of such Restricted Payment:</w:t>
      </w:r>
    </w:p>
    <w:p>
      <w:pPr>
        <w:spacing w:after="0" w:line="205" w:lineRule="exact"/>
        <w:rPr>
          <w:sz w:val="20"/>
          <w:szCs w:val="20"/>
          <w:color w:val="auto"/>
        </w:rPr>
      </w:pPr>
    </w:p>
    <w:p>
      <w:pPr>
        <w:ind w:left="548" w:hanging="548"/>
        <w:spacing w:after="0"/>
        <w:tabs>
          <w:tab w:leader="none" w:pos="5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Default shall have occurred and be continuing or shall occur as a consequence thereof;</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Parent Guarantor is not able to incur at least $1.00 of additional Indebtedness pursuant to the Coverage Ratio Exception; or</w:t>
      </w:r>
    </w:p>
    <w:p>
      <w:pPr>
        <w:spacing w:after="0" w:line="193" w:lineRule="exact"/>
        <w:rPr>
          <w:rFonts w:ascii="Arial" w:cs="Arial" w:eastAsia="Arial" w:hAnsi="Arial"/>
          <w:sz w:val="15"/>
          <w:szCs w:val="15"/>
          <w:color w:val="auto"/>
        </w:rPr>
      </w:pPr>
    </w:p>
    <w:p>
      <w:pPr>
        <w:ind w:left="548" w:right="240" w:hanging="548"/>
        <w:spacing w:after="0" w:line="284" w:lineRule="auto"/>
        <w:tabs>
          <w:tab w:leader="none" w:pos="554"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141" w:lineRule="exact"/>
        <w:rPr>
          <w:rFonts w:ascii="Arial" w:cs="Arial" w:eastAsia="Arial" w:hAnsi="Arial"/>
          <w:sz w:val="15"/>
          <w:szCs w:val="15"/>
          <w:color w:val="auto"/>
        </w:rPr>
      </w:pPr>
    </w:p>
    <w:p>
      <w:pPr>
        <w:ind w:left="1108" w:right="140" w:hanging="559"/>
        <w:spacing w:after="0" w:line="269" w:lineRule="auto"/>
        <w:tabs>
          <w:tab w:leader="none" w:pos="1106" w:val="left"/>
        </w:tabs>
        <w:numPr>
          <w:ilvl w:val="1"/>
          <w:numId w:val="39"/>
        </w:numPr>
        <w:rPr>
          <w:rFonts w:ascii="Arial" w:cs="Arial" w:eastAsia="Arial" w:hAnsi="Arial"/>
          <w:sz w:val="15"/>
          <w:szCs w:val="15"/>
          <w:color w:val="auto"/>
        </w:rPr>
      </w:pPr>
      <w:r>
        <w:rPr>
          <w:rFonts w:ascii="Arial" w:cs="Arial" w:eastAsia="Arial" w:hAnsi="Arial"/>
          <w:sz w:val="15"/>
          <w:szCs w:val="15"/>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52" w:lineRule="exact"/>
        <w:rPr>
          <w:rFonts w:ascii="Arial" w:cs="Arial" w:eastAsia="Arial" w:hAnsi="Arial"/>
          <w:sz w:val="15"/>
          <w:szCs w:val="15"/>
          <w:color w:val="auto"/>
        </w:rPr>
      </w:pPr>
    </w:p>
    <w:p>
      <w:pPr>
        <w:ind w:left="1108" w:hanging="559"/>
        <w:spacing w:after="0"/>
        <w:tabs>
          <w:tab w:leader="none" w:pos="1108" w:val="left"/>
        </w:tabs>
        <w:numPr>
          <w:ilvl w:val="1"/>
          <w:numId w:val="39"/>
        </w:numPr>
        <w:rPr>
          <w:rFonts w:ascii="Arial" w:cs="Arial" w:eastAsia="Arial" w:hAnsi="Arial"/>
          <w:sz w:val="13"/>
          <w:szCs w:val="13"/>
          <w:color w:val="auto"/>
        </w:rPr>
      </w:pPr>
      <w:r>
        <w:rPr>
          <w:rFonts w:ascii="Arial" w:cs="Arial" w:eastAsia="Arial" w:hAnsi="Arial"/>
          <w:sz w:val="13"/>
          <w:szCs w:val="13"/>
          <w:color w:val="auto"/>
        </w:rPr>
        <w:t>100.0% of (A) (i) the aggregate net cash proceeds and (ii) the Fair Market Value of (x) marketable securities (other than marketable securities of the Parent Guarantor),</w:t>
      </w:r>
    </w:p>
    <w:p>
      <w:pPr>
        <w:spacing w:after="0" w:line="44" w:lineRule="exact"/>
        <w:rPr>
          <w:rFonts w:ascii="Arial" w:cs="Arial" w:eastAsia="Arial" w:hAnsi="Arial"/>
          <w:sz w:val="13"/>
          <w:szCs w:val="13"/>
          <w:color w:val="auto"/>
        </w:rPr>
      </w:pPr>
    </w:p>
    <w:p>
      <w:pPr>
        <w:ind w:left="1108" w:right="100"/>
        <w:spacing w:after="0" w:line="257" w:lineRule="auto"/>
        <w:rPr>
          <w:rFonts w:ascii="Arial" w:cs="Arial" w:eastAsia="Arial" w:hAnsi="Arial"/>
          <w:sz w:val="13"/>
          <w:szCs w:val="13"/>
          <w:color w:val="auto"/>
        </w:rPr>
      </w:pPr>
      <w:r>
        <w:rPr>
          <w:rFonts w:ascii="Arial" w:cs="Arial" w:eastAsia="Arial" w:hAnsi="Arial"/>
          <w:sz w:val="15"/>
          <w:szCs w:val="15"/>
          <w:color w:val="auto"/>
        </w:rPr>
        <w:t>(y) Equity Interests of a Person (other than the Parent Guarantor or a Subsidiary of the Parent Guarantor) engaged in a Permitted Business and (z) other assets used in any Permitted Business, received by the Parent Guarantor or its Restricted Subsidiaries after June 17, 2016 (the “Prior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61" w:lineRule="exact"/>
        <w:rPr>
          <w:rFonts w:ascii="Arial" w:cs="Arial" w:eastAsia="Arial" w:hAnsi="Arial"/>
          <w:sz w:val="13"/>
          <w:szCs w:val="13"/>
          <w:color w:val="auto"/>
        </w:rPr>
      </w:pPr>
    </w:p>
    <w:p>
      <w:pPr>
        <w:ind w:left="1108" w:hanging="559"/>
        <w:spacing w:after="0" w:line="269" w:lineRule="auto"/>
        <w:tabs>
          <w:tab w:leader="none" w:pos="1117" w:val="left"/>
        </w:tabs>
        <w:numPr>
          <w:ilvl w:val="1"/>
          <w:numId w:val="39"/>
        </w:numPr>
        <w:rPr>
          <w:rFonts w:ascii="Arial" w:cs="Arial" w:eastAsia="Arial" w:hAnsi="Arial"/>
          <w:sz w:val="15"/>
          <w:szCs w:val="15"/>
          <w:color w:val="auto"/>
        </w:rPr>
      </w:pPr>
      <w:r>
        <w:rPr>
          <w:rFonts w:ascii="Arial" w:cs="Arial" w:eastAsia="Arial" w:hAnsi="Arial"/>
          <w:sz w:val="15"/>
          <w:szCs w:val="15"/>
          <w:color w:val="auto"/>
        </w:rPr>
        <w:t>in the case of the disposition or repayment of or return on any Investment that was treated as a Restricted Payment after the Prior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47" w:name="page48"/>
    <w:bookmarkEnd w:id="47"/>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108" w:right="40" w:hanging="559"/>
        <w:spacing w:after="0" w:line="264" w:lineRule="auto"/>
        <w:tabs>
          <w:tab w:leader="none" w:pos="1115" w:val="left"/>
        </w:tabs>
        <w:numPr>
          <w:ilvl w:val="0"/>
          <w:numId w:val="40"/>
        </w:numPr>
        <w:rPr>
          <w:rFonts w:ascii="Arial" w:cs="Arial" w:eastAsia="Arial" w:hAnsi="Arial"/>
          <w:sz w:val="15"/>
          <w:szCs w:val="15"/>
          <w:color w:val="auto"/>
        </w:rPr>
      </w:pPr>
      <w:r>
        <w:rPr>
          <w:rFonts w:ascii="Arial" w:cs="Arial" w:eastAsia="Arial" w:hAnsi="Arial"/>
          <w:sz w:val="15"/>
          <w:szCs w:val="15"/>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5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Notwithstanding the foregoing, the provisions set forth in the immediately preceding paragraph will not prohibit:</w:t>
      </w:r>
    </w:p>
    <w:p>
      <w:pPr>
        <w:spacing w:after="0" w:line="194" w:lineRule="exact"/>
        <w:rPr>
          <w:sz w:val="20"/>
          <w:szCs w:val="20"/>
          <w:color w:val="auto"/>
        </w:rPr>
      </w:pPr>
    </w:p>
    <w:p>
      <w:pPr>
        <w:ind w:left="548" w:right="500" w:hanging="548"/>
        <w:spacing w:after="0" w:line="284" w:lineRule="auto"/>
        <w:tabs>
          <w:tab w:leader="none" w:pos="55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Restricted Payment made in exchange for, or out of the proceeds of, the substantially concurrent issuance and sale of Qualified Equity Interests;</w:t>
      </w:r>
    </w:p>
    <w:p>
      <w:pPr>
        <w:spacing w:after="0" w:line="193" w:lineRule="exact"/>
        <w:rPr>
          <w:rFonts w:ascii="Arial" w:cs="Arial" w:eastAsia="Arial" w:hAnsi="Arial"/>
          <w:sz w:val="15"/>
          <w:szCs w:val="15"/>
          <w:color w:val="auto"/>
        </w:rPr>
      </w:pPr>
    </w:p>
    <w:p>
      <w:pPr>
        <w:jc w:val="both"/>
        <w:ind w:left="548" w:right="140" w:hanging="548"/>
        <w:spacing w:after="0" w:line="269" w:lineRule="auto"/>
        <w:tabs>
          <w:tab w:leader="none" w:pos="55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the covenant described under the caption “—Limitation on Additional Indebtedness” and the other terms of the Indenture;</w:t>
      </w:r>
    </w:p>
    <w:p>
      <w:pPr>
        <w:spacing w:after="0" w:line="152" w:lineRule="exact"/>
        <w:rPr>
          <w:rFonts w:ascii="Arial" w:cs="Arial" w:eastAsia="Arial" w:hAnsi="Arial"/>
          <w:sz w:val="15"/>
          <w:szCs w:val="15"/>
          <w:color w:val="auto"/>
        </w:rPr>
      </w:pPr>
    </w:p>
    <w:p>
      <w:pPr>
        <w:ind w:left="548" w:right="100" w:hanging="548"/>
        <w:spacing w:after="0" w:line="262" w:lineRule="auto"/>
        <w:tabs>
          <w:tab w:leader="none" w:pos="554"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the covenant described under “—Change of Control Repurchase Event”;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or simultaneously with such purchase, repurchase, redemption, defeasance or other acquisition or retirement, the Issuer has made the Change of Control Offer as provided in such covenant and has completed the repurchase or redemption of all Notes validly tendered for payment in connection with such Change of Control Offer;</w:t>
      </w:r>
    </w:p>
    <w:p>
      <w:pPr>
        <w:spacing w:after="0" w:line="157" w:lineRule="exact"/>
        <w:rPr>
          <w:rFonts w:ascii="Arial" w:cs="Arial" w:eastAsia="Arial" w:hAnsi="Arial"/>
          <w:sz w:val="15"/>
          <w:szCs w:val="15"/>
          <w:color w:val="auto"/>
        </w:rPr>
      </w:pPr>
    </w:p>
    <w:p>
      <w:pPr>
        <w:ind w:left="548" w:hanging="548"/>
        <w:spacing w:after="0" w:line="277" w:lineRule="auto"/>
        <w:tabs>
          <w:tab w:leader="none" w:pos="5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153" w:lineRule="exact"/>
        <w:rPr>
          <w:rFonts w:ascii="Arial" w:cs="Arial" w:eastAsia="Arial" w:hAnsi="Arial"/>
          <w:sz w:val="14"/>
          <w:szCs w:val="14"/>
          <w:color w:val="auto"/>
        </w:rPr>
      </w:pPr>
    </w:p>
    <w:p>
      <w:pPr>
        <w:ind w:left="548" w:right="40" w:hanging="548"/>
        <w:spacing w:after="0" w:line="264" w:lineRule="auto"/>
        <w:tabs>
          <w:tab w:leader="none" w:pos="554"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48" w:name="page49"/>
    <w:bookmarkEnd w:id="48"/>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200"/>
        <w:spacing w:after="0" w:line="284" w:lineRule="auto"/>
        <w:rPr>
          <w:sz w:val="20"/>
          <w:szCs w:val="20"/>
          <w:color w:val="auto"/>
        </w:rPr>
      </w:pPr>
      <w:r>
        <w:rPr>
          <w:rFonts w:ascii="Arial" w:cs="Arial" w:eastAsia="Arial" w:hAnsi="Arial"/>
          <w:sz w:val="15"/>
          <w:szCs w:val="15"/>
          <w:color w:val="auto"/>
        </w:rPr>
        <w:t>retirements for value of Equity Interests of the Parent Guarantor or its Restricted Subsidiaries made in lieu of withholding taxes in connection with any exercise or exchange of stock options, warrants or similar rights;</w:t>
      </w:r>
    </w:p>
    <w:p>
      <w:pPr>
        <w:spacing w:after="0" w:line="141" w:lineRule="exact"/>
        <w:rPr>
          <w:sz w:val="20"/>
          <w:szCs w:val="20"/>
          <w:color w:val="auto"/>
        </w:rPr>
      </w:pPr>
    </w:p>
    <w:p>
      <w:pPr>
        <w:ind w:left="548" w:right="80" w:hanging="548"/>
        <w:spacing w:after="0" w:line="322" w:lineRule="auto"/>
        <w:tabs>
          <w:tab w:leader="none" w:pos="554"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dividends or distributions on Disqualified Equity Interests of the Parent Guarantor or on any Preferred Stock of any Restricted Subsidiary, in each case issued in compliance with the covenant “—Limitation on Additional Indebtedness” to the extent such dividends or distributions are included in the definition of Consolidated Interest Expense;</w:t>
      </w:r>
    </w:p>
    <w:p>
      <w:pPr>
        <w:spacing w:after="0" w:line="117" w:lineRule="exact"/>
        <w:rPr>
          <w:rFonts w:ascii="Arial" w:cs="Arial" w:eastAsia="Arial" w:hAnsi="Arial"/>
          <w:sz w:val="14"/>
          <w:szCs w:val="14"/>
          <w:color w:val="auto"/>
        </w:rPr>
      </w:pPr>
    </w:p>
    <w:p>
      <w:pPr>
        <w:ind w:left="548" w:hanging="548"/>
        <w:spacing w:after="0"/>
        <w:tabs>
          <w:tab w:leader="none" w:pos="548"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payment of cash in lieu of fractional Equity Interests;</w:t>
      </w:r>
    </w:p>
    <w:p>
      <w:pPr>
        <w:spacing w:after="0" w:line="193" w:lineRule="exact"/>
        <w:rPr>
          <w:rFonts w:ascii="Arial" w:cs="Arial" w:eastAsia="Arial" w:hAnsi="Arial"/>
          <w:sz w:val="15"/>
          <w:szCs w:val="15"/>
          <w:color w:val="auto"/>
        </w:rPr>
      </w:pPr>
    </w:p>
    <w:p>
      <w:pPr>
        <w:ind w:left="548" w:right="300" w:hanging="548"/>
        <w:spacing w:after="0" w:line="284" w:lineRule="auto"/>
        <w:tabs>
          <w:tab w:leader="none" w:pos="554" w:val="left"/>
        </w:tabs>
        <w:numPr>
          <w:ilvl w:val="0"/>
          <w:numId w:val="42"/>
        </w:numPr>
        <w:rPr>
          <w:rFonts w:ascii="Arial" w:cs="Arial" w:eastAsia="Arial" w:hAnsi="Arial"/>
          <w:sz w:val="15"/>
          <w:szCs w:val="15"/>
          <w:color w:val="auto"/>
        </w:rPr>
      </w:pPr>
      <w:r>
        <w:rPr>
          <w:rFonts w:ascii="Arial" w:cs="Arial" w:eastAsia="Arial" w:hAnsi="Arial"/>
          <w:sz w:val="15"/>
          <w:szCs w:val="15"/>
          <w:color w:val="auto"/>
        </w:rPr>
        <w:t>payments or distributions to dissenting stockholders pursuant to applicable law in connection with a merger, consolidation or amalgamation that complies with the provisions described under the caption “—Limitation on Mergers, Consolidations, Etc.”;</w:t>
      </w:r>
    </w:p>
    <w:p>
      <w:pPr>
        <w:spacing w:after="0" w:line="141" w:lineRule="exact"/>
        <w:rPr>
          <w:rFonts w:ascii="Arial" w:cs="Arial" w:eastAsia="Arial" w:hAnsi="Arial"/>
          <w:sz w:val="15"/>
          <w:szCs w:val="15"/>
          <w:color w:val="auto"/>
        </w:rPr>
      </w:pPr>
    </w:p>
    <w:p>
      <w:pPr>
        <w:ind w:left="548" w:right="220" w:hanging="548"/>
        <w:spacing w:after="0" w:line="284" w:lineRule="auto"/>
        <w:tabs>
          <w:tab w:leader="none" w:pos="551" w:val="left"/>
        </w:tabs>
        <w:numPr>
          <w:ilvl w:val="0"/>
          <w:numId w:val="42"/>
        </w:numPr>
        <w:rPr>
          <w:rFonts w:ascii="Arial" w:cs="Arial" w:eastAsia="Arial" w:hAnsi="Arial"/>
          <w:sz w:val="15"/>
          <w:szCs w:val="15"/>
          <w:color w:val="auto"/>
        </w:rPr>
      </w:pPr>
      <w:r>
        <w:rPr>
          <w:rFonts w:ascii="Arial" w:cs="Arial" w:eastAsia="Arial" w:hAnsi="Arial"/>
          <w:sz w:val="15"/>
          <w:szCs w:val="15"/>
          <w:color w:val="auto"/>
        </w:rPr>
        <w:t>purchases of receivables pursuant to a Receivables Repurchase Obligation in connection with a Permitted Factoring Transaction and the payment or distribution of fees related thereto;</w:t>
      </w:r>
    </w:p>
    <w:p>
      <w:pPr>
        <w:spacing w:after="0" w:line="141" w:lineRule="exact"/>
        <w:rPr>
          <w:rFonts w:ascii="Arial" w:cs="Arial" w:eastAsia="Arial" w:hAnsi="Arial"/>
          <w:sz w:val="15"/>
          <w:szCs w:val="15"/>
          <w:color w:val="auto"/>
        </w:rPr>
      </w:pPr>
    </w:p>
    <w:p>
      <w:pPr>
        <w:ind w:left="548" w:right="100" w:hanging="548"/>
        <w:spacing w:after="0" w:line="284" w:lineRule="auto"/>
        <w:tabs>
          <w:tab w:leader="none" w:pos="545" w:val="left"/>
        </w:tabs>
        <w:numPr>
          <w:ilvl w:val="0"/>
          <w:numId w:val="42"/>
        </w:numPr>
        <w:rPr>
          <w:rFonts w:ascii="Arial" w:cs="Arial" w:eastAsia="Arial" w:hAnsi="Arial"/>
          <w:sz w:val="15"/>
          <w:szCs w:val="15"/>
          <w:color w:val="auto"/>
        </w:rPr>
      </w:pPr>
      <w:r>
        <w:rPr>
          <w:rFonts w:ascii="Arial" w:cs="Arial" w:eastAsia="Arial" w:hAnsi="Arial"/>
          <w:sz w:val="15"/>
          <w:szCs w:val="15"/>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42"/>
        </w:numPr>
        <w:rPr>
          <w:rFonts w:ascii="Arial" w:cs="Arial" w:eastAsia="Arial" w:hAnsi="Arial"/>
          <w:sz w:val="15"/>
          <w:szCs w:val="15"/>
          <w:color w:val="auto"/>
        </w:rPr>
      </w:pPr>
      <w:r>
        <w:rPr>
          <w:rFonts w:ascii="Arial" w:cs="Arial" w:eastAsia="Arial" w:hAnsi="Arial"/>
          <w:sz w:val="15"/>
          <w:szCs w:val="15"/>
          <w:color w:val="auto"/>
        </w:rPr>
        <w:t>so long as no Default or Event of Default has occurred and is continuing, a Qualified Spin Transaction;</w:t>
      </w:r>
    </w:p>
    <w:p>
      <w:pPr>
        <w:spacing w:after="0" w:line="193" w:lineRule="exact"/>
        <w:rPr>
          <w:rFonts w:ascii="Arial" w:cs="Arial" w:eastAsia="Arial" w:hAnsi="Arial"/>
          <w:sz w:val="15"/>
          <w:szCs w:val="15"/>
          <w:color w:val="auto"/>
        </w:rPr>
      </w:pPr>
    </w:p>
    <w:p>
      <w:pPr>
        <w:ind w:left="548" w:right="360" w:hanging="548"/>
        <w:spacing w:after="0" w:line="284" w:lineRule="auto"/>
        <w:tabs>
          <w:tab w:leader="none" w:pos="551" w:val="left"/>
        </w:tabs>
        <w:numPr>
          <w:ilvl w:val="0"/>
          <w:numId w:val="42"/>
        </w:numPr>
        <w:rPr>
          <w:rFonts w:ascii="Arial" w:cs="Arial" w:eastAsia="Arial" w:hAnsi="Arial"/>
          <w:sz w:val="15"/>
          <w:szCs w:val="15"/>
          <w:color w:val="auto"/>
        </w:rPr>
      </w:pPr>
      <w:r>
        <w:rPr>
          <w:rFonts w:ascii="Arial" w:cs="Arial" w:eastAsia="Arial" w:hAnsi="Arial"/>
          <w:sz w:val="15"/>
          <w:szCs w:val="15"/>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141" w:lineRule="exact"/>
        <w:rPr>
          <w:rFonts w:ascii="Arial" w:cs="Arial" w:eastAsia="Arial" w:hAnsi="Arial"/>
          <w:sz w:val="15"/>
          <w:szCs w:val="15"/>
          <w:color w:val="auto"/>
        </w:rPr>
      </w:pPr>
    </w:p>
    <w:p>
      <w:pPr>
        <w:ind w:left="548" w:right="120" w:hanging="548"/>
        <w:spacing w:after="0" w:line="284" w:lineRule="auto"/>
        <w:tabs>
          <w:tab w:leader="none" w:pos="551"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41" w:lineRule="exact"/>
        <w:rPr>
          <w:sz w:val="20"/>
          <w:szCs w:val="20"/>
          <w:color w:val="auto"/>
        </w:rPr>
      </w:pPr>
    </w:p>
    <w:p>
      <w:pPr>
        <w:ind w:left="8" w:right="60"/>
        <w:spacing w:after="0" w:line="284"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no issuance and sale of Qualified Equity Interests used to make a payment pursuant to clauses (2) or (5)(B) above shall increase the Restricted Payments Basket to the extent</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payment.</w:t>
      </w:r>
    </w:p>
    <w:p>
      <w:pPr>
        <w:spacing w:after="0" w:line="141" w:lineRule="exact"/>
        <w:rPr>
          <w:sz w:val="20"/>
          <w:szCs w:val="20"/>
          <w:color w:val="auto"/>
        </w:rPr>
      </w:pPr>
    </w:p>
    <w:p>
      <w:pPr>
        <w:ind w:left="8" w:right="20" w:firstLine="549"/>
        <w:spacing w:after="0" w:line="289" w:lineRule="auto"/>
        <w:rPr>
          <w:sz w:val="20"/>
          <w:szCs w:val="20"/>
          <w:color w:val="auto"/>
        </w:rPr>
      </w:pPr>
      <w:r>
        <w:rPr>
          <w:rFonts w:ascii="Arial" w:cs="Arial" w:eastAsia="Arial" w:hAnsi="Arial"/>
          <w:sz w:val="14"/>
          <w:szCs w:val="14"/>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40"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Dividend and Other Restrictions Affecting Restricted Subsidiaries</w:t>
      </w:r>
    </w:p>
    <w:p>
      <w:pPr>
        <w:spacing w:after="0" w:line="194" w:lineRule="exact"/>
        <w:rPr>
          <w:sz w:val="20"/>
          <w:szCs w:val="20"/>
          <w:color w:val="auto"/>
        </w:rPr>
      </w:pPr>
    </w:p>
    <w:p>
      <w:pPr>
        <w:ind w:left="8" w:right="140" w:firstLine="549"/>
        <w:spacing w:after="0" w:line="284" w:lineRule="auto"/>
        <w:rPr>
          <w:sz w:val="20"/>
          <w:szCs w:val="20"/>
          <w:color w:val="auto"/>
        </w:rPr>
      </w:pPr>
      <w:r>
        <w:rPr>
          <w:rFonts w:ascii="Arial" w:cs="Arial" w:eastAsia="Arial" w:hAnsi="Arial"/>
          <w:sz w:val="15"/>
          <w:szCs w:val="15"/>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41" w:lineRule="exact"/>
        <w:rPr>
          <w:sz w:val="20"/>
          <w:szCs w:val="20"/>
          <w:color w:val="auto"/>
        </w:rPr>
      </w:pPr>
    </w:p>
    <w:p>
      <w:pPr>
        <w:ind w:left="548" w:right="80" w:hanging="548"/>
        <w:spacing w:after="0" w:line="297" w:lineRule="auto"/>
        <w:tabs>
          <w:tab w:leader="none" w:pos="5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34" w:lineRule="exact"/>
        <w:rPr>
          <w:rFonts w:ascii="Arial" w:cs="Arial" w:eastAsia="Arial" w:hAnsi="Arial"/>
          <w:sz w:val="14"/>
          <w:szCs w:val="14"/>
          <w:color w:val="auto"/>
        </w:rPr>
      </w:pPr>
    </w:p>
    <w:p>
      <w:pPr>
        <w:ind w:left="548" w:hanging="548"/>
        <w:spacing w:after="0" w:line="269" w:lineRule="auto"/>
        <w:tabs>
          <w:tab w:leader="none" w:pos="554"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49" w:name="page50"/>
    <w:bookmarkEnd w:id="49"/>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420" w:hanging="548"/>
        <w:spacing w:after="0" w:line="284" w:lineRule="auto"/>
        <w:tabs>
          <w:tab w:leader="none" w:pos="557" w:val="left"/>
        </w:tabs>
        <w:numPr>
          <w:ilvl w:val="0"/>
          <w:numId w:val="44"/>
        </w:numPr>
        <w:rPr>
          <w:rFonts w:ascii="Arial" w:cs="Arial" w:eastAsia="Arial" w:hAnsi="Arial"/>
          <w:sz w:val="15"/>
          <w:szCs w:val="15"/>
          <w:color w:val="auto"/>
        </w:rPr>
      </w:pPr>
      <w:r>
        <w:rPr>
          <w:rFonts w:ascii="Arial" w:cs="Arial" w:eastAsia="Arial" w:hAnsi="Arial"/>
          <w:sz w:val="15"/>
          <w:szCs w:val="15"/>
          <w:color w:val="auto"/>
        </w:rPr>
        <w:t>transfer any of its property or assets to the Parent Guarantor or any other Restricted Subsidiary (it being understood that such transfers shall not include any type of transfer described in clause (a) or (b) above);</w:t>
      </w:r>
    </w:p>
    <w:p>
      <w:pPr>
        <w:spacing w:after="0" w:line="141"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except for, in each case:</w:t>
      </w:r>
    </w:p>
    <w:p>
      <w:pPr>
        <w:spacing w:after="0" w:line="194" w:lineRule="exact"/>
        <w:rPr>
          <w:sz w:val="20"/>
          <w:szCs w:val="20"/>
          <w:color w:val="auto"/>
        </w:rPr>
      </w:pPr>
    </w:p>
    <w:p>
      <w:pPr>
        <w:ind w:left="548" w:right="20" w:hanging="548"/>
        <w:spacing w:after="0" w:line="284" w:lineRule="auto"/>
        <w:tabs>
          <w:tab w:leader="none" w:pos="554"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encumbrances or restrictions existing under agreements existing on the Issue Date (including, without limitation, the Revolving Credit Agreement and the Term Loan Agreement) as in effect on that date;</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encumbrances or restrictions existing under the Indenture, the Notes and the Guarantees;</w:t>
      </w:r>
    </w:p>
    <w:p>
      <w:pPr>
        <w:spacing w:after="0" w:line="193" w:lineRule="exact"/>
        <w:rPr>
          <w:rFonts w:ascii="Arial" w:cs="Arial" w:eastAsia="Arial" w:hAnsi="Arial"/>
          <w:sz w:val="15"/>
          <w:szCs w:val="15"/>
          <w:color w:val="auto"/>
        </w:rPr>
      </w:pPr>
    </w:p>
    <w:p>
      <w:pPr>
        <w:ind w:left="548" w:right="260" w:hanging="548"/>
        <w:spacing w:after="0" w:line="365" w:lineRule="auto"/>
        <w:tabs>
          <w:tab w:leader="none" w:pos="554"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94" w:lineRule="exact"/>
        <w:rPr>
          <w:rFonts w:ascii="Arial" w:cs="Arial" w:eastAsia="Arial" w:hAnsi="Arial"/>
          <w:sz w:val="13"/>
          <w:szCs w:val="13"/>
          <w:color w:val="auto"/>
        </w:rPr>
      </w:pPr>
    </w:p>
    <w:p>
      <w:pPr>
        <w:ind w:left="548" w:hanging="548"/>
        <w:spacing w:after="0" w:line="269" w:lineRule="auto"/>
        <w:tabs>
          <w:tab w:leader="none" w:pos="554"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52" w:lineRule="exact"/>
        <w:rPr>
          <w:rFonts w:ascii="Arial" w:cs="Arial" w:eastAsia="Arial" w:hAnsi="Arial"/>
          <w:sz w:val="15"/>
          <w:szCs w:val="15"/>
          <w:color w:val="auto"/>
        </w:rPr>
      </w:pPr>
    </w:p>
    <w:p>
      <w:pPr>
        <w:ind w:left="548" w:right="20" w:hanging="548"/>
        <w:spacing w:after="0" w:line="289" w:lineRule="auto"/>
        <w:tabs>
          <w:tab w:leader="none" w:pos="554"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40" w:lineRule="exact"/>
        <w:rPr>
          <w:rFonts w:ascii="Arial" w:cs="Arial" w:eastAsia="Arial" w:hAnsi="Arial"/>
          <w:sz w:val="14"/>
          <w:szCs w:val="14"/>
          <w:color w:val="auto"/>
        </w:rPr>
      </w:pPr>
    </w:p>
    <w:p>
      <w:pPr>
        <w:ind w:left="548" w:hanging="548"/>
        <w:spacing w:after="0"/>
        <w:tabs>
          <w:tab w:leader="none" w:pos="5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encumbrances or restrictions existing under or by reason of applicable law, regulation or order;</w:t>
      </w:r>
    </w:p>
    <w:p>
      <w:pPr>
        <w:spacing w:after="0" w:line="193" w:lineRule="exact"/>
        <w:rPr>
          <w:rFonts w:ascii="Arial" w:cs="Arial" w:eastAsia="Arial" w:hAnsi="Arial"/>
          <w:sz w:val="15"/>
          <w:szCs w:val="15"/>
          <w:color w:val="auto"/>
        </w:rPr>
      </w:pPr>
    </w:p>
    <w:p>
      <w:pPr>
        <w:ind w:left="548" w:right="600" w:hanging="548"/>
        <w:spacing w:after="0" w:line="284" w:lineRule="auto"/>
        <w:tabs>
          <w:tab w:leader="none" w:pos="554" w:val="left"/>
        </w:tabs>
        <w:numPr>
          <w:ilvl w:val="0"/>
          <w:numId w:val="45"/>
        </w:numPr>
        <w:rPr>
          <w:rFonts w:ascii="Arial" w:cs="Arial" w:eastAsia="Arial" w:hAnsi="Arial"/>
          <w:sz w:val="15"/>
          <w:szCs w:val="15"/>
          <w:color w:val="auto"/>
        </w:rPr>
      </w:pPr>
      <w:r>
        <w:rPr>
          <w:rFonts w:ascii="Arial" w:cs="Arial" w:eastAsia="Arial" w:hAnsi="Arial"/>
          <w:sz w:val="15"/>
          <w:szCs w:val="15"/>
          <w:color w:val="auto"/>
        </w:rPr>
        <w:t>customary restrictions or limitations in leases, licenses or other agreements restricting the assignment thereof or the assignment of the property that is the subject of such agreement;</w:t>
      </w:r>
    </w:p>
    <w:p>
      <w:pPr>
        <w:spacing w:after="0" w:line="141" w:lineRule="exact"/>
        <w:rPr>
          <w:rFonts w:ascii="Arial" w:cs="Arial" w:eastAsia="Arial" w:hAnsi="Arial"/>
          <w:sz w:val="15"/>
          <w:szCs w:val="15"/>
          <w:color w:val="auto"/>
        </w:rPr>
      </w:pPr>
    </w:p>
    <w:p>
      <w:pPr>
        <w:ind w:left="548" w:right="200" w:hanging="548"/>
        <w:spacing w:after="0" w:line="284" w:lineRule="auto"/>
        <w:tabs>
          <w:tab w:leader="none" w:pos="554"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the case of clause (c) above, Liens permitted to be incurred under the provisions of the covenant described under “—Limitation on Liens” that limit the right of the debtor to dispose of the assets securing such Indebtedness;</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restrictions imposed under any agreement to sell Equity Interests or assets to any Person pending the closing of such sale;</w:t>
      </w:r>
    </w:p>
    <w:p>
      <w:pPr>
        <w:spacing w:after="0" w:line="193" w:lineRule="exact"/>
        <w:rPr>
          <w:rFonts w:ascii="Arial" w:cs="Arial" w:eastAsia="Arial" w:hAnsi="Arial"/>
          <w:sz w:val="15"/>
          <w:szCs w:val="15"/>
          <w:color w:val="auto"/>
        </w:rPr>
      </w:pPr>
    </w:p>
    <w:p>
      <w:pPr>
        <w:ind w:left="548" w:right="100" w:hanging="548"/>
        <w:spacing w:after="0" w:line="260" w:lineRule="auto"/>
        <w:tabs>
          <w:tab w:leader="none" w:pos="551"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60" w:lineRule="exact"/>
        <w:rPr>
          <w:rFonts w:ascii="Arial" w:cs="Arial" w:eastAsia="Arial" w:hAnsi="Arial"/>
          <w:sz w:val="15"/>
          <w:szCs w:val="15"/>
          <w:color w:val="auto"/>
        </w:rPr>
      </w:pPr>
    </w:p>
    <w:p>
      <w:pPr>
        <w:jc w:val="both"/>
        <w:ind w:left="548" w:right="460" w:hanging="548"/>
        <w:spacing w:after="0" w:line="269" w:lineRule="auto"/>
        <w:tabs>
          <w:tab w:leader="none" w:pos="545"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50" w:name="page51"/>
    <w:bookmarkEnd w:id="50"/>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460" w:hanging="548"/>
        <w:spacing w:after="0" w:line="284" w:lineRule="auto"/>
        <w:tabs>
          <w:tab w:leader="none" w:pos="551" w:val="left"/>
        </w:tabs>
        <w:numPr>
          <w:ilvl w:val="0"/>
          <w:numId w:val="46"/>
        </w:numPr>
        <w:rPr>
          <w:rFonts w:ascii="Arial" w:cs="Arial" w:eastAsia="Arial" w:hAnsi="Arial"/>
          <w:sz w:val="15"/>
          <w:szCs w:val="15"/>
          <w:color w:val="auto"/>
        </w:rPr>
      </w:pPr>
      <w:r>
        <w:rPr>
          <w:rFonts w:ascii="Arial" w:cs="Arial" w:eastAsia="Arial" w:hAnsi="Arial"/>
          <w:sz w:val="15"/>
          <w:szCs w:val="15"/>
          <w:color w:val="auto"/>
        </w:rPr>
        <w:t>Purchase Money Indebtedness and any Refinancing Indebtedness in respect thereof incurred in compliance with the covenant described under “—Limitation on Additional Indebtedness” that imposes restrictions of the nature described in clause (c) above on the assets acquired;</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restrictions on cash or other deposits or net worth imposed by customers, suppliers or landlords under contracts entered into in the ordinary course of business;</w:t>
      </w:r>
    </w:p>
    <w:p>
      <w:pPr>
        <w:spacing w:after="0" w:line="193" w:lineRule="exact"/>
        <w:rPr>
          <w:rFonts w:ascii="Arial" w:cs="Arial" w:eastAsia="Arial" w:hAnsi="Arial"/>
          <w:sz w:val="15"/>
          <w:szCs w:val="15"/>
          <w:color w:val="auto"/>
        </w:rPr>
      </w:pPr>
    </w:p>
    <w:p>
      <w:pPr>
        <w:ind w:left="548" w:right="200" w:hanging="548"/>
        <w:spacing w:after="0" w:line="264" w:lineRule="auto"/>
        <w:tabs>
          <w:tab w:leader="none" w:pos="551"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56" w:lineRule="exact"/>
        <w:rPr>
          <w:rFonts w:ascii="Arial" w:cs="Arial" w:eastAsia="Arial" w:hAnsi="Arial"/>
          <w:sz w:val="15"/>
          <w:szCs w:val="15"/>
          <w:color w:val="auto"/>
        </w:rPr>
      </w:pPr>
    </w:p>
    <w:p>
      <w:pPr>
        <w:ind w:left="548" w:right="340" w:hanging="548"/>
        <w:spacing w:after="0" w:line="289" w:lineRule="auto"/>
        <w:tabs>
          <w:tab w:leader="none" w:pos="551" w:val="left"/>
        </w:tabs>
        <w:numPr>
          <w:ilvl w:val="0"/>
          <w:numId w:val="46"/>
        </w:numPr>
        <w:rPr>
          <w:rFonts w:ascii="Arial" w:cs="Arial" w:eastAsia="Arial" w:hAnsi="Arial"/>
          <w:sz w:val="14"/>
          <w:szCs w:val="14"/>
          <w:color w:val="auto"/>
        </w:rPr>
      </w:pPr>
      <w:r>
        <w:rPr>
          <w:rFonts w:ascii="Arial" w:cs="Arial" w:eastAsia="Arial" w:hAnsi="Arial"/>
          <w:sz w:val="14"/>
          <w:szCs w:val="14"/>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40" w:lineRule="exact"/>
        <w:rPr>
          <w:rFonts w:ascii="Arial" w:cs="Arial" w:eastAsia="Arial" w:hAnsi="Arial"/>
          <w:sz w:val="14"/>
          <w:szCs w:val="14"/>
          <w:color w:val="auto"/>
        </w:rPr>
      </w:pPr>
    </w:p>
    <w:p>
      <w:pPr>
        <w:ind w:left="548" w:hanging="548"/>
        <w:spacing w:after="0"/>
        <w:tabs>
          <w:tab w:leader="none" w:pos="5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provisions limiting the distribution or dividend of assets or any portion of the Equity Interests of SpinCo in connection with a Qualified Spin Transaction;</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Permitted Investment or Restricted Payments which are made in accordance with the covenant described under “—Limitation on Restricted Payments”;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restrictions contained in Standard Securitization Undertakings; and</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supermajority voting requirements existing under corporate charters, by-laws, stockholders agreements and similar documents and agreements.</w:t>
      </w:r>
    </w:p>
    <w:p>
      <w:pPr>
        <w:spacing w:after="0" w:line="194"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Transactions with Affiliates</w:t>
      </w:r>
    </w:p>
    <w:p>
      <w:pPr>
        <w:spacing w:after="0" w:line="194" w:lineRule="exact"/>
        <w:rPr>
          <w:sz w:val="20"/>
          <w:szCs w:val="20"/>
          <w:color w:val="auto"/>
        </w:rPr>
      </w:pPr>
    </w:p>
    <w:p>
      <w:pPr>
        <w:ind w:left="8" w:firstLine="549"/>
        <w:spacing w:after="0" w:line="269" w:lineRule="auto"/>
        <w:rPr>
          <w:sz w:val="20"/>
          <w:szCs w:val="20"/>
          <w:color w:val="auto"/>
        </w:rPr>
      </w:pPr>
      <w:r>
        <w:rPr>
          <w:rFonts w:ascii="Arial" w:cs="Arial" w:eastAsia="Arial" w:hAnsi="Arial"/>
          <w:sz w:val="15"/>
          <w:szCs w:val="15"/>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 million (an “Affiliate Transaction”), unless:</w:t>
      </w:r>
    </w:p>
    <w:p>
      <w:pPr>
        <w:spacing w:after="0" w:line="152" w:lineRule="exact"/>
        <w:rPr>
          <w:sz w:val="20"/>
          <w:szCs w:val="20"/>
          <w:color w:val="auto"/>
        </w:rPr>
      </w:pPr>
    </w:p>
    <w:p>
      <w:pPr>
        <w:ind w:left="548" w:hanging="548"/>
        <w:spacing w:after="0" w:line="264" w:lineRule="auto"/>
        <w:tabs>
          <w:tab w:leader="none" w:pos="55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56" w:lineRule="exact"/>
        <w:rPr>
          <w:rFonts w:ascii="Arial" w:cs="Arial" w:eastAsia="Arial" w:hAnsi="Arial"/>
          <w:sz w:val="15"/>
          <w:szCs w:val="15"/>
          <w:color w:val="auto"/>
        </w:rPr>
      </w:pPr>
    </w:p>
    <w:p>
      <w:pPr>
        <w:jc w:val="both"/>
        <w:ind w:left="548" w:right="100" w:hanging="548"/>
        <w:spacing w:after="0" w:line="269" w:lineRule="auto"/>
        <w:tabs>
          <w:tab w:leader="none" w:pos="55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Parent Guarantor delivers to the Trustee, with respect to any Affiliate Transaction involving aggregate value in excess of $100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52"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The foregoing restrictions shall not apply to:</w:t>
      </w:r>
    </w:p>
    <w:p>
      <w:pPr>
        <w:spacing w:after="0" w:line="194" w:lineRule="exact"/>
        <w:rPr>
          <w:sz w:val="20"/>
          <w:szCs w:val="20"/>
          <w:color w:val="auto"/>
        </w:rPr>
      </w:pPr>
    </w:p>
    <w:p>
      <w:pPr>
        <w:ind w:left="5648" w:right="2360" w:hanging="5648"/>
        <w:spacing w:after="0" w:line="539" w:lineRule="auto"/>
        <w:tabs>
          <w:tab w:leader="none" w:pos="558" w:val="left"/>
        </w:tabs>
        <w:numPr>
          <w:ilvl w:val="0"/>
          <w:numId w:val="48"/>
        </w:numPr>
        <w:rPr>
          <w:rFonts w:ascii="Arial" w:cs="Arial" w:eastAsia="Arial" w:hAnsi="Arial"/>
          <w:sz w:val="15"/>
          <w:szCs w:val="15"/>
          <w:color w:val="auto"/>
        </w:rPr>
      </w:pPr>
      <w:r>
        <w:rPr>
          <w:rFonts w:ascii="Arial" w:cs="Arial" w:eastAsia="Arial" w:hAnsi="Arial"/>
          <w:sz w:val="15"/>
          <w:szCs w:val="15"/>
          <w:color w:val="auto"/>
        </w:rPr>
        <w:t>transactions to the extent between or among (a) the Parent Guarantor and one or more Restricted Subsidiaries or (b) Restricted Subsidiaries;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87260"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51" w:name="page52"/>
    <w:bookmarkEnd w:id="51"/>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160" w:hanging="548"/>
        <w:spacing w:after="0" w:line="269" w:lineRule="auto"/>
        <w:tabs>
          <w:tab w:leader="none" w:pos="554" w:val="left"/>
        </w:tabs>
        <w:numPr>
          <w:ilvl w:val="0"/>
          <w:numId w:val="49"/>
        </w:numPr>
        <w:rPr>
          <w:rFonts w:ascii="Arial" w:cs="Arial" w:eastAsia="Arial" w:hAnsi="Arial"/>
          <w:sz w:val="15"/>
          <w:szCs w:val="15"/>
          <w:color w:val="auto"/>
        </w:rPr>
      </w:pPr>
      <w:r>
        <w:rPr>
          <w:rFonts w:ascii="Arial" w:cs="Arial" w:eastAsia="Arial" w:hAnsi="Arial"/>
          <w:sz w:val="15"/>
          <w:szCs w:val="15"/>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52" w:lineRule="exact"/>
        <w:rPr>
          <w:rFonts w:ascii="Arial" w:cs="Arial" w:eastAsia="Arial" w:hAnsi="Arial"/>
          <w:sz w:val="15"/>
          <w:szCs w:val="15"/>
          <w:color w:val="auto"/>
        </w:rPr>
      </w:pPr>
    </w:p>
    <w:p>
      <w:pPr>
        <w:ind w:left="548" w:right="180" w:hanging="548"/>
        <w:spacing w:after="0" w:line="284" w:lineRule="auto"/>
        <w:tabs>
          <w:tab w:leader="none" w:pos="554" w:val="left"/>
        </w:tabs>
        <w:numPr>
          <w:ilvl w:val="0"/>
          <w:numId w:val="49"/>
        </w:numPr>
        <w:rPr>
          <w:rFonts w:ascii="Arial" w:cs="Arial" w:eastAsia="Arial" w:hAnsi="Arial"/>
          <w:sz w:val="15"/>
          <w:szCs w:val="15"/>
          <w:color w:val="auto"/>
        </w:rPr>
      </w:pPr>
      <w:r>
        <w:rPr>
          <w:rFonts w:ascii="Arial" w:cs="Arial" w:eastAsia="Arial" w:hAnsi="Arial"/>
          <w:sz w:val="15"/>
          <w:szCs w:val="15"/>
          <w:color w:val="auto"/>
        </w:rPr>
        <w:t>Permitted Investments (other than those made under clause (1) of such definition) or Restricted Payments which are made in accordance with the covenant described under “— Limitation on Restricted Payments”;</w:t>
      </w:r>
    </w:p>
    <w:p>
      <w:pPr>
        <w:spacing w:after="0" w:line="141" w:lineRule="exact"/>
        <w:rPr>
          <w:rFonts w:ascii="Arial" w:cs="Arial" w:eastAsia="Arial" w:hAnsi="Arial"/>
          <w:sz w:val="15"/>
          <w:szCs w:val="15"/>
          <w:color w:val="auto"/>
        </w:rPr>
      </w:pPr>
    </w:p>
    <w:p>
      <w:pPr>
        <w:ind w:left="548" w:hanging="548"/>
        <w:spacing w:after="0" w:line="284" w:lineRule="auto"/>
        <w:tabs>
          <w:tab w:leader="none" w:pos="554"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141" w:lineRule="exact"/>
        <w:rPr>
          <w:rFonts w:ascii="Arial" w:cs="Arial" w:eastAsia="Arial" w:hAnsi="Arial"/>
          <w:sz w:val="15"/>
          <w:szCs w:val="15"/>
          <w:color w:val="auto"/>
        </w:rPr>
      </w:pPr>
    </w:p>
    <w:p>
      <w:pPr>
        <w:ind w:left="548" w:right="380" w:hanging="548"/>
        <w:spacing w:after="0" w:line="284" w:lineRule="auto"/>
        <w:tabs>
          <w:tab w:leader="none" w:pos="554"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41" w:lineRule="exact"/>
        <w:rPr>
          <w:rFonts w:ascii="Arial" w:cs="Arial" w:eastAsia="Arial" w:hAnsi="Arial"/>
          <w:sz w:val="15"/>
          <w:szCs w:val="15"/>
          <w:color w:val="auto"/>
        </w:rPr>
      </w:pPr>
    </w:p>
    <w:p>
      <w:pPr>
        <w:ind w:left="548" w:right="60" w:hanging="548"/>
        <w:spacing w:after="0" w:line="264" w:lineRule="auto"/>
        <w:tabs>
          <w:tab w:leader="none" w:pos="554"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56" w:lineRule="exact"/>
        <w:rPr>
          <w:rFonts w:ascii="Arial" w:cs="Arial" w:eastAsia="Arial" w:hAnsi="Arial"/>
          <w:sz w:val="15"/>
          <w:szCs w:val="15"/>
          <w:color w:val="auto"/>
        </w:rPr>
      </w:pPr>
    </w:p>
    <w:p>
      <w:pPr>
        <w:ind w:left="548" w:right="80" w:hanging="548"/>
        <w:spacing w:after="0" w:line="284" w:lineRule="auto"/>
        <w:tabs>
          <w:tab w:leader="none" w:pos="554"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pledge of the Equity Interests of Unrestricted Subsidiaries;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transaction effected as part of a Permitted Factoring Transaction;</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transaction where the only consideration paid by the Parent Guarantor or the relevant Restricted Subsidiary is Qualified Equity Interests of the Parent Guarantor;</w:t>
      </w:r>
    </w:p>
    <w:p>
      <w:pPr>
        <w:spacing w:after="0" w:line="205" w:lineRule="exact"/>
        <w:rPr>
          <w:rFonts w:ascii="Arial" w:cs="Arial" w:eastAsia="Arial" w:hAnsi="Arial"/>
          <w:sz w:val="14"/>
          <w:szCs w:val="14"/>
          <w:color w:val="auto"/>
        </w:rPr>
      </w:pPr>
    </w:p>
    <w:p>
      <w:pPr>
        <w:ind w:left="548" w:hanging="548"/>
        <w:spacing w:after="0"/>
        <w:tabs>
          <w:tab w:leader="none" w:pos="5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agreements and transactions entered into or effected in connection with a Qualified Spin Transaction;</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non-exclusive licenses of patents, copyrights, trademarks, trade secrets and other intellectual property;</w:t>
      </w:r>
    </w:p>
    <w:p>
      <w:pPr>
        <w:spacing w:after="0" w:line="193" w:lineRule="exact"/>
        <w:rPr>
          <w:rFonts w:ascii="Arial" w:cs="Arial" w:eastAsia="Arial" w:hAnsi="Arial"/>
          <w:sz w:val="15"/>
          <w:szCs w:val="15"/>
          <w:color w:val="auto"/>
        </w:rPr>
      </w:pPr>
    </w:p>
    <w:p>
      <w:pPr>
        <w:jc w:val="both"/>
        <w:ind w:left="548" w:right="60" w:hanging="548"/>
        <w:spacing w:after="0" w:line="269" w:lineRule="auto"/>
        <w:tabs>
          <w:tab w:leader="none" w:pos="551"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director shall abstain from voting as a director of the Parent Guarantor on any matter involving such other Person; and</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agreements and transactions entered into or effected in connection with the payment of Related Taxes.</w:t>
      </w:r>
    </w:p>
    <w:p>
      <w:pPr>
        <w:spacing w:after="0" w:line="194"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Liens</w:t>
      </w:r>
    </w:p>
    <w:p>
      <w:pPr>
        <w:spacing w:after="0" w:line="194" w:lineRule="exact"/>
        <w:rPr>
          <w:sz w:val="20"/>
          <w:szCs w:val="20"/>
          <w:color w:val="auto"/>
        </w:rPr>
      </w:pPr>
    </w:p>
    <w:p>
      <w:pPr>
        <w:ind w:left="8" w:right="60" w:firstLine="549"/>
        <w:spacing w:after="0" w:line="264" w:lineRule="auto"/>
        <w:rPr>
          <w:sz w:val="20"/>
          <w:szCs w:val="20"/>
          <w:color w:val="auto"/>
        </w:rPr>
      </w:pPr>
      <w:r>
        <w:rPr>
          <w:rFonts w:ascii="Arial" w:cs="Arial" w:eastAsia="Arial" w:hAnsi="Arial"/>
          <w:sz w:val="15"/>
          <w:szCs w:val="15"/>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157" w:lineRule="exact"/>
        <w:rPr>
          <w:sz w:val="20"/>
          <w:szCs w:val="20"/>
          <w:color w:val="auto"/>
        </w:rPr>
      </w:pPr>
    </w:p>
    <w:p>
      <w:pPr>
        <w:ind w:left="548" w:right="180" w:hanging="548"/>
        <w:spacing w:after="0" w:line="284" w:lineRule="auto"/>
        <w:tabs>
          <w:tab w:leader="none" w:pos="554" w:val="left"/>
        </w:tabs>
        <w:numPr>
          <w:ilvl w:val="0"/>
          <w:numId w:val="50"/>
        </w:numPr>
        <w:rPr>
          <w:rFonts w:ascii="Arial" w:cs="Arial" w:eastAsia="Arial" w:hAnsi="Arial"/>
          <w:sz w:val="15"/>
          <w:szCs w:val="15"/>
          <w:color w:val="auto"/>
        </w:rPr>
      </w:pPr>
      <w:r>
        <w:rPr>
          <w:rFonts w:ascii="Arial" w:cs="Arial" w:eastAsia="Arial" w:hAnsi="Arial"/>
          <w:sz w:val="15"/>
          <w:szCs w:val="15"/>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52" w:name="page53"/>
    <w:bookmarkEnd w:id="52"/>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hanging="548"/>
        <w:spacing w:after="0"/>
        <w:tabs>
          <w:tab w:leader="none" w:pos="548" w:val="left"/>
        </w:tabs>
        <w:numPr>
          <w:ilvl w:val="0"/>
          <w:numId w:val="51"/>
        </w:numPr>
        <w:rPr>
          <w:rFonts w:ascii="Arial" w:cs="Arial" w:eastAsia="Arial" w:hAnsi="Arial"/>
          <w:sz w:val="15"/>
          <w:szCs w:val="15"/>
          <w:color w:val="auto"/>
        </w:rPr>
      </w:pPr>
      <w:r>
        <w:rPr>
          <w:rFonts w:ascii="Arial" w:cs="Arial" w:eastAsia="Arial" w:hAnsi="Arial"/>
          <w:sz w:val="15"/>
          <w:szCs w:val="15"/>
          <w:color w:val="auto"/>
        </w:rPr>
        <w:t>Liens on current assets to secure current liabilities;</w:t>
      </w:r>
    </w:p>
    <w:p>
      <w:pPr>
        <w:spacing w:after="0" w:line="193" w:lineRule="exact"/>
        <w:rPr>
          <w:rFonts w:ascii="Arial" w:cs="Arial" w:eastAsia="Arial" w:hAnsi="Arial"/>
          <w:sz w:val="15"/>
          <w:szCs w:val="15"/>
          <w:color w:val="auto"/>
        </w:rPr>
      </w:pPr>
    </w:p>
    <w:p>
      <w:pPr>
        <w:ind w:left="548" w:right="40" w:hanging="548"/>
        <w:spacing w:after="0" w:line="281" w:lineRule="auto"/>
        <w:tabs>
          <w:tab w:leader="none" w:pos="554"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provided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45" w:lineRule="exact"/>
        <w:rPr>
          <w:rFonts w:ascii="Arial" w:cs="Arial" w:eastAsia="Arial" w:hAnsi="Arial"/>
          <w:sz w:val="14"/>
          <w:szCs w:val="14"/>
          <w:color w:val="auto"/>
        </w:rPr>
      </w:pPr>
    </w:p>
    <w:p>
      <w:pPr>
        <w:ind w:left="548" w:hanging="548"/>
        <w:spacing w:after="0" w:line="269" w:lineRule="auto"/>
        <w:tabs>
          <w:tab w:leader="none" w:pos="554" w:val="left"/>
        </w:tabs>
        <w:numPr>
          <w:ilvl w:val="0"/>
          <w:numId w:val="51"/>
        </w:numPr>
        <w:rPr>
          <w:rFonts w:ascii="Arial" w:cs="Arial" w:eastAsia="Arial" w:hAnsi="Arial"/>
          <w:sz w:val="15"/>
          <w:szCs w:val="15"/>
          <w:color w:val="auto"/>
        </w:rPr>
      </w:pPr>
      <w:r>
        <w:rPr>
          <w:rFonts w:ascii="Arial" w:cs="Arial" w:eastAsia="Arial" w:hAnsi="Arial"/>
          <w:sz w:val="15"/>
          <w:szCs w:val="15"/>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51"/>
        </w:numPr>
        <w:rPr>
          <w:rFonts w:ascii="Arial" w:cs="Arial" w:eastAsia="Arial" w:hAnsi="Arial"/>
          <w:sz w:val="15"/>
          <w:szCs w:val="15"/>
          <w:color w:val="auto"/>
        </w:rPr>
      </w:pPr>
      <w:r>
        <w:rPr>
          <w:rFonts w:ascii="Arial" w:cs="Arial" w:eastAsia="Arial" w:hAnsi="Arial"/>
          <w:sz w:val="15"/>
          <w:szCs w:val="15"/>
          <w:color w:val="auto"/>
        </w:rPr>
        <w:t>Liens in favor of the Parent Guarantor or any Restricted Subsidiary;</w:t>
      </w:r>
    </w:p>
    <w:p>
      <w:pPr>
        <w:spacing w:after="0" w:line="193" w:lineRule="exact"/>
        <w:rPr>
          <w:rFonts w:ascii="Arial" w:cs="Arial" w:eastAsia="Arial" w:hAnsi="Arial"/>
          <w:sz w:val="15"/>
          <w:szCs w:val="15"/>
          <w:color w:val="auto"/>
        </w:rPr>
      </w:pPr>
    </w:p>
    <w:p>
      <w:pPr>
        <w:ind w:left="548" w:right="200" w:hanging="548"/>
        <w:spacing w:after="0" w:line="262" w:lineRule="auto"/>
        <w:tabs>
          <w:tab w:leader="none" w:pos="554" w:val="left"/>
        </w:tabs>
        <w:numPr>
          <w:ilvl w:val="0"/>
          <w:numId w:val="51"/>
        </w:numPr>
        <w:rPr>
          <w:rFonts w:ascii="Arial" w:cs="Arial" w:eastAsia="Arial" w:hAnsi="Arial"/>
          <w:sz w:val="15"/>
          <w:szCs w:val="15"/>
          <w:color w:val="auto"/>
        </w:rPr>
      </w:pPr>
      <w:r>
        <w:rPr>
          <w:rFonts w:ascii="Arial" w:cs="Arial" w:eastAsia="Arial" w:hAnsi="Arial"/>
          <w:sz w:val="15"/>
          <w:szCs w:val="15"/>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57" w:lineRule="exact"/>
        <w:rPr>
          <w:rFonts w:ascii="Arial" w:cs="Arial" w:eastAsia="Arial" w:hAnsi="Arial"/>
          <w:sz w:val="15"/>
          <w:szCs w:val="15"/>
          <w:color w:val="auto"/>
        </w:rPr>
      </w:pPr>
    </w:p>
    <w:p>
      <w:pPr>
        <w:ind w:left="548" w:hanging="548"/>
        <w:spacing w:after="0"/>
        <w:tabs>
          <w:tab w:leader="none" w:pos="548" w:val="left"/>
        </w:tabs>
        <w:numPr>
          <w:ilvl w:val="0"/>
          <w:numId w:val="51"/>
        </w:numPr>
        <w:rPr>
          <w:rFonts w:ascii="Arial" w:cs="Arial" w:eastAsia="Arial" w:hAnsi="Arial"/>
          <w:sz w:val="15"/>
          <w:szCs w:val="15"/>
          <w:color w:val="auto"/>
        </w:rPr>
      </w:pPr>
      <w:r>
        <w:rPr>
          <w:rFonts w:ascii="Arial" w:cs="Arial" w:eastAsia="Arial" w:hAnsi="Arial"/>
          <w:sz w:val="15"/>
          <w:szCs w:val="15"/>
          <w:color w:val="auto"/>
        </w:rPr>
        <w:t>Permitted Liens; and</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extension, renewal, or replacement (or successive extensions, renewals or replacements), in whole or in part, of any Lien referred to in any of the foregoing clauses (1), (2),</w:t>
      </w:r>
    </w:p>
    <w:p>
      <w:pPr>
        <w:spacing w:after="0" w:line="32" w:lineRule="exact"/>
        <w:rPr>
          <w:rFonts w:ascii="Arial" w:cs="Arial" w:eastAsia="Arial" w:hAnsi="Arial"/>
          <w:sz w:val="14"/>
          <w:szCs w:val="14"/>
          <w:color w:val="auto"/>
        </w:rPr>
      </w:pPr>
    </w:p>
    <w:p>
      <w:pPr>
        <w:ind w:left="548" w:right="60"/>
        <w:spacing w:after="0" w:line="259" w:lineRule="auto"/>
        <w:rPr>
          <w:rFonts w:ascii="Arial" w:cs="Arial" w:eastAsia="Arial" w:hAnsi="Arial"/>
          <w:sz w:val="14"/>
          <w:szCs w:val="14"/>
          <w:color w:val="auto"/>
        </w:rPr>
      </w:pPr>
      <w:r>
        <w:rPr>
          <w:rFonts w:ascii="Arial" w:cs="Arial" w:eastAsia="Arial" w:hAnsi="Arial"/>
          <w:sz w:val="15"/>
          <w:szCs w:val="15"/>
          <w:color w:val="auto"/>
        </w:rPr>
        <w:t xml:space="preserve">(3), (4), (5), (6) and (7) to the extent such extension, renewal or replacement (or successive extensions, renewals or replacements) involves a Lien described in the foregoing clauses;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60" w:lineRule="exact"/>
        <w:rPr>
          <w:sz w:val="20"/>
          <w:szCs w:val="20"/>
          <w:color w:val="auto"/>
        </w:rPr>
      </w:pPr>
    </w:p>
    <w:p>
      <w:pPr>
        <w:ind w:left="8" w:right="80" w:firstLine="549"/>
        <w:spacing w:after="0" w:line="260" w:lineRule="auto"/>
        <w:rPr>
          <w:sz w:val="20"/>
          <w:szCs w:val="20"/>
          <w:color w:val="auto"/>
        </w:rPr>
      </w:pPr>
      <w:r>
        <w:rPr>
          <w:rFonts w:ascii="Arial" w:cs="Arial" w:eastAsia="Arial" w:hAnsi="Arial"/>
          <w:sz w:val="15"/>
          <w:szCs w:val="15"/>
          <w:color w:val="auto"/>
        </w:rPr>
        <w:t>Notwithstanding the foregoing provisions of this covenant,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 (c) in the first paragraph of the covenant described below under the caption “—Limitations on Sale-Leaseback Transactions”) does not exceed 15% of Consolidated Net Worth, as shown on a consolidated balance sheet, as of a date not more than 150 days prior to the proposed transaction, prepared by the Parent Guarantor in accordance with GAAP.</w:t>
      </w:r>
    </w:p>
    <w:p>
      <w:pPr>
        <w:spacing w:after="0" w:line="161"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Sale-Leaseback Transactions</w:t>
      </w:r>
    </w:p>
    <w:p>
      <w:pPr>
        <w:spacing w:after="0" w:line="194" w:lineRule="exact"/>
        <w:rPr>
          <w:sz w:val="20"/>
          <w:szCs w:val="20"/>
          <w:color w:val="auto"/>
        </w:rPr>
      </w:pPr>
    </w:p>
    <w:p>
      <w:pPr>
        <w:ind w:left="8" w:right="100" w:firstLine="549"/>
        <w:spacing w:after="0" w:line="284" w:lineRule="auto"/>
        <w:rPr>
          <w:sz w:val="20"/>
          <w:szCs w:val="20"/>
          <w:color w:val="auto"/>
        </w:rPr>
      </w:pPr>
      <w:r>
        <w:rPr>
          <w:rFonts w:ascii="Arial" w:cs="Arial" w:eastAsia="Arial" w:hAnsi="Arial"/>
          <w:sz w:val="15"/>
          <w:szCs w:val="15"/>
          <w:color w:val="auto"/>
        </w:rPr>
        <w:t>The Parent Guarantor shall not, and shall not permit any Restricted Subsidiary to, enter into any Sale-Leaseback Transaction with any Person (other than the Parent Guarantor or a Restricted Subsidiary) unless: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53" w:name="page54"/>
    <w:bookmarkEnd w:id="53"/>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200" w:hanging="548"/>
        <w:spacing w:after="0" w:line="297" w:lineRule="auto"/>
        <w:tabs>
          <w:tab w:leader="none" w:pos="546" w:val="left"/>
        </w:tabs>
        <w:numPr>
          <w:ilvl w:val="0"/>
          <w:numId w:val="52"/>
        </w:numPr>
        <w:rPr>
          <w:rFonts w:ascii="Arial" w:cs="Arial" w:eastAsia="Arial" w:hAnsi="Arial"/>
          <w:sz w:val="14"/>
          <w:szCs w:val="14"/>
          <w:color w:val="auto"/>
        </w:rPr>
      </w:pPr>
      <w:r>
        <w:rPr>
          <w:rFonts w:ascii="Arial" w:cs="Arial" w:eastAsia="Arial" w:hAnsi="Arial"/>
          <w:sz w:val="14"/>
          <w:szCs w:val="14"/>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the covenant described above under the caption “—Limitation on Liens” without equally and ratably securing the Notes pursuant to such covenant;</w:t>
      </w:r>
    </w:p>
    <w:p>
      <w:pPr>
        <w:spacing w:after="0" w:line="134" w:lineRule="exact"/>
        <w:rPr>
          <w:rFonts w:ascii="Arial" w:cs="Arial" w:eastAsia="Arial" w:hAnsi="Arial"/>
          <w:sz w:val="14"/>
          <w:szCs w:val="14"/>
          <w:color w:val="auto"/>
        </w:rPr>
      </w:pPr>
    </w:p>
    <w:p>
      <w:pPr>
        <w:ind w:left="548" w:hanging="548"/>
        <w:spacing w:after="0" w:line="262" w:lineRule="auto"/>
        <w:tabs>
          <w:tab w:leader="none" w:pos="554" w:val="left"/>
        </w:tabs>
        <w:numPr>
          <w:ilvl w:val="0"/>
          <w:numId w:val="52"/>
        </w:numPr>
        <w:rPr>
          <w:rFonts w:ascii="Arial" w:cs="Arial" w:eastAsia="Arial" w:hAnsi="Arial"/>
          <w:sz w:val="15"/>
          <w:szCs w:val="15"/>
          <w:color w:val="auto"/>
        </w:rPr>
      </w:pPr>
      <w:r>
        <w:rPr>
          <w:rFonts w:ascii="Arial" w:cs="Arial" w:eastAsia="Arial" w:hAnsi="Arial"/>
          <w:sz w:val="15"/>
          <w:szCs w:val="15"/>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157" w:lineRule="exact"/>
        <w:rPr>
          <w:rFonts w:ascii="Arial" w:cs="Arial" w:eastAsia="Arial" w:hAnsi="Arial"/>
          <w:sz w:val="15"/>
          <w:szCs w:val="15"/>
          <w:color w:val="auto"/>
        </w:rPr>
      </w:pPr>
    </w:p>
    <w:p>
      <w:pPr>
        <w:ind w:left="548" w:right="240" w:hanging="548"/>
        <w:spacing w:after="0" w:line="282" w:lineRule="auto"/>
        <w:tabs>
          <w:tab w:leader="none" w:pos="557" w:val="left"/>
        </w:tabs>
        <w:numPr>
          <w:ilvl w:val="0"/>
          <w:numId w:val="52"/>
        </w:numPr>
        <w:rPr>
          <w:rFonts w:ascii="Arial" w:cs="Arial" w:eastAsia="Arial" w:hAnsi="Arial"/>
          <w:sz w:val="14"/>
          <w:szCs w:val="14"/>
          <w:color w:val="auto"/>
        </w:rPr>
      </w:pPr>
      <w:r>
        <w:rPr>
          <w:rFonts w:ascii="Arial" w:cs="Arial" w:eastAsia="Arial" w:hAnsi="Arial"/>
          <w:sz w:val="14"/>
          <w:szCs w:val="14"/>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47"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Designation of Unrestricted Subsidiaries</w:t>
      </w:r>
    </w:p>
    <w:p>
      <w:pPr>
        <w:spacing w:after="0" w:line="194" w:lineRule="exact"/>
        <w:rPr>
          <w:sz w:val="20"/>
          <w:szCs w:val="20"/>
          <w:color w:val="auto"/>
        </w:rPr>
      </w:pPr>
    </w:p>
    <w:p>
      <w:pPr>
        <w:ind w:left="8" w:right="340" w:firstLine="549"/>
        <w:spacing w:after="0" w:line="322" w:lineRule="auto"/>
        <w:rPr>
          <w:sz w:val="20"/>
          <w:szCs w:val="20"/>
          <w:color w:val="auto"/>
        </w:rPr>
      </w:pPr>
      <w:r>
        <w:rPr>
          <w:rFonts w:ascii="Arial" w:cs="Arial" w:eastAsia="Arial" w:hAnsi="Arial"/>
          <w:sz w:val="14"/>
          <w:szCs w:val="14"/>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17" w:lineRule="exact"/>
        <w:rPr>
          <w:sz w:val="20"/>
          <w:szCs w:val="20"/>
          <w:color w:val="auto"/>
        </w:rPr>
      </w:pPr>
    </w:p>
    <w:p>
      <w:pPr>
        <w:ind w:left="548" w:hanging="548"/>
        <w:spacing w:after="0"/>
        <w:tabs>
          <w:tab w:leader="none" w:pos="5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no Default shall have occurred and be continuing at the time of or after giving effect to such Designation; and</w:t>
      </w:r>
    </w:p>
    <w:p>
      <w:pPr>
        <w:spacing w:after="0" w:line="193" w:lineRule="exact"/>
        <w:rPr>
          <w:rFonts w:ascii="Arial" w:cs="Arial" w:eastAsia="Arial" w:hAnsi="Arial"/>
          <w:sz w:val="15"/>
          <w:szCs w:val="15"/>
          <w:color w:val="auto"/>
        </w:rPr>
      </w:pPr>
    </w:p>
    <w:p>
      <w:pPr>
        <w:ind w:left="548" w:right="120" w:hanging="548"/>
        <w:spacing w:after="0" w:line="269" w:lineRule="auto"/>
        <w:tabs>
          <w:tab w:leader="none" w:pos="554"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Parent Guarantor would be permitted to make, at the time of such Designation, (a) a Permitted Investment or (b) an Investment pursuant to the covenant described under “— Limitation on Restricted Payments” above, in either case, in an amount (the “Designation Amount”) equal to the Fair Market Value of the Parent Guarantor’s proportionate interest in such Subsidiary on such date.</w:t>
      </w:r>
    </w:p>
    <w:p>
      <w:pPr>
        <w:spacing w:after="0" w:line="152"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No Subsidiary shall be Designated as an “Unrestricted Subsidiary” unless:</w:t>
      </w:r>
    </w:p>
    <w:p>
      <w:pPr>
        <w:spacing w:after="0" w:line="194" w:lineRule="exact"/>
        <w:rPr>
          <w:sz w:val="20"/>
          <w:szCs w:val="20"/>
          <w:color w:val="auto"/>
        </w:rPr>
      </w:pPr>
    </w:p>
    <w:p>
      <w:pPr>
        <w:ind w:left="548" w:right="20" w:hanging="548"/>
        <w:spacing w:after="0" w:line="262" w:lineRule="auto"/>
        <w:tabs>
          <w:tab w:leader="none" w:pos="554" w:val="left"/>
        </w:tabs>
        <w:numPr>
          <w:ilvl w:val="0"/>
          <w:numId w:val="54"/>
        </w:numPr>
        <w:rPr>
          <w:rFonts w:ascii="Arial" w:cs="Arial" w:eastAsia="Arial" w:hAnsi="Arial"/>
          <w:sz w:val="15"/>
          <w:szCs w:val="15"/>
          <w:color w:val="auto"/>
        </w:rPr>
      </w:pPr>
      <w:r>
        <w:rPr>
          <w:rFonts w:ascii="Arial" w:cs="Arial" w:eastAsia="Arial" w:hAnsi="Arial"/>
          <w:sz w:val="15"/>
          <w:szCs w:val="15"/>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the covenants described under “—Limitation on Additional Indebtedness” and “—Limitation on Restricted Payments”;</w:t>
      </w:r>
    </w:p>
    <w:p>
      <w:pPr>
        <w:spacing w:after="0" w:line="157" w:lineRule="exact"/>
        <w:rPr>
          <w:rFonts w:ascii="Arial" w:cs="Arial" w:eastAsia="Arial" w:hAnsi="Arial"/>
          <w:sz w:val="15"/>
          <w:szCs w:val="15"/>
          <w:color w:val="auto"/>
        </w:rPr>
      </w:pPr>
    </w:p>
    <w:p>
      <w:pPr>
        <w:ind w:left="548" w:right="40" w:hanging="548"/>
        <w:spacing w:after="0" w:line="264" w:lineRule="auto"/>
        <w:tabs>
          <w:tab w:leader="none" w:pos="554" w:val="left"/>
        </w:tabs>
        <w:numPr>
          <w:ilvl w:val="0"/>
          <w:numId w:val="54"/>
        </w:numPr>
        <w:rPr>
          <w:rFonts w:ascii="Arial" w:cs="Arial" w:eastAsia="Arial" w:hAnsi="Arial"/>
          <w:sz w:val="15"/>
          <w:szCs w:val="15"/>
          <w:color w:val="auto"/>
        </w:rPr>
      </w:pPr>
      <w:r>
        <w:rPr>
          <w:rFonts w:ascii="Arial" w:cs="Arial" w:eastAsia="Arial" w:hAnsi="Arial"/>
          <w:sz w:val="15"/>
          <w:szCs w:val="15"/>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54" w:name="page55"/>
    <w:bookmarkEnd w:id="54"/>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40" w:hanging="548"/>
        <w:spacing w:after="0" w:line="262" w:lineRule="auto"/>
        <w:tabs>
          <w:tab w:leader="none" w:pos="554" w:val="left"/>
        </w:tabs>
        <w:numPr>
          <w:ilvl w:val="0"/>
          <w:numId w:val="55"/>
        </w:numPr>
        <w:rPr>
          <w:rFonts w:ascii="Arial" w:cs="Arial" w:eastAsia="Arial" w:hAnsi="Arial"/>
          <w:sz w:val="15"/>
          <w:szCs w:val="15"/>
          <w:color w:val="auto"/>
        </w:rPr>
      </w:pPr>
      <w:r>
        <w:rPr>
          <w:rFonts w:ascii="Arial" w:cs="Arial" w:eastAsia="Arial" w:hAnsi="Arial"/>
          <w:sz w:val="15"/>
          <w:szCs w:val="15"/>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57" w:lineRule="exact"/>
        <w:rPr>
          <w:sz w:val="20"/>
          <w:szCs w:val="20"/>
          <w:color w:val="auto"/>
        </w:rPr>
      </w:pPr>
    </w:p>
    <w:p>
      <w:pPr>
        <w:ind w:left="8" w:right="100" w:firstLine="549"/>
        <w:spacing w:after="0" w:line="260" w:lineRule="auto"/>
        <w:rPr>
          <w:sz w:val="20"/>
          <w:szCs w:val="20"/>
          <w:color w:val="auto"/>
        </w:rPr>
      </w:pPr>
      <w:r>
        <w:rPr>
          <w:rFonts w:ascii="Arial" w:cs="Arial" w:eastAsia="Arial" w:hAnsi="Arial"/>
          <w:sz w:val="15"/>
          <w:szCs w:val="15"/>
          <w:color w:val="auto"/>
        </w:rPr>
        <w:t>Any such Designation by the Board of Directors of the Parent Guarantor shall be evidenced to the Trustee by filing with the Trustee a resolution of the Board of Directors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the covenant described under “—Limitation on Additional Indebtedness” or the Lien is not permitted under the covenant described under “—Limitation on Liens,” the Parent Guarantor shall be in default of the applicable covenant.</w:t>
      </w:r>
    </w:p>
    <w:p>
      <w:pPr>
        <w:spacing w:after="0" w:line="16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The Board of Directors of the Parent Guarantor may redesignate an Unrestricted Subsidiary as a Restricted Subsidiary (a “Redesignation”) only if:</w:t>
      </w:r>
    </w:p>
    <w:p>
      <w:pPr>
        <w:spacing w:after="0" w:line="194" w:lineRule="exact"/>
        <w:rPr>
          <w:sz w:val="20"/>
          <w:szCs w:val="20"/>
          <w:color w:val="auto"/>
        </w:rPr>
      </w:pPr>
    </w:p>
    <w:p>
      <w:pPr>
        <w:ind w:left="548" w:hanging="548"/>
        <w:spacing w:after="0"/>
        <w:tabs>
          <w:tab w:leader="none" w:pos="548" w:val="left"/>
        </w:tabs>
        <w:numPr>
          <w:ilvl w:val="0"/>
          <w:numId w:val="56"/>
        </w:numPr>
        <w:rPr>
          <w:rFonts w:ascii="Arial" w:cs="Arial" w:eastAsia="Arial" w:hAnsi="Arial"/>
          <w:sz w:val="15"/>
          <w:szCs w:val="15"/>
          <w:color w:val="auto"/>
        </w:rPr>
      </w:pPr>
      <w:r>
        <w:rPr>
          <w:rFonts w:ascii="Arial" w:cs="Arial" w:eastAsia="Arial" w:hAnsi="Arial"/>
          <w:sz w:val="15"/>
          <w:szCs w:val="15"/>
          <w:color w:val="auto"/>
        </w:rPr>
        <w:t>no Default shall have occurred and be continuing at the time of and after giving effect to such Redesignation; and</w:t>
      </w:r>
    </w:p>
    <w:p>
      <w:pPr>
        <w:spacing w:after="0" w:line="193" w:lineRule="exact"/>
        <w:rPr>
          <w:rFonts w:ascii="Arial" w:cs="Arial" w:eastAsia="Arial" w:hAnsi="Arial"/>
          <w:sz w:val="15"/>
          <w:szCs w:val="15"/>
          <w:color w:val="auto"/>
        </w:rPr>
      </w:pPr>
    </w:p>
    <w:p>
      <w:pPr>
        <w:ind w:left="548" w:right="260" w:hanging="548"/>
        <w:spacing w:after="0" w:line="284" w:lineRule="auto"/>
        <w:tabs>
          <w:tab w:leader="none" w:pos="554" w:val="left"/>
        </w:tabs>
        <w:numPr>
          <w:ilvl w:val="0"/>
          <w:numId w:val="56"/>
        </w:numPr>
        <w:rPr>
          <w:rFonts w:ascii="Arial" w:cs="Arial" w:eastAsia="Arial" w:hAnsi="Arial"/>
          <w:sz w:val="15"/>
          <w:szCs w:val="15"/>
          <w:color w:val="auto"/>
        </w:rPr>
      </w:pPr>
      <w:r>
        <w:rPr>
          <w:rFonts w:ascii="Arial" w:cs="Arial" w:eastAsia="Arial" w:hAnsi="Arial"/>
          <w:sz w:val="15"/>
          <w:szCs w:val="15"/>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41" w:lineRule="exact"/>
        <w:rPr>
          <w:sz w:val="20"/>
          <w:szCs w:val="20"/>
          <w:color w:val="auto"/>
        </w:rPr>
      </w:pPr>
    </w:p>
    <w:p>
      <w:pPr>
        <w:ind w:left="8" w:right="680" w:firstLine="549"/>
        <w:spacing w:after="0" w:line="284" w:lineRule="auto"/>
        <w:rPr>
          <w:sz w:val="20"/>
          <w:szCs w:val="20"/>
          <w:color w:val="auto"/>
        </w:rPr>
      </w:pPr>
      <w:r>
        <w:rPr>
          <w:rFonts w:ascii="Arial" w:cs="Arial" w:eastAsia="Arial" w:hAnsi="Arial"/>
          <w:sz w:val="15"/>
          <w:szCs w:val="15"/>
          <w:color w:val="auto"/>
        </w:rPr>
        <w:t>Any such Redesignation shall be evidenced to the Trustee by filing with the Trustee a resolution of the Board of Directors of the Parent Guarantor giving effect to such designation and an Officer’s Certificate certifying that such Redesignation complies with the foregoing conditions.</w:t>
      </w:r>
    </w:p>
    <w:p>
      <w:pPr>
        <w:spacing w:after="0" w:line="141"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Limitation on Mergers, Consolidations, Etc.</w:t>
      </w:r>
    </w:p>
    <w:p>
      <w:pPr>
        <w:spacing w:after="0" w:line="194" w:lineRule="exact"/>
        <w:rPr>
          <w:sz w:val="20"/>
          <w:szCs w:val="20"/>
          <w:color w:val="auto"/>
        </w:rPr>
      </w:pPr>
    </w:p>
    <w:p>
      <w:pPr>
        <w:ind w:left="8" w:right="760" w:firstLine="549"/>
        <w:spacing w:after="0" w:line="284" w:lineRule="auto"/>
        <w:rPr>
          <w:sz w:val="20"/>
          <w:szCs w:val="20"/>
          <w:color w:val="auto"/>
        </w:rPr>
      </w:pPr>
      <w:r>
        <w:rPr>
          <w:rFonts w:ascii="Arial" w:cs="Arial" w:eastAsia="Arial" w:hAnsi="Arial"/>
          <w:sz w:val="15"/>
          <w:szCs w:val="15"/>
          <w:color w:val="auto"/>
        </w:rPr>
        <w:t>Neither the Issuer nor any Guarantor shall consolidate or amalgamate with, or merge into, any other Person, or convey, transfer or lease its properties and assets as, or substantially as, an entirety to any Person unless:</w:t>
      </w:r>
    </w:p>
    <w:p>
      <w:pPr>
        <w:spacing w:after="0" w:line="141" w:lineRule="exact"/>
        <w:rPr>
          <w:sz w:val="20"/>
          <w:szCs w:val="20"/>
          <w:color w:val="auto"/>
        </w:rPr>
      </w:pPr>
    </w:p>
    <w:p>
      <w:pPr>
        <w:ind w:left="548" w:right="60" w:hanging="548"/>
        <w:spacing w:after="0" w:line="281" w:lineRule="auto"/>
        <w:tabs>
          <w:tab w:leader="none" w:pos="554"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in form satisfactory to the Trustee, (a) in the case of a Successor Person to the Issuer, the due and punctual payment of the principal of and any premium and interest on all the Notes and the performance or observance of every covenant of the Indenture and any registration rights agreement then in effect on the part of the Issuer to be performed or observed or (b) in the case of a Successor Person to such Guarantor, all of the obligations of such Guarantor under the Guarantee of such Guarantor and the performance or observance of every covenant of the Indenture and any registration rights agreement then in effect on the part of such Guarantor to be performed or observed;</w:t>
      </w:r>
    </w:p>
    <w:p>
      <w:pPr>
        <w:spacing w:after="0" w:line="145" w:lineRule="exact"/>
        <w:rPr>
          <w:rFonts w:ascii="Arial" w:cs="Arial" w:eastAsia="Arial" w:hAnsi="Arial"/>
          <w:sz w:val="14"/>
          <w:szCs w:val="14"/>
          <w:color w:val="auto"/>
        </w:rPr>
      </w:pPr>
    </w:p>
    <w:p>
      <w:pPr>
        <w:ind w:left="548" w:hanging="548"/>
        <w:spacing w:after="0"/>
        <w:tabs>
          <w:tab w:leader="none" w:pos="5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immediately after giving effect to such transaction, no Event of Default and no Default shall have occurred and be continuing; and</w:t>
      </w:r>
    </w:p>
    <w:p>
      <w:pPr>
        <w:spacing w:after="0" w:line="193" w:lineRule="exact"/>
        <w:rPr>
          <w:rFonts w:ascii="Arial" w:cs="Arial" w:eastAsia="Arial" w:hAnsi="Arial"/>
          <w:sz w:val="15"/>
          <w:szCs w:val="15"/>
          <w:color w:val="auto"/>
        </w:rPr>
      </w:pPr>
    </w:p>
    <w:p>
      <w:pPr>
        <w:ind w:left="548" w:hanging="548"/>
        <w:spacing w:after="0" w:line="269" w:lineRule="auto"/>
        <w:tabs>
          <w:tab w:leader="none" w:pos="554"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5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55" w:name="page56"/>
    <w:bookmarkEnd w:id="55"/>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120" w:firstLine="549"/>
        <w:spacing w:after="0" w:line="269" w:lineRule="auto"/>
        <w:rPr>
          <w:sz w:val="20"/>
          <w:szCs w:val="20"/>
          <w:color w:val="auto"/>
        </w:rPr>
      </w:pPr>
      <w:r>
        <w:rPr>
          <w:rFonts w:ascii="Arial" w:cs="Arial" w:eastAsia="Arial" w:hAnsi="Arial"/>
          <w:sz w:val="15"/>
          <w:szCs w:val="15"/>
          <w:color w:val="auto"/>
        </w:rPr>
        <w:t>However, clause (1) of such covenant shall not apply in circumstances under which the Indenture provides for the release of the Guarantee of such Guarantor as described under the caption “—Guarantees.” In addition, the foregoing notwithstanding, the restrictions in the preceding paragraph will not apply to any disposition of assets resulting from a Qualified Spin Transaction that is effected in accordance with the definition of that term.</w:t>
      </w:r>
    </w:p>
    <w:p>
      <w:pPr>
        <w:spacing w:after="0" w:line="152" w:lineRule="exact"/>
        <w:rPr>
          <w:sz w:val="20"/>
          <w:szCs w:val="20"/>
          <w:color w:val="auto"/>
        </w:rPr>
      </w:pPr>
    </w:p>
    <w:p>
      <w:pPr>
        <w:ind w:left="8" w:right="40" w:firstLine="549"/>
        <w:spacing w:after="0" w:line="311" w:lineRule="auto"/>
        <w:rPr>
          <w:sz w:val="20"/>
          <w:szCs w:val="20"/>
          <w:color w:val="auto"/>
        </w:rPr>
      </w:pPr>
      <w:r>
        <w:rPr>
          <w:rFonts w:ascii="Arial" w:cs="Arial" w:eastAsia="Arial" w:hAnsi="Arial"/>
          <w:sz w:val="13"/>
          <w:szCs w:val="13"/>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the foregoing covenant,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 and dissolve.</w:t>
      </w:r>
    </w:p>
    <w:p>
      <w:pPr>
        <w:spacing w:after="0" w:line="130" w:lineRule="exact"/>
        <w:rPr>
          <w:sz w:val="20"/>
          <w:szCs w:val="20"/>
          <w:color w:val="auto"/>
        </w:rPr>
      </w:pPr>
    </w:p>
    <w:p>
      <w:pPr>
        <w:ind w:left="268"/>
        <w:spacing w:after="0"/>
        <w:rPr>
          <w:sz w:val="20"/>
          <w:szCs w:val="20"/>
          <w:color w:val="auto"/>
        </w:rPr>
      </w:pPr>
      <w:r>
        <w:rPr>
          <w:rFonts w:ascii="Arial" w:cs="Arial" w:eastAsia="Arial" w:hAnsi="Arial"/>
          <w:sz w:val="15"/>
          <w:szCs w:val="15"/>
          <w:b w:val="1"/>
          <w:bCs w:val="1"/>
          <w:i w:val="1"/>
          <w:iCs w:val="1"/>
          <w:color w:val="auto"/>
        </w:rPr>
        <w:t>Reports</w:t>
      </w:r>
    </w:p>
    <w:p>
      <w:pPr>
        <w:spacing w:after="0" w:line="194" w:lineRule="exact"/>
        <w:rPr>
          <w:sz w:val="20"/>
          <w:szCs w:val="20"/>
          <w:color w:val="auto"/>
        </w:rPr>
      </w:pPr>
    </w:p>
    <w:p>
      <w:pPr>
        <w:ind w:left="8" w:right="20" w:firstLine="549"/>
        <w:spacing w:after="0" w:line="269" w:lineRule="auto"/>
        <w:rPr>
          <w:sz w:val="20"/>
          <w:szCs w:val="20"/>
          <w:color w:val="auto"/>
        </w:rPr>
      </w:pPr>
      <w:r>
        <w:rPr>
          <w:rFonts w:ascii="Arial" w:cs="Arial" w:eastAsia="Arial" w:hAnsi="Arial"/>
          <w:sz w:val="15"/>
          <w:szCs w:val="15"/>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52" w:lineRule="exact"/>
        <w:rPr>
          <w:sz w:val="20"/>
          <w:szCs w:val="20"/>
          <w:color w:val="auto"/>
        </w:rPr>
      </w:pPr>
    </w:p>
    <w:p>
      <w:pPr>
        <w:ind w:left="548" w:hanging="548"/>
        <w:spacing w:after="0"/>
        <w:tabs>
          <w:tab w:leader="none" w:pos="5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all quarterly and annual reports that would be required to be filed with the SEC on Forms 10-Q and 10-K if the Parent Guarantor were required to file such reports; and</w:t>
      </w:r>
    </w:p>
    <w:p>
      <w:pPr>
        <w:spacing w:after="0" w:line="205" w:lineRule="exact"/>
        <w:rPr>
          <w:rFonts w:ascii="Arial" w:cs="Arial" w:eastAsia="Arial" w:hAnsi="Arial"/>
          <w:sz w:val="14"/>
          <w:szCs w:val="14"/>
          <w:color w:val="auto"/>
        </w:rPr>
      </w:pPr>
    </w:p>
    <w:p>
      <w:pPr>
        <w:ind w:left="548" w:hanging="548"/>
        <w:spacing w:after="0"/>
        <w:tabs>
          <w:tab w:leader="none" w:pos="5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all current reports that would be required to be filed with the SEC on Form 8-K if the Parent Guarantor were required to file such reports.</w:t>
      </w:r>
    </w:p>
    <w:p>
      <w:pPr>
        <w:spacing w:after="0" w:line="194" w:lineRule="exact"/>
        <w:rPr>
          <w:sz w:val="20"/>
          <w:szCs w:val="20"/>
          <w:color w:val="auto"/>
        </w:rPr>
      </w:pPr>
    </w:p>
    <w:p>
      <w:pPr>
        <w:ind w:left="8" w:right="160" w:firstLine="549"/>
        <w:spacing w:after="0" w:line="264" w:lineRule="auto"/>
        <w:rPr>
          <w:sz w:val="20"/>
          <w:szCs w:val="20"/>
          <w:color w:val="auto"/>
        </w:rPr>
      </w:pPr>
      <w:r>
        <w:rPr>
          <w:rFonts w:ascii="Arial" w:cs="Arial" w:eastAsia="Arial" w:hAnsi="Arial"/>
          <w:sz w:val="15"/>
          <w:szCs w:val="15"/>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57" w:lineRule="exact"/>
        <w:rPr>
          <w:sz w:val="20"/>
          <w:szCs w:val="20"/>
          <w:color w:val="auto"/>
        </w:rPr>
      </w:pPr>
    </w:p>
    <w:p>
      <w:pPr>
        <w:ind w:left="8" w:right="300" w:firstLine="549"/>
        <w:spacing w:after="0" w:line="284" w:lineRule="auto"/>
        <w:rPr>
          <w:sz w:val="20"/>
          <w:szCs w:val="20"/>
          <w:color w:val="auto"/>
        </w:rPr>
      </w:pPr>
      <w:r>
        <w:rPr>
          <w:rFonts w:ascii="Arial" w:cs="Arial" w:eastAsia="Arial" w:hAnsi="Arial"/>
          <w:sz w:val="15"/>
          <w:szCs w:val="15"/>
          <w:color w:val="auto"/>
        </w:rPr>
        <w:t>For so long as any Notes remain outstanding and constitute “restricted securities” under Rule 144, the Parent Guarantor will furnish the holders of the Notes, and to securities analysts and prospective investors, upon their request, the information required to be delivered pursuant to Rule 144(d)(4) under the Securities Act.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Events of Default</w:t>
      </w:r>
    </w:p>
    <w:p>
      <w:pPr>
        <w:spacing w:after="0" w:line="198" w:lineRule="exact"/>
        <w:rPr>
          <w:sz w:val="20"/>
          <w:szCs w:val="20"/>
          <w:color w:val="auto"/>
        </w:rPr>
      </w:pPr>
    </w:p>
    <w:p>
      <w:pPr>
        <w:ind w:left="548"/>
        <w:spacing w:after="0"/>
        <w:rPr>
          <w:sz w:val="20"/>
          <w:szCs w:val="20"/>
          <w:color w:val="auto"/>
        </w:rPr>
      </w:pPr>
      <w:r>
        <w:rPr>
          <w:rFonts w:ascii="Arial" w:cs="Arial" w:eastAsia="Arial" w:hAnsi="Arial"/>
          <w:sz w:val="15"/>
          <w:szCs w:val="15"/>
          <w:color w:val="auto"/>
        </w:rPr>
        <w:t>Each of the following is an “Event of Default” with respect to the Notes:</w:t>
      </w:r>
    </w:p>
    <w:p>
      <w:pPr>
        <w:spacing w:after="0" w:line="194" w:lineRule="exact"/>
        <w:rPr>
          <w:sz w:val="20"/>
          <w:szCs w:val="20"/>
          <w:color w:val="auto"/>
        </w:rPr>
      </w:pPr>
    </w:p>
    <w:p>
      <w:pPr>
        <w:ind w:left="548" w:hanging="548"/>
        <w:spacing w:after="0"/>
        <w:tabs>
          <w:tab w:leader="none" w:pos="5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failure to pay interest on any of the Notes when the same becomes due and payable and the continuance of any such failure for 30 days;</w:t>
      </w:r>
    </w:p>
    <w:p>
      <w:pPr>
        <w:spacing w:after="0" w:line="193" w:lineRule="exact"/>
        <w:rPr>
          <w:rFonts w:ascii="Arial" w:cs="Arial" w:eastAsia="Arial" w:hAnsi="Arial"/>
          <w:sz w:val="15"/>
          <w:szCs w:val="15"/>
          <w:color w:val="auto"/>
        </w:rPr>
      </w:pPr>
    </w:p>
    <w:p>
      <w:pPr>
        <w:ind w:left="548" w:hanging="548"/>
        <w:spacing w:after="0" w:line="284" w:lineRule="auto"/>
        <w:tabs>
          <w:tab w:leader="none" w:pos="554"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failure to pay principal of or premium, if any, on any of the Notes when it becomes due and payable, whether at Stated Maturity, upon redemption, required purchase, acceleration or otherwise;</w:t>
      </w:r>
    </w:p>
    <w:p>
      <w:pPr>
        <w:spacing w:after="0" w:line="141" w:lineRule="exact"/>
        <w:rPr>
          <w:rFonts w:ascii="Arial" w:cs="Arial" w:eastAsia="Arial" w:hAnsi="Arial"/>
          <w:sz w:val="15"/>
          <w:szCs w:val="15"/>
          <w:color w:val="auto"/>
        </w:rPr>
      </w:pPr>
    </w:p>
    <w:p>
      <w:pPr>
        <w:jc w:val="both"/>
        <w:ind w:left="548" w:right="220" w:hanging="548"/>
        <w:spacing w:after="0" w:line="269" w:lineRule="auto"/>
        <w:tabs>
          <w:tab w:leader="none" w:pos="554"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failure by the Issuer or any Guarantors to comply with any of their respective agreements or covenants described above under “—Certain Covenants—Limitation on Mergers, Consolidations, Etc.,” or failure by the Issuer to comply in respect of its obligations to make a Change of Control Offer for the Notes as described under “—Change of Control Repurchase Event”;</w:t>
      </w:r>
    </w:p>
    <w:p>
      <w:pPr>
        <w:spacing w:after="0" w:line="152" w:lineRule="exact"/>
        <w:rPr>
          <w:rFonts w:ascii="Arial" w:cs="Arial" w:eastAsia="Arial" w:hAnsi="Arial"/>
          <w:sz w:val="15"/>
          <w:szCs w:val="15"/>
          <w:color w:val="auto"/>
        </w:rPr>
      </w:pPr>
    </w:p>
    <w:p>
      <w:pPr>
        <w:ind w:left="548" w:right="160" w:hanging="548"/>
        <w:spacing w:after="0" w:line="322" w:lineRule="auto"/>
        <w:tabs>
          <w:tab w:leader="none" w:pos="554"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except with respect to the covenant described under the heading “—Certain Covenants—Reports” or as described in clause (3) above, failure by the Parent Guarantor or any Restricted Subsidiary to comply with any other covenant or agreement contained in the Indenture and continuance of this failure for 60 days after</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56" w:name="page57"/>
    <w:bookmarkEnd w:id="56"/>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220"/>
        <w:spacing w:after="0" w:line="284" w:lineRule="auto"/>
        <w:rPr>
          <w:sz w:val="20"/>
          <w:szCs w:val="20"/>
          <w:color w:val="auto"/>
        </w:rPr>
      </w:pPr>
      <w:r>
        <w:rPr>
          <w:rFonts w:ascii="Arial" w:cs="Arial" w:eastAsia="Arial" w:hAnsi="Arial"/>
          <w:sz w:val="15"/>
          <w:szCs w:val="15"/>
          <w:color w:val="auto"/>
        </w:rPr>
        <w:t>notice of the failure has been given to the Issuer by the Trustee or to the Issuer and the Trustee by the Holders of at least 25.0% of the aggregate principal amount of the Notes then outstanding, or</w:t>
      </w:r>
    </w:p>
    <w:p>
      <w:pPr>
        <w:spacing w:after="0" w:line="141" w:lineRule="exact"/>
        <w:rPr>
          <w:sz w:val="20"/>
          <w:szCs w:val="20"/>
          <w:color w:val="auto"/>
        </w:rPr>
      </w:pPr>
    </w:p>
    <w:p>
      <w:pPr>
        <w:ind w:left="1108" w:right="240" w:hanging="559"/>
        <w:spacing w:after="0" w:line="322" w:lineRule="auto"/>
        <w:tabs>
          <w:tab w:leader="none" w:pos="1115" w:val="left"/>
        </w:tabs>
        <w:numPr>
          <w:ilvl w:val="1"/>
          <w:numId w:val="60"/>
        </w:numPr>
        <w:rPr>
          <w:rFonts w:ascii="Arial" w:cs="Arial" w:eastAsia="Arial" w:hAnsi="Arial"/>
          <w:sz w:val="14"/>
          <w:szCs w:val="14"/>
          <w:color w:val="auto"/>
        </w:rPr>
      </w:pPr>
      <w:r>
        <w:rPr>
          <w:rFonts w:ascii="Arial" w:cs="Arial" w:eastAsia="Arial" w:hAnsi="Arial"/>
          <w:sz w:val="14"/>
          <w:szCs w:val="14"/>
          <w:color w:val="auto"/>
        </w:rPr>
        <w:t>failure by the Parent Guarantor for 180 days after notice of the failure has been given to the Issuer by the Trustee or by the Holders of at least 25.0% of the aggregate principal amount of the Notes then outstanding to comply with the covenant described under the heading “—Certain Covenants—Reports”;</w:t>
      </w:r>
    </w:p>
    <w:p>
      <w:pPr>
        <w:spacing w:after="0" w:line="117" w:lineRule="exact"/>
        <w:rPr>
          <w:rFonts w:ascii="Arial" w:cs="Arial" w:eastAsia="Arial" w:hAnsi="Arial"/>
          <w:sz w:val="14"/>
          <w:szCs w:val="14"/>
          <w:color w:val="auto"/>
        </w:rPr>
      </w:pPr>
    </w:p>
    <w:p>
      <w:pPr>
        <w:ind w:left="548" w:right="40" w:hanging="548"/>
        <w:spacing w:after="0" w:line="269" w:lineRule="auto"/>
        <w:tabs>
          <w:tab w:leader="none" w:pos="554" w:val="left"/>
        </w:tabs>
        <w:numPr>
          <w:ilvl w:val="0"/>
          <w:numId w:val="61"/>
        </w:numPr>
        <w:rPr>
          <w:rFonts w:ascii="Arial" w:cs="Arial" w:eastAsia="Arial" w:hAnsi="Arial"/>
          <w:sz w:val="15"/>
          <w:szCs w:val="15"/>
          <w:color w:val="auto"/>
        </w:rPr>
      </w:pPr>
      <w:r>
        <w:rPr>
          <w:rFonts w:ascii="Arial" w:cs="Arial" w:eastAsia="Arial" w:hAnsi="Arial"/>
          <w:sz w:val="15"/>
          <w:szCs w:val="15"/>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152" w:lineRule="exact"/>
        <w:rPr>
          <w:rFonts w:ascii="Arial" w:cs="Arial" w:eastAsia="Arial" w:hAnsi="Arial"/>
          <w:sz w:val="15"/>
          <w:szCs w:val="15"/>
          <w:color w:val="auto"/>
        </w:rPr>
      </w:pPr>
    </w:p>
    <w:p>
      <w:pPr>
        <w:ind w:left="1088" w:hanging="539"/>
        <w:spacing w:after="0"/>
        <w:tabs>
          <w:tab w:leader="none" w:pos="1088" w:val="left"/>
        </w:tabs>
        <w:numPr>
          <w:ilvl w:val="1"/>
          <w:numId w:val="61"/>
        </w:numPr>
        <w:rPr>
          <w:rFonts w:ascii="Arial" w:cs="Arial" w:eastAsia="Arial" w:hAnsi="Arial"/>
          <w:sz w:val="15"/>
          <w:szCs w:val="15"/>
          <w:color w:val="auto"/>
        </w:rPr>
      </w:pPr>
      <w:r>
        <w:rPr>
          <w:rFonts w:ascii="Arial" w:cs="Arial" w:eastAsia="Arial" w:hAnsi="Arial"/>
          <w:sz w:val="15"/>
          <w:szCs w:val="15"/>
          <w:color w:val="auto"/>
        </w:rPr>
        <w:t>is caused by a failure to pay at its Stated Maturity principal on such Indebtedness within the applicable express grace period and any extensions thereof, or</w:t>
      </w:r>
    </w:p>
    <w:p>
      <w:pPr>
        <w:spacing w:after="0" w:line="193" w:lineRule="exact"/>
        <w:rPr>
          <w:rFonts w:ascii="Arial" w:cs="Arial" w:eastAsia="Arial" w:hAnsi="Arial"/>
          <w:sz w:val="15"/>
          <w:szCs w:val="15"/>
          <w:color w:val="auto"/>
        </w:rPr>
      </w:pPr>
    </w:p>
    <w:p>
      <w:pPr>
        <w:ind w:left="1108" w:right="20" w:hanging="559"/>
        <w:spacing w:after="0" w:line="284" w:lineRule="auto"/>
        <w:tabs>
          <w:tab w:leader="none" w:pos="1115" w:val="left"/>
        </w:tabs>
        <w:numPr>
          <w:ilvl w:val="1"/>
          <w:numId w:val="61"/>
        </w:numPr>
        <w:rPr>
          <w:rFonts w:ascii="Arial" w:cs="Arial" w:eastAsia="Arial" w:hAnsi="Arial"/>
          <w:sz w:val="15"/>
          <w:szCs w:val="15"/>
          <w:color w:val="auto"/>
        </w:rPr>
      </w:pPr>
      <w:r>
        <w:rPr>
          <w:rFonts w:ascii="Arial" w:cs="Arial" w:eastAsia="Arial" w:hAnsi="Arial"/>
          <w:sz w:val="15"/>
          <w:szCs w:val="15"/>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3"/>
          <w:szCs w:val="13"/>
          <w:color w:val="auto"/>
        </w:rPr>
        <w:t>and, in each case, the principal amount of such Indebtedness, together with the principal amount of any other Indebtedness with respect to which an event described in clause (a) or</w:t>
      </w:r>
    </w:p>
    <w:p>
      <w:pPr>
        <w:spacing w:after="0" w:line="44" w:lineRule="exact"/>
        <w:rPr>
          <w:sz w:val="20"/>
          <w:szCs w:val="20"/>
          <w:color w:val="auto"/>
        </w:rPr>
      </w:pPr>
    </w:p>
    <w:p>
      <w:pPr>
        <w:ind w:left="588" w:hanging="215"/>
        <w:spacing w:after="0"/>
        <w:tabs>
          <w:tab w:leader="none" w:pos="588" w:val="left"/>
        </w:tabs>
        <w:numPr>
          <w:ilvl w:val="1"/>
          <w:numId w:val="62"/>
        </w:numPr>
        <w:rPr>
          <w:rFonts w:ascii="Arial" w:cs="Arial" w:eastAsia="Arial" w:hAnsi="Arial"/>
          <w:sz w:val="15"/>
          <w:szCs w:val="15"/>
          <w:color w:val="auto"/>
        </w:rPr>
      </w:pPr>
      <w:r>
        <w:rPr>
          <w:rFonts w:ascii="Arial" w:cs="Arial" w:eastAsia="Arial" w:hAnsi="Arial"/>
          <w:sz w:val="15"/>
          <w:szCs w:val="15"/>
          <w:color w:val="auto"/>
        </w:rPr>
        <w:t>has occurred and is continuing, aggregates $100.0 million or more;</w:t>
      </w:r>
    </w:p>
    <w:p>
      <w:pPr>
        <w:spacing w:after="0" w:line="182" w:lineRule="exact"/>
        <w:rPr>
          <w:rFonts w:ascii="Arial" w:cs="Arial" w:eastAsia="Arial" w:hAnsi="Arial"/>
          <w:sz w:val="15"/>
          <w:szCs w:val="15"/>
          <w:color w:val="auto"/>
        </w:rPr>
      </w:pPr>
    </w:p>
    <w:p>
      <w:pPr>
        <w:ind w:left="548" w:hanging="548"/>
        <w:spacing w:after="0" w:line="269" w:lineRule="auto"/>
        <w:tabs>
          <w:tab w:leader="none" w:pos="554" w:val="left"/>
        </w:tabs>
        <w:numPr>
          <w:ilvl w:val="0"/>
          <w:numId w:val="63"/>
        </w:numPr>
        <w:rPr>
          <w:rFonts w:ascii="Arial" w:cs="Arial" w:eastAsia="Arial" w:hAnsi="Arial"/>
          <w:sz w:val="15"/>
          <w:szCs w:val="15"/>
          <w:color w:val="auto"/>
        </w:rPr>
      </w:pPr>
      <w:r>
        <w:rPr>
          <w:rFonts w:ascii="Arial" w:cs="Arial" w:eastAsia="Arial" w:hAnsi="Arial"/>
          <w:sz w:val="15"/>
          <w:szCs w:val="15"/>
          <w:color w:val="auto"/>
        </w:rPr>
        <w:t>one or more judgments (to the extent not covered by insurance) for the payment of money in an aggregate amount in excess of $100.0 million shall be rendered against the Parent Guarantor, any Significant Subsidiary of the Parent Guarantor or any combination thereof and the same shall remain undischarged for a period of 60 consecutive days during which execution shall not be effectively stayed;</w:t>
      </w:r>
    </w:p>
    <w:p>
      <w:pPr>
        <w:spacing w:after="0" w:line="152" w:lineRule="exact"/>
        <w:rPr>
          <w:rFonts w:ascii="Arial" w:cs="Arial" w:eastAsia="Arial" w:hAnsi="Arial"/>
          <w:sz w:val="15"/>
          <w:szCs w:val="15"/>
          <w:color w:val="auto"/>
        </w:rPr>
      </w:pPr>
    </w:p>
    <w:p>
      <w:pPr>
        <w:ind w:left="548" w:right="160" w:hanging="548"/>
        <w:spacing w:after="0" w:line="269" w:lineRule="auto"/>
        <w:tabs>
          <w:tab w:leader="none" w:pos="554" w:val="left"/>
        </w:tabs>
        <w:numPr>
          <w:ilvl w:val="0"/>
          <w:numId w:val="63"/>
        </w:numPr>
        <w:rPr>
          <w:rFonts w:ascii="Arial" w:cs="Arial" w:eastAsia="Arial" w:hAnsi="Arial"/>
          <w:sz w:val="15"/>
          <w:szCs w:val="15"/>
          <w:color w:val="auto"/>
        </w:rPr>
      </w:pPr>
      <w:r>
        <w:rPr>
          <w:rFonts w:ascii="Arial" w:cs="Arial" w:eastAsia="Arial" w:hAnsi="Arial"/>
          <w:sz w:val="15"/>
          <w:szCs w:val="15"/>
          <w:color w:val="auto"/>
        </w:rPr>
        <w:t>certain events of bankruptcy affecting the Parent Guarantor, the Issuer or any Significant Subsidiary of the Parent Guarantor or group of Restricted Subsidiaries of the Parent Guarantor that, taken together (as of the latest audited consolidated financial statements for the Parent Guarantor and its Restricted Subsidiaries), would constitute a Significant Subsidiary; or</w:t>
      </w:r>
    </w:p>
    <w:p>
      <w:pPr>
        <w:spacing w:after="0" w:line="152" w:lineRule="exact"/>
        <w:rPr>
          <w:rFonts w:ascii="Arial" w:cs="Arial" w:eastAsia="Arial" w:hAnsi="Arial"/>
          <w:sz w:val="15"/>
          <w:szCs w:val="15"/>
          <w:color w:val="auto"/>
        </w:rPr>
      </w:pPr>
    </w:p>
    <w:p>
      <w:pPr>
        <w:ind w:left="548" w:right="260" w:hanging="548"/>
        <w:spacing w:after="0" w:line="269" w:lineRule="auto"/>
        <w:tabs>
          <w:tab w:leader="none" w:pos="554"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52"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3"/>
          <w:szCs w:val="13"/>
          <w:color w:val="auto"/>
        </w:rPr>
        <w:t>If an Event of Default (other than an Event of Default specified in clause (7) above with respect to the Parent Guarantor or the Issuer), shall have occurred and be continuing, the</w:t>
      </w:r>
    </w:p>
    <w:p>
      <w:pPr>
        <w:spacing w:after="0" w:line="44" w:lineRule="exact"/>
        <w:rPr>
          <w:sz w:val="20"/>
          <w:szCs w:val="20"/>
          <w:color w:val="auto"/>
        </w:rPr>
      </w:pPr>
    </w:p>
    <w:p>
      <w:pPr>
        <w:ind w:left="8"/>
        <w:spacing w:after="0" w:line="304" w:lineRule="auto"/>
        <w:rPr>
          <w:sz w:val="20"/>
          <w:szCs w:val="20"/>
          <w:color w:val="auto"/>
        </w:rPr>
      </w:pPr>
      <w:r>
        <w:rPr>
          <w:rFonts w:ascii="Arial" w:cs="Arial" w:eastAsia="Arial" w:hAnsi="Arial"/>
          <w:sz w:val="13"/>
          <w:szCs w:val="13"/>
          <w:color w:val="auto"/>
        </w:rPr>
        <w:t xml:space="preserve">Trustee, by written notice to the Issuer, or the Holders of at least 25.0% in aggregate principal amount of the Notes then outstanding by written notice to the Issuer and the Trustee, may declare (an “acceleration declaration”) all amounts owing under the Notes to be due and payable. Upon such an acceleration declaration, the aggregate principal of and accrued and unpaid interest on the outstanding Notes shall become due and payable immediately;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after such an acceleration declaration, but before a judgment or decree based on acceleration, the Holders of a majority in aggregate principal amount of such outstanding Notes may rescind and annul such acceleration if, among other things, all Events of Default, other than the nonpayment of accelerated principal and interest, have been cured or waived as provided in the Indenture. If an Event of Default specified in clause (7) occurs with respect to the Parent Guarantor or the Issuer, all outstanding Notes shall become immediately due and payable without any further action or notice to the extent permitted by applicable law.</w:t>
      </w:r>
    </w:p>
    <w:p>
      <w:pPr>
        <w:spacing w:after="0" w:line="135" w:lineRule="exact"/>
        <w:rPr>
          <w:sz w:val="20"/>
          <w:szCs w:val="20"/>
          <w:color w:val="auto"/>
        </w:rPr>
      </w:pPr>
    </w:p>
    <w:p>
      <w:pPr>
        <w:ind w:left="8" w:right="100" w:firstLine="549"/>
        <w:spacing w:after="0" w:line="284"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Trustee may withhold from Holders of the Notes notice of any Default or Event of Default (except an Event of Default relating to the payment of principal or interest) if it determines that withholding notice is in their interest.</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57" w:name="page58"/>
    <w:bookmarkEnd w:id="57"/>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firstLine="549"/>
        <w:spacing w:after="0" w:line="262" w:lineRule="auto"/>
        <w:rPr>
          <w:sz w:val="20"/>
          <w:szCs w:val="20"/>
          <w:color w:val="auto"/>
        </w:rPr>
      </w:pPr>
      <w:r>
        <w:rPr>
          <w:rFonts w:ascii="Arial" w:cs="Arial" w:eastAsia="Arial" w:hAnsi="Arial"/>
          <w:sz w:val="15"/>
          <w:szCs w:val="15"/>
          <w:color w:val="auto"/>
        </w:rPr>
        <w:t>The Holders of a majority in aggregate principal amount of the then outstanding Notes will have the right to direct the time, method and place of conducting any proceeding for exercising any remedy available to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such Holders of Notes. A Holder of Notes may not pursue any remedy with respect to the Indenture or Notes unless:</w:t>
      </w:r>
    </w:p>
    <w:p>
      <w:pPr>
        <w:spacing w:after="0" w:line="157" w:lineRule="exact"/>
        <w:rPr>
          <w:sz w:val="20"/>
          <w:szCs w:val="20"/>
          <w:color w:val="auto"/>
        </w:rPr>
      </w:pPr>
    </w:p>
    <w:p>
      <w:pPr>
        <w:ind w:left="548" w:hanging="548"/>
        <w:spacing w:after="0"/>
        <w:tabs>
          <w:tab w:leader="none" w:pos="5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Holder gives the Trustee written notice of a continuing Event of Default;</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Holder or Holders of at least 25.0% in aggregate principal amount of outstanding Notes make a written request to the Trustee to pursue the remedy;</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such Holder or Holders offer the Trustee security or indemnity satisfactory to the Trustee against any costs, liability or expense;</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Trustee does not comply with the request within 60 days after receipt of the request and the offer of security or indemnity; and</w:t>
      </w:r>
    </w:p>
    <w:p>
      <w:pPr>
        <w:spacing w:after="0" w:line="193" w:lineRule="exact"/>
        <w:rPr>
          <w:rFonts w:ascii="Arial" w:cs="Arial" w:eastAsia="Arial" w:hAnsi="Arial"/>
          <w:sz w:val="15"/>
          <w:szCs w:val="15"/>
          <w:color w:val="auto"/>
        </w:rPr>
      </w:pPr>
    </w:p>
    <w:p>
      <w:pPr>
        <w:ind w:left="548" w:right="380" w:hanging="548"/>
        <w:spacing w:after="0" w:line="284" w:lineRule="auto"/>
        <w:tabs>
          <w:tab w:leader="none" w:pos="554" w:val="left"/>
        </w:tabs>
        <w:numPr>
          <w:ilvl w:val="0"/>
          <w:numId w:val="64"/>
        </w:numPr>
        <w:rPr>
          <w:rFonts w:ascii="Arial" w:cs="Arial" w:eastAsia="Arial" w:hAnsi="Arial"/>
          <w:sz w:val="15"/>
          <w:szCs w:val="15"/>
          <w:color w:val="auto"/>
        </w:rPr>
      </w:pPr>
      <w:r>
        <w:rPr>
          <w:rFonts w:ascii="Arial" w:cs="Arial" w:eastAsia="Arial" w:hAnsi="Arial"/>
          <w:sz w:val="15"/>
          <w:szCs w:val="15"/>
          <w:color w:val="auto"/>
        </w:rPr>
        <w:t>during such 60-day period, the Holders of a majority in aggregate principal amount of the outstanding Notes do not give the Trustee a direction that is inconsistent with the request.</w:t>
      </w:r>
    </w:p>
    <w:p>
      <w:pPr>
        <w:spacing w:after="0" w:line="141" w:lineRule="exact"/>
        <w:rPr>
          <w:sz w:val="20"/>
          <w:szCs w:val="20"/>
          <w:color w:val="auto"/>
        </w:rPr>
      </w:pPr>
    </w:p>
    <w:p>
      <w:pPr>
        <w:ind w:left="8" w:right="40" w:firstLine="549"/>
        <w:spacing w:after="0" w:line="284" w:lineRule="auto"/>
        <w:rPr>
          <w:sz w:val="20"/>
          <w:szCs w:val="20"/>
          <w:color w:val="auto"/>
        </w:rPr>
      </w:pPr>
      <w:r>
        <w:rPr>
          <w:rFonts w:ascii="Arial" w:cs="Arial" w:eastAsia="Arial" w:hAnsi="Arial"/>
          <w:sz w:val="15"/>
          <w:szCs w:val="15"/>
          <w:color w:val="auto"/>
        </w:rPr>
        <w:t>However, such limitations will not apply to the right of any Holder of a Note to receive payment of the principal of, premium, if any, or interest on, such Note or to bring suit for the enforcement of any such payment, on or after the due date expressed in the Notes, which right will not be impaired without the consent of the Holder.</w:t>
      </w:r>
    </w:p>
    <w:p>
      <w:pPr>
        <w:spacing w:after="0" w:line="141" w:lineRule="exact"/>
        <w:rPr>
          <w:sz w:val="20"/>
          <w:szCs w:val="20"/>
          <w:color w:val="auto"/>
        </w:rPr>
      </w:pPr>
    </w:p>
    <w:p>
      <w:pPr>
        <w:jc w:val="both"/>
        <w:ind w:left="8" w:right="120" w:firstLine="549"/>
        <w:spacing w:after="0" w:line="269" w:lineRule="auto"/>
        <w:rPr>
          <w:sz w:val="20"/>
          <w:szCs w:val="20"/>
          <w:color w:val="auto"/>
        </w:rPr>
      </w:pPr>
      <w:r>
        <w:rPr>
          <w:rFonts w:ascii="Arial" w:cs="Arial" w:eastAsia="Arial" w:hAnsi="Arial"/>
          <w:sz w:val="15"/>
          <w:szCs w:val="15"/>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or premium, if any, on, or the principal of, such Notes, or in respect of a covenant or provision that cannot be amended without the consent of the Holder of each outstanding Note affected thereby.</w:t>
      </w:r>
    </w:p>
    <w:p>
      <w:pPr>
        <w:spacing w:after="0" w:line="152" w:lineRule="exact"/>
        <w:rPr>
          <w:sz w:val="20"/>
          <w:szCs w:val="20"/>
          <w:color w:val="auto"/>
        </w:rPr>
      </w:pPr>
    </w:p>
    <w:p>
      <w:pPr>
        <w:ind w:left="8" w:right="240" w:firstLine="549"/>
        <w:spacing w:after="0" w:line="284" w:lineRule="auto"/>
        <w:rPr>
          <w:sz w:val="20"/>
          <w:szCs w:val="20"/>
          <w:color w:val="auto"/>
        </w:rPr>
      </w:pPr>
      <w:r>
        <w:rPr>
          <w:rFonts w:ascii="Arial" w:cs="Arial" w:eastAsia="Arial" w:hAnsi="Arial"/>
          <w:sz w:val="15"/>
          <w:szCs w:val="15"/>
          <w:color w:val="auto"/>
        </w:rPr>
        <w:t>The Issuer will be required to deliver to the Trustee annually a statement regarding compliance with the Indenture and, within 30 days after any Officer of the Issuer becomes aware of any Default, a statement specifying such Default and what action the Issuer is taking or proposes to take with respect thereto.</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Legal Defeasance and Covenant Defeasance</w:t>
      </w:r>
    </w:p>
    <w:p>
      <w:pPr>
        <w:spacing w:after="0" w:line="198" w:lineRule="exact"/>
        <w:rPr>
          <w:sz w:val="20"/>
          <w:szCs w:val="20"/>
          <w:color w:val="auto"/>
        </w:rPr>
      </w:pPr>
    </w:p>
    <w:p>
      <w:pPr>
        <w:ind w:left="8" w:right="80" w:firstLine="549"/>
        <w:spacing w:after="0" w:line="297" w:lineRule="auto"/>
        <w:rPr>
          <w:sz w:val="20"/>
          <w:szCs w:val="20"/>
          <w:color w:val="auto"/>
        </w:rPr>
      </w:pPr>
      <w:r>
        <w:rPr>
          <w:rFonts w:ascii="Arial" w:cs="Arial" w:eastAsia="Arial" w:hAnsi="Arial"/>
          <w:sz w:val="14"/>
          <w:szCs w:val="14"/>
          <w:color w:val="auto"/>
        </w:rPr>
        <w:t>The Issuer may, at its option and at any time, elect to have its obligations discharged with respect to the outstanding Notes and all obligations of any Guarantors discharged with respect to their Guarantees of such Notes (“Legal Defeasance”). Legal Defeasance means that the Issuer and the Guarantors shall be deemed to have paid and discharged the entire obligations represented by the Notes and the Guarantees, and the Indenture shall cease to be of further effect as to all outstanding Notes and the Guarantees, except as to:</w:t>
      </w:r>
    </w:p>
    <w:p>
      <w:pPr>
        <w:spacing w:after="0" w:line="135" w:lineRule="exact"/>
        <w:rPr>
          <w:sz w:val="20"/>
          <w:szCs w:val="20"/>
          <w:color w:val="auto"/>
        </w:rPr>
      </w:pPr>
    </w:p>
    <w:p>
      <w:pPr>
        <w:ind w:left="548" w:right="160" w:hanging="548"/>
        <w:spacing w:after="0" w:line="284" w:lineRule="auto"/>
        <w:tabs>
          <w:tab w:leader="none" w:pos="554" w:val="left"/>
        </w:tabs>
        <w:numPr>
          <w:ilvl w:val="0"/>
          <w:numId w:val="65"/>
        </w:numPr>
        <w:rPr>
          <w:rFonts w:ascii="Arial" w:cs="Arial" w:eastAsia="Arial" w:hAnsi="Arial"/>
          <w:sz w:val="15"/>
          <w:szCs w:val="15"/>
          <w:color w:val="auto"/>
        </w:rPr>
      </w:pPr>
      <w:r>
        <w:rPr>
          <w:rFonts w:ascii="Arial" w:cs="Arial" w:eastAsia="Arial" w:hAnsi="Arial"/>
          <w:sz w:val="15"/>
          <w:szCs w:val="15"/>
          <w:color w:val="auto"/>
        </w:rPr>
        <w:t>rights of Holders of outstanding Notes to receive payments in respect of the principal of and interest and premium, if any, on such Notes when such payments are due from the trust funds referred to below;</w:t>
      </w:r>
    </w:p>
    <w:p>
      <w:pPr>
        <w:spacing w:after="0" w:line="141" w:lineRule="exact"/>
        <w:rPr>
          <w:rFonts w:ascii="Arial" w:cs="Arial" w:eastAsia="Arial" w:hAnsi="Arial"/>
          <w:sz w:val="15"/>
          <w:szCs w:val="15"/>
          <w:color w:val="auto"/>
        </w:rPr>
      </w:pPr>
    </w:p>
    <w:p>
      <w:pPr>
        <w:ind w:left="548" w:right="340" w:hanging="548"/>
        <w:spacing w:after="0" w:line="284" w:lineRule="auto"/>
        <w:tabs>
          <w:tab w:leader="none" w:pos="554"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Issuer’s obligations concerning issuing temporary Notes, registration of Notes, mutilated, destroyed, lost or stolen Notes, and the maintenance of an office or agency for payment and money for security payments held in trust;</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rights, powers, trust, duties, and immunities of the Trustee, and the obligations of the Issuer and the Guarantors in connection therewith; and</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Legal Defeasance provisions of the Indenture.</w:t>
      </w:r>
    </w:p>
    <w:p>
      <w:pPr>
        <w:spacing w:after="0" w:line="194" w:lineRule="exact"/>
        <w:rPr>
          <w:sz w:val="20"/>
          <w:szCs w:val="20"/>
          <w:color w:val="auto"/>
        </w:rPr>
      </w:pPr>
    </w:p>
    <w:p>
      <w:pPr>
        <w:ind w:left="8" w:right="20" w:firstLine="549"/>
        <w:spacing w:after="0" w:line="284" w:lineRule="auto"/>
        <w:rPr>
          <w:sz w:val="20"/>
          <w:szCs w:val="20"/>
          <w:color w:val="auto"/>
        </w:rPr>
      </w:pPr>
      <w:r>
        <w:rPr>
          <w:rFonts w:ascii="Arial" w:cs="Arial" w:eastAsia="Arial" w:hAnsi="Arial"/>
          <w:sz w:val="15"/>
          <w:szCs w:val="15"/>
          <w:color w:val="auto"/>
        </w:rPr>
        <w:t>In addition, the Issuer may, at its option and at any time, elect to have its obligations and the obligations of the Guarantors released with respect to the provisions of the Indenture described above under “—Change of Control</w:t>
      </w:r>
    </w:p>
    <w:p>
      <w:pPr>
        <w:spacing w:after="0" w:line="141"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8"/>
          </w:cols>
          <w:pgMar w:left="232" w:top="129" w:right="279" w:bottom="1440" w:gutter="0" w:footer="0" w:header="0"/>
        </w:sectPr>
      </w:pPr>
    </w:p>
    <w:bookmarkStart w:id="58" w:name="page59"/>
    <w:bookmarkEnd w:id="58"/>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8" w:right="60"/>
        <w:spacing w:after="0" w:line="269" w:lineRule="auto"/>
        <w:rPr>
          <w:sz w:val="20"/>
          <w:szCs w:val="20"/>
          <w:color w:val="auto"/>
        </w:rPr>
      </w:pPr>
      <w:r>
        <w:rPr>
          <w:rFonts w:ascii="Arial" w:cs="Arial" w:eastAsia="Arial" w:hAnsi="Arial"/>
          <w:sz w:val="15"/>
          <w:szCs w:val="15"/>
          <w:color w:val="auto"/>
        </w:rPr>
        <w:t>Repurchase Event” and under “—Certain Covenants” (other than the covenant described under “—Certain Covenants—Limitation on Mergers, Consolidations, Etc.”), (such release and termination being referred to as “Covenant Defeasance”), and thereafter any omission to comply with such obligations or provisions will not constitute a Default or Event of Default. The Issuer may exercise its Legal Defeasance option regardless of whether it previously exercised Covenant Defeasance.</w:t>
      </w:r>
    </w:p>
    <w:p>
      <w:pPr>
        <w:spacing w:after="0" w:line="15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In order to exercise either Legal Defeasance or Covenant Defeasance:</w:t>
      </w:r>
    </w:p>
    <w:p>
      <w:pPr>
        <w:spacing w:after="0" w:line="194" w:lineRule="exact"/>
        <w:rPr>
          <w:sz w:val="20"/>
          <w:szCs w:val="20"/>
          <w:color w:val="auto"/>
        </w:rPr>
      </w:pPr>
    </w:p>
    <w:p>
      <w:pPr>
        <w:ind w:left="548" w:right="120" w:hanging="548"/>
        <w:spacing w:after="0" w:line="264" w:lineRule="auto"/>
        <w:tabs>
          <w:tab w:leader="none" w:pos="554"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56" w:lineRule="exact"/>
        <w:rPr>
          <w:rFonts w:ascii="Arial" w:cs="Arial" w:eastAsia="Arial" w:hAnsi="Arial"/>
          <w:sz w:val="15"/>
          <w:szCs w:val="15"/>
          <w:color w:val="auto"/>
        </w:rPr>
      </w:pPr>
    </w:p>
    <w:p>
      <w:pPr>
        <w:ind w:left="548" w:hanging="548"/>
        <w:spacing w:after="0"/>
        <w:tabs>
          <w:tab w:leader="none" w:pos="548"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 the case of Legal Defeasance, the Issuer shall have delivered to the Trustee an Opinion of Counsel in the United States reasonably acceptable to the Trustee confirming that:</w:t>
      </w:r>
    </w:p>
    <w:p>
      <w:pPr>
        <w:spacing w:after="0" w:line="216" w:lineRule="exact"/>
        <w:rPr>
          <w:rFonts w:ascii="Arial" w:cs="Arial" w:eastAsia="Arial" w:hAnsi="Arial"/>
          <w:sz w:val="13"/>
          <w:szCs w:val="13"/>
          <w:color w:val="auto"/>
        </w:rPr>
      </w:pPr>
    </w:p>
    <w:p>
      <w:pPr>
        <w:ind w:left="1088" w:hanging="539"/>
        <w:spacing w:after="0"/>
        <w:tabs>
          <w:tab w:leader="none" w:pos="1088" w:val="left"/>
        </w:tabs>
        <w:numPr>
          <w:ilvl w:val="1"/>
          <w:numId w:val="66"/>
        </w:numPr>
        <w:rPr>
          <w:rFonts w:ascii="Arial" w:cs="Arial" w:eastAsia="Arial" w:hAnsi="Arial"/>
          <w:sz w:val="15"/>
          <w:szCs w:val="15"/>
          <w:color w:val="auto"/>
        </w:rPr>
      </w:pPr>
      <w:r>
        <w:rPr>
          <w:rFonts w:ascii="Arial" w:cs="Arial" w:eastAsia="Arial" w:hAnsi="Arial"/>
          <w:sz w:val="15"/>
          <w:szCs w:val="15"/>
          <w:color w:val="auto"/>
        </w:rPr>
        <w:t>the Issuer has received from, or there has been published by the Internal Revenue Service (“IRS”), a ruling; or</w:t>
      </w:r>
    </w:p>
    <w:p>
      <w:pPr>
        <w:spacing w:after="0" w:line="193" w:lineRule="exact"/>
        <w:rPr>
          <w:rFonts w:ascii="Arial" w:cs="Arial" w:eastAsia="Arial" w:hAnsi="Arial"/>
          <w:sz w:val="15"/>
          <w:szCs w:val="15"/>
          <w:color w:val="auto"/>
        </w:rPr>
      </w:pPr>
    </w:p>
    <w:p>
      <w:pPr>
        <w:ind w:left="1108" w:right="100" w:hanging="559"/>
        <w:spacing w:after="0" w:line="264" w:lineRule="auto"/>
        <w:tabs>
          <w:tab w:leader="none" w:pos="1115" w:val="left"/>
        </w:tabs>
        <w:numPr>
          <w:ilvl w:val="1"/>
          <w:numId w:val="66"/>
        </w:numPr>
        <w:rPr>
          <w:rFonts w:ascii="Arial" w:cs="Arial" w:eastAsia="Arial" w:hAnsi="Arial"/>
          <w:sz w:val="15"/>
          <w:szCs w:val="15"/>
          <w:color w:val="auto"/>
        </w:rPr>
      </w:pPr>
      <w:r>
        <w:rPr>
          <w:rFonts w:ascii="Arial" w:cs="Arial" w:eastAsia="Arial" w:hAnsi="Arial"/>
          <w:sz w:val="15"/>
          <w:szCs w:val="15"/>
          <w:color w:val="auto"/>
        </w:rPr>
        <w:t>since the date of the Indenture, there has been a change in the applicable U.S. federal income tax law, in either case to the effect that, and based thereon this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56" w:lineRule="exact"/>
        <w:rPr>
          <w:rFonts w:ascii="Arial" w:cs="Arial" w:eastAsia="Arial" w:hAnsi="Arial"/>
          <w:sz w:val="15"/>
          <w:szCs w:val="15"/>
          <w:color w:val="auto"/>
        </w:rPr>
      </w:pPr>
    </w:p>
    <w:p>
      <w:pPr>
        <w:ind w:left="548" w:hanging="548"/>
        <w:spacing w:after="0" w:line="329" w:lineRule="auto"/>
        <w:tabs>
          <w:tab w:leader="none" w:pos="554"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17" w:lineRule="exact"/>
        <w:rPr>
          <w:rFonts w:ascii="Arial" w:cs="Arial" w:eastAsia="Arial" w:hAnsi="Arial"/>
          <w:sz w:val="13"/>
          <w:szCs w:val="13"/>
          <w:color w:val="auto"/>
        </w:rPr>
      </w:pPr>
    </w:p>
    <w:p>
      <w:pPr>
        <w:ind w:left="548" w:right="260" w:hanging="548"/>
        <w:spacing w:after="0" w:line="284" w:lineRule="auto"/>
        <w:tabs>
          <w:tab w:leader="none" w:pos="554"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41" w:lineRule="exact"/>
        <w:rPr>
          <w:rFonts w:ascii="Arial" w:cs="Arial" w:eastAsia="Arial" w:hAnsi="Arial"/>
          <w:sz w:val="15"/>
          <w:szCs w:val="15"/>
          <w:color w:val="auto"/>
        </w:rPr>
      </w:pPr>
    </w:p>
    <w:p>
      <w:pPr>
        <w:ind w:left="548" w:right="60" w:hanging="548"/>
        <w:spacing w:after="0" w:line="269" w:lineRule="auto"/>
        <w:tabs>
          <w:tab w:leader="none" w:pos="554"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52" w:lineRule="exact"/>
        <w:rPr>
          <w:rFonts w:ascii="Arial" w:cs="Arial" w:eastAsia="Arial" w:hAnsi="Arial"/>
          <w:sz w:val="15"/>
          <w:szCs w:val="15"/>
          <w:color w:val="auto"/>
        </w:rPr>
      </w:pPr>
    </w:p>
    <w:p>
      <w:pPr>
        <w:ind w:left="548" w:right="260" w:hanging="548"/>
        <w:spacing w:after="0" w:line="284" w:lineRule="auto"/>
        <w:tabs>
          <w:tab w:leader="none" w:pos="554"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Issuer shall have delivered to the Trustee an Officer’s Certificate stating that the deposit was not made by it with the intent of preferring the Holders of the Notes over any other of its creditors or with the intent of defeating, hindering, delaying or defrauding any other of its creditors or others; and</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Issuer shall have delivered to the Trustee an Officer’s Certificate and an Opinion of Counsel to the effect that the conditions precedent provided for in clauses (1) through</w:t>
      </w:r>
    </w:p>
    <w:p>
      <w:pPr>
        <w:spacing w:after="0" w:line="32" w:lineRule="exact"/>
        <w:rPr>
          <w:rFonts w:ascii="Arial" w:cs="Arial" w:eastAsia="Arial" w:hAnsi="Arial"/>
          <w:sz w:val="14"/>
          <w:szCs w:val="14"/>
          <w:color w:val="auto"/>
        </w:rPr>
      </w:pPr>
    </w:p>
    <w:p>
      <w:pPr>
        <w:ind w:left="548"/>
        <w:spacing w:after="0"/>
        <w:rPr>
          <w:rFonts w:ascii="Arial" w:cs="Arial" w:eastAsia="Arial" w:hAnsi="Arial"/>
          <w:sz w:val="14"/>
          <w:szCs w:val="14"/>
          <w:color w:val="auto"/>
        </w:rPr>
      </w:pPr>
      <w:r>
        <w:rPr>
          <w:rFonts w:ascii="Arial" w:cs="Arial" w:eastAsia="Arial" w:hAnsi="Arial"/>
          <w:sz w:val="15"/>
          <w:szCs w:val="15"/>
          <w:color w:val="auto"/>
        </w:rPr>
        <w:t>(6) have been complied with.</w:t>
      </w:r>
    </w:p>
    <w:p>
      <w:pPr>
        <w:spacing w:after="0" w:line="183" w:lineRule="exact"/>
        <w:rPr>
          <w:sz w:val="20"/>
          <w:szCs w:val="20"/>
          <w:color w:val="auto"/>
        </w:rPr>
      </w:pPr>
    </w:p>
    <w:p>
      <w:pPr>
        <w:ind w:left="8" w:right="40" w:firstLine="549"/>
        <w:spacing w:after="0" w:line="284" w:lineRule="auto"/>
        <w:rPr>
          <w:sz w:val="20"/>
          <w:szCs w:val="20"/>
          <w:color w:val="auto"/>
        </w:rPr>
      </w:pPr>
      <w:r>
        <w:rPr>
          <w:rFonts w:ascii="Arial" w:cs="Arial" w:eastAsia="Arial" w:hAnsi="Arial"/>
          <w:sz w:val="15"/>
          <w:szCs w:val="15"/>
          <w:color w:val="auto"/>
        </w:rPr>
        <w:t>If the funds deposited with the Trustee to effect Covenant Defeasance are insufficient to pay the principal of and interest on the Notes when due, then the Issuer’s obligations and the obligations of the Guarantors under the Indenture will be revived and no such defeasance will be deemed to have occurred.</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59" w:name="page60"/>
    <w:bookmarkEnd w:id="59"/>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Satisfaction and Discharge</w:t>
      </w:r>
    </w:p>
    <w:p>
      <w:pPr>
        <w:spacing w:after="0" w:line="198" w:lineRule="exact"/>
        <w:rPr>
          <w:sz w:val="20"/>
          <w:szCs w:val="20"/>
          <w:color w:val="auto"/>
        </w:rPr>
      </w:pPr>
    </w:p>
    <w:p>
      <w:pPr>
        <w:ind w:left="8" w:right="80" w:firstLine="549"/>
        <w:spacing w:after="0" w:line="284" w:lineRule="auto"/>
        <w:rPr>
          <w:sz w:val="20"/>
          <w:szCs w:val="20"/>
          <w:color w:val="auto"/>
        </w:rPr>
      </w:pPr>
      <w:r>
        <w:rPr>
          <w:rFonts w:ascii="Arial" w:cs="Arial" w:eastAsia="Arial" w:hAnsi="Arial"/>
          <w:sz w:val="15"/>
          <w:szCs w:val="15"/>
          <w:color w:val="auto"/>
        </w:rPr>
        <w:t>The Indenture will be discharged and will cease to be of further effect (except as to rights of registration of transfer or exchange of Notes which shall survive until all Notes have been canceled and the rights, protections and immunities of the Trustee) as to all outstanding Notes when either:</w:t>
      </w:r>
    </w:p>
    <w:p>
      <w:pPr>
        <w:spacing w:after="0" w:line="141" w:lineRule="exact"/>
        <w:rPr>
          <w:sz w:val="20"/>
          <w:szCs w:val="20"/>
          <w:color w:val="auto"/>
        </w:rPr>
      </w:pPr>
    </w:p>
    <w:p>
      <w:pPr>
        <w:ind w:left="548" w:right="60" w:hanging="548"/>
        <w:spacing w:after="0" w:line="269" w:lineRule="auto"/>
        <w:tabs>
          <w:tab w:leader="none" w:pos="554" w:val="left"/>
        </w:tabs>
        <w:numPr>
          <w:ilvl w:val="0"/>
          <w:numId w:val="67"/>
        </w:numPr>
        <w:rPr>
          <w:rFonts w:ascii="Arial" w:cs="Arial" w:eastAsia="Arial" w:hAnsi="Arial"/>
          <w:sz w:val="15"/>
          <w:szCs w:val="15"/>
          <w:color w:val="auto"/>
        </w:rPr>
      </w:pPr>
      <w:r>
        <w:rPr>
          <w:rFonts w:ascii="Arial" w:cs="Arial" w:eastAsia="Arial" w:hAnsi="Arial"/>
          <w:sz w:val="15"/>
          <w:szCs w:val="15"/>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152" w:lineRule="exact"/>
        <w:rPr>
          <w:rFonts w:ascii="Arial" w:cs="Arial" w:eastAsia="Arial" w:hAnsi="Arial"/>
          <w:sz w:val="15"/>
          <w:szCs w:val="15"/>
          <w:color w:val="auto"/>
        </w:rPr>
      </w:pPr>
    </w:p>
    <w:p>
      <w:pPr>
        <w:ind w:left="548" w:right="20" w:hanging="548"/>
        <w:spacing w:after="0" w:line="282" w:lineRule="auto"/>
        <w:tabs>
          <w:tab w:leader="none" w:pos="554"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all Notes not delivered to the Trustee for cancellation otherwise (i) have become due and payable, (ii) will become due and payable at their Stated Maturity, or are to be called for redemption under arrangements specified in the Indenture, within one year or (iii) have been called for redemption pursuant to the provisions described under “—Optional Redemption,” and, in any case, the Issuer or any Guarantor has irrevocably deposited or caused to be deposited with the Trustee as trust funds, in trust solely for the benefit of the Holders, U.S.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46" w:lineRule="exact"/>
        <w:rPr>
          <w:rFonts w:ascii="Arial" w:cs="Arial" w:eastAsia="Arial" w:hAnsi="Arial"/>
          <w:sz w:val="14"/>
          <w:szCs w:val="14"/>
          <w:color w:val="auto"/>
        </w:rPr>
      </w:pPr>
    </w:p>
    <w:p>
      <w:pPr>
        <w:ind w:left="1108" w:hanging="559"/>
        <w:spacing w:after="0"/>
        <w:tabs>
          <w:tab w:leader="none" w:pos="1108"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Issuer has paid all other sums payable by it under the Indenture, and</w:t>
      </w:r>
    </w:p>
    <w:p>
      <w:pPr>
        <w:spacing w:after="0" w:line="193" w:lineRule="exact"/>
        <w:rPr>
          <w:rFonts w:ascii="Arial" w:cs="Arial" w:eastAsia="Arial" w:hAnsi="Arial"/>
          <w:sz w:val="15"/>
          <w:szCs w:val="15"/>
          <w:color w:val="auto"/>
        </w:rPr>
      </w:pPr>
    </w:p>
    <w:p>
      <w:pPr>
        <w:ind w:left="1108" w:right="520" w:hanging="559"/>
        <w:spacing w:after="0" w:line="284" w:lineRule="auto"/>
        <w:tabs>
          <w:tab w:leader="none" w:pos="1117"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Issuer has delivered irrevocable instructions to the Trustee to apply the deposited funds towards the payment of the Notes at Stated Maturity or on the date of redemption, as the case may be.</w:t>
      </w:r>
    </w:p>
    <w:p>
      <w:pPr>
        <w:spacing w:after="0" w:line="141" w:lineRule="exact"/>
        <w:rPr>
          <w:sz w:val="20"/>
          <w:szCs w:val="20"/>
          <w:color w:val="auto"/>
        </w:rPr>
      </w:pPr>
    </w:p>
    <w:p>
      <w:pPr>
        <w:ind w:left="8" w:right="280" w:firstLine="549"/>
        <w:spacing w:after="0" w:line="284" w:lineRule="auto"/>
        <w:rPr>
          <w:sz w:val="20"/>
          <w:szCs w:val="20"/>
          <w:color w:val="auto"/>
        </w:rPr>
      </w:pPr>
      <w:r>
        <w:rPr>
          <w:rFonts w:ascii="Arial" w:cs="Arial" w:eastAsia="Arial" w:hAnsi="Arial"/>
          <w:sz w:val="15"/>
          <w:szCs w:val="15"/>
          <w:color w:val="auto"/>
        </w:rPr>
        <w:t>In addition, the Issuer must deliver an Officer’s Certificate and an Opinion of Counsel, each stating that all conditions precedent to satisfaction and discharge of the Indenture have been complied with.</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Transfer and Exchange</w:t>
      </w:r>
    </w:p>
    <w:p>
      <w:pPr>
        <w:spacing w:after="0" w:line="198" w:lineRule="exact"/>
        <w:rPr>
          <w:sz w:val="20"/>
          <w:szCs w:val="20"/>
          <w:color w:val="auto"/>
        </w:rPr>
      </w:pPr>
    </w:p>
    <w:p>
      <w:pPr>
        <w:ind w:left="8" w:firstLine="549"/>
        <w:spacing w:after="0" w:line="289" w:lineRule="auto"/>
        <w:rPr>
          <w:sz w:val="20"/>
          <w:szCs w:val="20"/>
          <w:color w:val="auto"/>
        </w:rPr>
      </w:pPr>
      <w:r>
        <w:rPr>
          <w:rFonts w:ascii="Arial" w:cs="Arial" w:eastAsia="Arial" w:hAnsi="Arial"/>
          <w:sz w:val="14"/>
          <w:szCs w:val="14"/>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 and fees required by law or permitted by the Indenture. Without the prior consent of the Issuer, the Registrar is not required (1) to register the transfer of or exchange any Note selected for redemption, (2) to register the transfer of or exchange any Note for a period of 15 days before a selection of Notes to be redeemed or (3) to register the transfer or exchange of a Note between a record date and the next succeeding interest payment date.</w:t>
      </w:r>
    </w:p>
    <w:p>
      <w:pPr>
        <w:spacing w:after="0" w:line="14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The Notes will be issued in registered form and the Holder will be treated as the owner of such Note for all purposes (except as required by applicable tax laws).</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Amendment, Supplement and Waiver</w:t>
      </w:r>
    </w:p>
    <w:p>
      <w:pPr>
        <w:spacing w:after="0" w:line="198" w:lineRule="exact"/>
        <w:rPr>
          <w:sz w:val="20"/>
          <w:szCs w:val="20"/>
          <w:color w:val="auto"/>
        </w:rPr>
      </w:pPr>
    </w:p>
    <w:p>
      <w:pPr>
        <w:ind w:left="8" w:right="120" w:firstLine="549"/>
        <w:spacing w:after="0" w:line="289" w:lineRule="auto"/>
        <w:rPr>
          <w:sz w:val="20"/>
          <w:szCs w:val="20"/>
          <w:color w:val="auto"/>
        </w:rPr>
      </w:pPr>
      <w:r>
        <w:rPr>
          <w:rFonts w:ascii="Arial" w:cs="Arial" w:eastAsia="Arial" w:hAnsi="Arial"/>
          <w:sz w:val="14"/>
          <w:szCs w:val="14"/>
          <w:color w:val="auto"/>
        </w:rPr>
        <w:t>Except as otherwise provided in the next two succeeding paragraphs, the Indenture, the Guarantees or the Notes may be amended with the consent (which may include consents obtained in connection with a tender offer or exchange offer for the Notes) of the Holders of a majority in aggregate principal amount of the then outstanding Notes affected thereby (voting as a separate series), and any existing Default or Event of Default under, or compliance with any provision of, the Indenture may be waived with the consent (which may include consents obtained in connection with a tender offer or exchange offer for Notes) of the Holders of a majority in aggregate principal amount of the Notes then outstanding.</w:t>
      </w:r>
    </w:p>
    <w:p>
      <w:pPr>
        <w:spacing w:after="0" w:line="14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Without the consent of each Holder affected thereby, an amendment or waiver may not (with respect to any Notes held by a non-consenting Holder):</w:t>
      </w:r>
    </w:p>
    <w:p>
      <w:pPr>
        <w:spacing w:after="0" w:line="194" w:lineRule="exact"/>
        <w:rPr>
          <w:sz w:val="20"/>
          <w:szCs w:val="20"/>
          <w:color w:val="auto"/>
        </w:rPr>
      </w:pPr>
    </w:p>
    <w:p>
      <w:pPr>
        <w:ind w:left="548" w:hanging="548"/>
        <w:spacing w:after="0"/>
        <w:tabs>
          <w:tab w:leader="none" w:pos="548"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reduce, or change the maturity of, the principal of any Note;</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reduce the rate of or extend the time for payment of interest on any Note;</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60" w:name="page61"/>
    <w:bookmarkEnd w:id="60"/>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40" w:hanging="548"/>
        <w:spacing w:after="0" w:line="297" w:lineRule="auto"/>
        <w:tabs>
          <w:tab w:leader="none" w:pos="554"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solely for the avoidance of doubt, and without any other implication, any purchase or repurchase of Notes (including pursuant to the covenants described above under the caption “—Change of Control Repurchase Event”) shall not be deemed a redemption of the Notes;</w:t>
      </w:r>
    </w:p>
    <w:p>
      <w:pPr>
        <w:spacing w:after="0" w:line="134" w:lineRule="exact"/>
        <w:rPr>
          <w:rFonts w:ascii="Arial" w:cs="Arial" w:eastAsia="Arial" w:hAnsi="Arial"/>
          <w:sz w:val="14"/>
          <w:szCs w:val="14"/>
          <w:color w:val="auto"/>
        </w:rPr>
      </w:pPr>
    </w:p>
    <w:p>
      <w:pPr>
        <w:ind w:left="548" w:hanging="548"/>
        <w:spacing w:after="0"/>
        <w:tabs>
          <w:tab w:leader="none" w:pos="5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make any Note payable in money or currency other than that stated in the Notes;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9"/>
        </w:numPr>
        <w:rPr>
          <w:rFonts w:ascii="Arial" w:cs="Arial" w:eastAsia="Arial" w:hAnsi="Arial"/>
          <w:sz w:val="14"/>
          <w:szCs w:val="14"/>
          <w:color w:val="auto"/>
        </w:rPr>
      </w:pPr>
      <w:r>
        <w:rPr>
          <w:rFonts w:ascii="Arial" w:cs="Arial" w:eastAsia="Arial" w:hAnsi="Arial"/>
          <w:sz w:val="14"/>
          <w:szCs w:val="14"/>
          <w:color w:val="auto"/>
        </w:rPr>
        <w:t>modify or change any provision of the Indenture or the related definitions to affect the ranking of the Notes or any Guarantee in a manner that adversely affects the Holders;</w:t>
      </w:r>
    </w:p>
    <w:p>
      <w:pPr>
        <w:spacing w:after="0" w:line="205" w:lineRule="exact"/>
        <w:rPr>
          <w:rFonts w:ascii="Arial" w:cs="Arial" w:eastAsia="Arial" w:hAnsi="Arial"/>
          <w:sz w:val="14"/>
          <w:szCs w:val="14"/>
          <w:color w:val="auto"/>
        </w:rPr>
      </w:pPr>
    </w:p>
    <w:p>
      <w:pPr>
        <w:ind w:left="548" w:hanging="548"/>
        <w:spacing w:after="0"/>
        <w:tabs>
          <w:tab w:leader="none" w:pos="5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reduce the percentage of Holders necessary to consent to an amendment or waiver to the Indenture, the Guarantees or the Notes;</w:t>
      </w:r>
    </w:p>
    <w:p>
      <w:pPr>
        <w:spacing w:after="0" w:line="193" w:lineRule="exact"/>
        <w:rPr>
          <w:rFonts w:ascii="Arial" w:cs="Arial" w:eastAsia="Arial" w:hAnsi="Arial"/>
          <w:sz w:val="15"/>
          <w:szCs w:val="15"/>
          <w:color w:val="auto"/>
        </w:rPr>
      </w:pPr>
    </w:p>
    <w:p>
      <w:pPr>
        <w:ind w:left="548" w:right="20" w:hanging="548"/>
        <w:spacing w:after="0" w:line="284" w:lineRule="auto"/>
        <w:tabs>
          <w:tab w:leader="none" w:pos="554" w:val="left"/>
        </w:tabs>
        <w:numPr>
          <w:ilvl w:val="0"/>
          <w:numId w:val="69"/>
        </w:numPr>
        <w:rPr>
          <w:rFonts w:ascii="Arial" w:cs="Arial" w:eastAsia="Arial" w:hAnsi="Arial"/>
          <w:sz w:val="15"/>
          <w:szCs w:val="15"/>
          <w:color w:val="auto"/>
        </w:rPr>
      </w:pPr>
      <w:r>
        <w:rPr>
          <w:rFonts w:ascii="Arial" w:cs="Arial" w:eastAsia="Arial" w:hAnsi="Arial"/>
          <w:sz w:val="15"/>
          <w:szCs w:val="15"/>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41" w:lineRule="exact"/>
        <w:rPr>
          <w:rFonts w:ascii="Arial" w:cs="Arial" w:eastAsia="Arial" w:hAnsi="Arial"/>
          <w:sz w:val="15"/>
          <w:szCs w:val="15"/>
          <w:color w:val="auto"/>
        </w:rPr>
      </w:pPr>
    </w:p>
    <w:p>
      <w:pPr>
        <w:ind w:left="548" w:hanging="548"/>
        <w:spacing w:after="0" w:line="284" w:lineRule="auto"/>
        <w:tabs>
          <w:tab w:leader="none" w:pos="554" w:val="left"/>
        </w:tabs>
        <w:numPr>
          <w:ilvl w:val="0"/>
          <w:numId w:val="69"/>
        </w:numPr>
        <w:rPr>
          <w:rFonts w:ascii="Arial" w:cs="Arial" w:eastAsia="Arial" w:hAnsi="Arial"/>
          <w:sz w:val="15"/>
          <w:szCs w:val="15"/>
          <w:color w:val="auto"/>
        </w:rPr>
      </w:pPr>
      <w:r>
        <w:rPr>
          <w:rFonts w:ascii="Arial" w:cs="Arial" w:eastAsia="Arial" w:hAnsi="Arial"/>
          <w:sz w:val="15"/>
          <w:szCs w:val="15"/>
          <w:color w:val="auto"/>
        </w:rPr>
        <w:t>impair the rights of Holders to receive payments of principal of or interest or premium, if any, on the Notes on or after the due date therefor or to institute suit for the enforcement of any payment on the Notes;</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release any Guarantor from any of its obligations under its Guarantee or the Indenture, except as permitted by the Indenture; or</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make any change in these amendment and waiver provisions.</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4"/>
          <w:szCs w:val="14"/>
          <w:color w:val="auto"/>
        </w:rPr>
        <w:t>Notwithstanding the foregoing, the Issuer, the Guarantors and the Trustee may amend the Indenture, the Guarantees or the Notes without the consent of any Holder:</w:t>
      </w:r>
    </w:p>
    <w:p>
      <w:pPr>
        <w:spacing w:after="0" w:line="205" w:lineRule="exact"/>
        <w:rPr>
          <w:sz w:val="20"/>
          <w:szCs w:val="20"/>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cure any ambiguity, defect or inconsistency;</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193" w:lineRule="exact"/>
        <w:rPr>
          <w:rFonts w:ascii="Arial" w:cs="Arial" w:eastAsia="Arial" w:hAnsi="Arial"/>
          <w:sz w:val="15"/>
          <w:szCs w:val="15"/>
          <w:color w:val="auto"/>
        </w:rPr>
      </w:pPr>
    </w:p>
    <w:p>
      <w:pPr>
        <w:ind w:left="548" w:right="120" w:hanging="548"/>
        <w:spacing w:after="0" w:line="284" w:lineRule="auto"/>
        <w:tabs>
          <w:tab w:leader="none" w:pos="554"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provide for the assumption of the Issuer’s or a Guarantor’s obligations to the Holders in the case of a consolidation, amalgamation, merger or other transaction in compliance with the covenant described under the caption “—Certain Covenants—Limitation on Mergers, Consolidations, Etc.”;</w:t>
      </w:r>
    </w:p>
    <w:p>
      <w:pPr>
        <w:spacing w:after="0" w:line="141" w:lineRule="exact"/>
        <w:rPr>
          <w:rFonts w:ascii="Arial" w:cs="Arial" w:eastAsia="Arial" w:hAnsi="Arial"/>
          <w:sz w:val="15"/>
          <w:szCs w:val="15"/>
          <w:color w:val="auto"/>
        </w:rPr>
      </w:pPr>
    </w:p>
    <w:p>
      <w:pPr>
        <w:ind w:left="548" w:hanging="548"/>
        <w:spacing w:after="0" w:line="284" w:lineRule="auto"/>
        <w:tabs>
          <w:tab w:leader="none" w:pos="554"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add any Guarantor to the Indenture or to acknowledge the release of any Guarantor from any of its obligations under its Guarantee and the other provisions of the Indenture (to the extent in accordance with the Indenture);</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make any change that would provide any additional rights or benefits to the Holders or does not materially adversely affect the rights of any Holder;</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effect or maintain the qualification of the Indenture under the Trust Indenture Act;</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secure the Notes or any Guarantees or any other obligation under the Indenture;</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evidence and provide for the acceptance of appointment by a successor Trustee;</w:t>
      </w:r>
    </w:p>
    <w:p>
      <w:pPr>
        <w:spacing w:after="0" w:line="193" w:lineRule="exact"/>
        <w:rPr>
          <w:rFonts w:ascii="Arial" w:cs="Arial" w:eastAsia="Arial" w:hAnsi="Arial"/>
          <w:sz w:val="15"/>
          <w:szCs w:val="15"/>
          <w:color w:val="auto"/>
        </w:rPr>
      </w:pPr>
    </w:p>
    <w:p>
      <w:pPr>
        <w:ind w:left="548" w:right="220" w:hanging="548"/>
        <w:spacing w:after="0" w:line="284" w:lineRule="auto"/>
        <w:tabs>
          <w:tab w:leader="none" w:pos="554"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conform the text of the Indenture or the Notes to any provision of this “Description of New Notes” to the extent that such provision in this “Description of New Notes” was intended to be a substantially verbatim recitation of a provision of the Indenture, the Guarantees or the Notes; or</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 provide for the issuance of Additional Notes in accordance with the Indenture.</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80" w:firstLine="549"/>
        <w:spacing w:after="0" w:line="284" w:lineRule="auto"/>
        <w:rPr>
          <w:sz w:val="20"/>
          <w:szCs w:val="20"/>
          <w:color w:val="auto"/>
        </w:rPr>
      </w:pPr>
      <w:r>
        <w:rPr>
          <w:rFonts w:ascii="Arial" w:cs="Arial" w:eastAsia="Arial" w:hAnsi="Arial"/>
          <w:sz w:val="15"/>
          <w:szCs w:val="15"/>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41" w:lineRule="exact"/>
        <w:rPr>
          <w:sz w:val="20"/>
          <w:szCs w:val="20"/>
          <w:color w:val="auto"/>
        </w:rPr>
      </w:pPr>
    </w:p>
    <w:p>
      <w:pPr>
        <w:ind w:right="280" w:firstLine="549"/>
        <w:spacing w:after="0" w:line="322" w:lineRule="auto"/>
        <w:rPr>
          <w:sz w:val="20"/>
          <w:szCs w:val="20"/>
          <w:color w:val="auto"/>
        </w:rPr>
      </w:pPr>
      <w:r>
        <w:rPr>
          <w:rFonts w:ascii="Arial" w:cs="Arial" w:eastAsia="Arial" w:hAnsi="Arial"/>
          <w:sz w:val="14"/>
          <w:szCs w:val="14"/>
          <w:color w:val="auto"/>
        </w:rPr>
        <w:t>After an amendment under the Indenture becomes effective requiring the consent of the Holders of Notes, the Issuer is required to deliver to Holders of Notes a notice briefly describing such amendment. However, the failure to give such notice to all Holders of the Notes, or any defect therein, will not impair or affect the validity of the amendment.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Personal Liability of Directors, Officers, Employees and Shareholders</w:t>
      </w:r>
    </w:p>
    <w:p>
      <w:pPr>
        <w:spacing w:after="0" w:line="198" w:lineRule="exact"/>
        <w:rPr>
          <w:sz w:val="20"/>
          <w:szCs w:val="20"/>
          <w:color w:val="auto"/>
        </w:rPr>
      </w:pPr>
    </w:p>
    <w:p>
      <w:pPr>
        <w:ind w:right="20" w:firstLine="549"/>
        <w:spacing w:after="0" w:line="297" w:lineRule="auto"/>
        <w:rPr>
          <w:sz w:val="20"/>
          <w:szCs w:val="20"/>
          <w:color w:val="auto"/>
        </w:rPr>
      </w:pPr>
      <w:r>
        <w:rPr>
          <w:rFonts w:ascii="Arial" w:cs="Arial" w:eastAsia="Arial" w:hAnsi="Arial"/>
          <w:sz w:val="14"/>
          <w:szCs w:val="14"/>
          <w:color w:val="auto"/>
        </w:rPr>
        <w:t>No director, officer, employee, incorporator, or shareholder of the Issuer or any Guarantor will have any liability for any indebtedness, obligations or liabilities of the Issuer under the Notes or the Indenture or of any Guarantor under its Guarantee or for any claim based on, in respect of, or by reason of, such indebtedness, obligations or their creation. Each Holder by accepting a Note waives and releases all such liability. The waiver and release are part of the consideration for issuance of the Notes and the Guarantees.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Concerning the Trustee</w:t>
      </w:r>
    </w:p>
    <w:p>
      <w:pPr>
        <w:spacing w:after="0" w:line="198" w:lineRule="exact"/>
        <w:rPr>
          <w:sz w:val="20"/>
          <w:szCs w:val="20"/>
          <w:color w:val="auto"/>
        </w:rPr>
      </w:pPr>
    </w:p>
    <w:p>
      <w:pPr>
        <w:ind w:right="460" w:firstLine="549"/>
        <w:spacing w:after="0" w:line="284" w:lineRule="auto"/>
        <w:rPr>
          <w:sz w:val="20"/>
          <w:szCs w:val="20"/>
          <w:color w:val="auto"/>
        </w:rPr>
      </w:pPr>
      <w:r>
        <w:rPr>
          <w:rFonts w:ascii="Arial" w:cs="Arial" w:eastAsia="Arial" w:hAnsi="Arial"/>
          <w:sz w:val="15"/>
          <w:szCs w:val="15"/>
          <w:color w:val="auto"/>
        </w:rPr>
        <w:t>Deutsche Bank Trust Company Americas is the Trustee. A successor trustee may be appointed in accordance with the terms of the Indenture. The Parent Guarantor and its subsidiaries maintain banking relationships with the Trustee and its affiliates in the ordinary course of business.</w:t>
      </w:r>
    </w:p>
    <w:p>
      <w:pPr>
        <w:spacing w:after="0" w:line="141" w:lineRule="exact"/>
        <w:rPr>
          <w:sz w:val="20"/>
          <w:szCs w:val="20"/>
          <w:color w:val="auto"/>
        </w:rPr>
      </w:pPr>
    </w:p>
    <w:p>
      <w:pPr>
        <w:ind w:right="100" w:firstLine="549"/>
        <w:spacing w:after="0" w:line="297" w:lineRule="auto"/>
        <w:rPr>
          <w:sz w:val="20"/>
          <w:szCs w:val="20"/>
          <w:color w:val="auto"/>
        </w:rPr>
      </w:pPr>
      <w:r>
        <w:rPr>
          <w:rFonts w:ascii="Arial" w:cs="Arial" w:eastAsia="Arial" w:hAnsi="Arial"/>
          <w:sz w:val="14"/>
          <w:szCs w:val="14"/>
          <w:color w:val="auto"/>
        </w:rPr>
        <w:t>The Indenture contains certain limitations on the rights of the Trustee, should it become a creditor of the Issuer or any Guarantor, to obtain payment of claims in certain cases, or to realize on certain assets received in respect of any such claim as security or otherwise. The Trustee is permitted to engage in other transactions; however, if it acquires any conflicting interest (as defined in the Trust Indenture Act), it must eliminate such conflict within 90 days, apply to the SEC for permission to continue or resign.</w:t>
      </w:r>
    </w:p>
    <w:p>
      <w:pPr>
        <w:spacing w:after="0" w:line="135" w:lineRule="exact"/>
        <w:rPr>
          <w:sz w:val="20"/>
          <w:szCs w:val="20"/>
          <w:color w:val="auto"/>
        </w:rPr>
      </w:pPr>
    </w:p>
    <w:p>
      <w:pPr>
        <w:ind w:right="40" w:firstLine="549"/>
        <w:spacing w:after="0" w:line="289" w:lineRule="auto"/>
        <w:rPr>
          <w:sz w:val="20"/>
          <w:szCs w:val="20"/>
          <w:color w:val="auto"/>
        </w:rPr>
      </w:pPr>
      <w:r>
        <w:rPr>
          <w:rFonts w:ascii="Arial" w:cs="Arial" w:eastAsia="Arial" w:hAnsi="Arial"/>
          <w:sz w:val="14"/>
          <w:szCs w:val="14"/>
          <w:color w:val="auto"/>
        </w:rPr>
        <w:t>The Indenture contains provisions for the indemnification of the Trustee, the Paying Agent and the Registrar, and for their relief from responsibility. The obligations of the Trustee, the Paying Agent and the Registrar to a holder of a Note are subject to such immunities and rights as set forth in the Indenture. Deustche Bank Trust Company Americas in each of its capacities, including as Trustee, assumes no responsibility for the accuracy or completeness of the information contained in this document or the related documents or for any failure by the Issuer or any other party to disclose events that may have occurred and may affect the significance or accuracy of such information.</w:t>
      </w:r>
    </w:p>
    <w:p>
      <w:pPr>
        <w:spacing w:after="0" w:line="140"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In case an Event of Default occurs and is not cured, the Trustee will be required, in the exercise of its power, to use the degree of care of a prudent person in similar circumstances in the conduct of his own affairs. The Trustee will be under no obligation to exercise any of its rights or powers under the Indenture at the request of any Holder, unless such Holder shall have offered to the Trustee security or indemnity satisfactory to the Trustee. The Trustee shall not be deemed to have notice of any Default or Event of Default unless a responsible officer of the Trustee has actual knowledge thereof.</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Governing Law; Submission to Jurisdiction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Indenture, the Notes and the Guarantees are governed by, and will be construed in accordance with, the laws of the State of New York.</w:t>
      </w:r>
    </w:p>
    <w:p>
      <w:pPr>
        <w:spacing w:after="0" w:line="194" w:lineRule="exact"/>
        <w:rPr>
          <w:sz w:val="20"/>
          <w:szCs w:val="20"/>
          <w:color w:val="auto"/>
        </w:rPr>
      </w:pPr>
    </w:p>
    <w:p>
      <w:pPr>
        <w:ind w:right="280" w:firstLine="549"/>
        <w:spacing w:after="0" w:line="284" w:lineRule="auto"/>
        <w:rPr>
          <w:sz w:val="20"/>
          <w:szCs w:val="20"/>
          <w:color w:val="auto"/>
        </w:rPr>
      </w:pPr>
      <w:r>
        <w:rPr>
          <w:rFonts w:ascii="Arial" w:cs="Arial" w:eastAsia="Arial" w:hAnsi="Arial"/>
          <w:sz w:val="15"/>
          <w:szCs w:val="15"/>
          <w:color w:val="auto"/>
        </w:rPr>
        <w:t>The Indenture provides that the Issuer and the Guarantors will submit to the non-exclusive jurisdiction of the competent federal courts in the City and State of New York with respect to disputes or claims made under the Indenture.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Book-Entry, Delivery and Form</w:t>
      </w:r>
    </w:p>
    <w:p>
      <w:pPr>
        <w:spacing w:after="0" w:line="198" w:lineRule="exact"/>
        <w:rPr>
          <w:sz w:val="20"/>
          <w:szCs w:val="20"/>
          <w:color w:val="auto"/>
        </w:rPr>
      </w:pPr>
    </w:p>
    <w:p>
      <w:pPr>
        <w:ind w:right="400" w:firstLine="549"/>
        <w:spacing w:after="0" w:line="322" w:lineRule="auto"/>
        <w:rPr>
          <w:sz w:val="20"/>
          <w:szCs w:val="20"/>
          <w:color w:val="auto"/>
        </w:rPr>
      </w:pPr>
      <w:r>
        <w:rPr>
          <w:rFonts w:ascii="Arial" w:cs="Arial" w:eastAsia="Arial" w:hAnsi="Arial"/>
          <w:sz w:val="14"/>
          <w:szCs w:val="14"/>
          <w:color w:val="auto"/>
        </w:rPr>
        <w:t>The new notes will be initially issued in the form of one or more global notes (collectively, the “Global Notes”). The Global Notes will be deposited upon issuance with the Trustee as custodian for DTC, in New York, New York, and registered in the name of Cede &amp; Co., as nominee of DTC, for credit to an account of a direct or indirect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2" w:name="page63"/>
    <w:bookmarkEnd w:id="62"/>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8" w:right="20"/>
        <w:spacing w:after="0" w:line="284" w:lineRule="auto"/>
        <w:rPr>
          <w:sz w:val="20"/>
          <w:szCs w:val="20"/>
          <w:color w:val="auto"/>
        </w:rPr>
      </w:pPr>
      <w:r>
        <w:rPr>
          <w:rFonts w:ascii="Arial" w:cs="Arial" w:eastAsia="Arial" w:hAnsi="Arial"/>
          <w:sz w:val="15"/>
          <w:szCs w:val="15"/>
          <w:color w:val="auto"/>
        </w:rPr>
        <w:t>participant in DTC that has exchanged old notes for new notes in the exchange offer, as described below. Beneficial interests in the Global Notes may be held only through Euroclear Bank NV/SA, as operator of the Euroclear System (“Euroclear”) and Clearstream Banking, S.A. (“Clearstream”) (as indirect participants in DTC).</w:t>
      </w:r>
    </w:p>
    <w:p>
      <w:pPr>
        <w:spacing w:after="0" w:line="141" w:lineRule="exact"/>
        <w:rPr>
          <w:sz w:val="20"/>
          <w:szCs w:val="20"/>
          <w:color w:val="auto"/>
        </w:rPr>
      </w:pPr>
    </w:p>
    <w:p>
      <w:pPr>
        <w:jc w:val="both"/>
        <w:ind w:left="8" w:firstLine="549"/>
        <w:spacing w:after="0" w:line="297" w:lineRule="auto"/>
        <w:rPr>
          <w:sz w:val="20"/>
          <w:szCs w:val="20"/>
          <w:color w:val="auto"/>
        </w:rPr>
      </w:pPr>
      <w:r>
        <w:rPr>
          <w:rFonts w:ascii="Arial" w:cs="Arial" w:eastAsia="Arial" w:hAnsi="Arial"/>
          <w:sz w:val="14"/>
          <w:szCs w:val="14"/>
          <w:color w:val="auto"/>
        </w:rPr>
        <w:t>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“—Exchange of Global Notes for Certificated Notes.” Except in the limited circumstances described below, owners of beneficial interests in the Global Notes will not be entitled to receive Certificated Notes.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Depository Procedures</w:t>
      </w:r>
    </w:p>
    <w:p>
      <w:pPr>
        <w:spacing w:after="0" w:line="198" w:lineRule="exact"/>
        <w:rPr>
          <w:sz w:val="20"/>
          <w:szCs w:val="20"/>
          <w:color w:val="auto"/>
        </w:rPr>
      </w:pPr>
    </w:p>
    <w:p>
      <w:pPr>
        <w:ind w:left="8" w:right="120" w:firstLine="549"/>
        <w:spacing w:after="0" w:line="269" w:lineRule="auto"/>
        <w:rPr>
          <w:sz w:val="20"/>
          <w:szCs w:val="20"/>
          <w:color w:val="auto"/>
        </w:rPr>
      </w:pPr>
      <w:r>
        <w:rPr>
          <w:rFonts w:ascii="Arial" w:cs="Arial" w:eastAsia="Arial" w:hAnsi="Arial"/>
          <w:sz w:val="15"/>
          <w:szCs w:val="15"/>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152" w:lineRule="exact"/>
        <w:rPr>
          <w:sz w:val="20"/>
          <w:szCs w:val="20"/>
          <w:color w:val="auto"/>
        </w:rPr>
      </w:pPr>
    </w:p>
    <w:p>
      <w:pPr>
        <w:ind w:left="8" w:right="260" w:firstLine="549"/>
        <w:spacing w:after="0" w:line="259" w:lineRule="auto"/>
        <w:rPr>
          <w:sz w:val="20"/>
          <w:szCs w:val="20"/>
          <w:color w:val="auto"/>
        </w:rPr>
      </w:pPr>
      <w:r>
        <w:rPr>
          <w:rFonts w:ascii="Arial" w:cs="Arial" w:eastAsia="Arial" w:hAnsi="Arial"/>
          <w:sz w:val="15"/>
          <w:szCs w:val="15"/>
          <w:color w:val="auto"/>
        </w:rPr>
        <w:t>DTC has advised the Issuer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6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DTC has also advised the Issuer that, pursuant to procedures established by it:</w:t>
      </w:r>
    </w:p>
    <w:p>
      <w:pPr>
        <w:spacing w:after="0" w:line="194" w:lineRule="exact"/>
        <w:rPr>
          <w:sz w:val="20"/>
          <w:szCs w:val="20"/>
          <w:color w:val="auto"/>
        </w:rPr>
      </w:pPr>
    </w:p>
    <w:p>
      <w:pPr>
        <w:ind w:left="548" w:right="200" w:hanging="548"/>
        <w:spacing w:after="0" w:line="284" w:lineRule="auto"/>
        <w:tabs>
          <w:tab w:leader="none" w:pos="554" w:val="left"/>
        </w:tabs>
        <w:numPr>
          <w:ilvl w:val="0"/>
          <w:numId w:val="71"/>
        </w:numPr>
        <w:rPr>
          <w:rFonts w:ascii="Arial" w:cs="Arial" w:eastAsia="Arial" w:hAnsi="Arial"/>
          <w:sz w:val="15"/>
          <w:szCs w:val="15"/>
          <w:color w:val="auto"/>
        </w:rPr>
      </w:pPr>
      <w:r>
        <w:rPr>
          <w:rFonts w:ascii="Arial" w:cs="Arial" w:eastAsia="Arial" w:hAnsi="Arial"/>
          <w:sz w:val="15"/>
          <w:szCs w:val="15"/>
          <w:color w:val="auto"/>
        </w:rPr>
        <w:t>upon deposit of the Global Notes, DTC will credit the accounts of the Participants designated by the exchange agent with portions of the principal amount of the Global Notes; and</w:t>
      </w:r>
    </w:p>
    <w:p>
      <w:pPr>
        <w:spacing w:after="0" w:line="141" w:lineRule="exact"/>
        <w:rPr>
          <w:rFonts w:ascii="Arial" w:cs="Arial" w:eastAsia="Arial" w:hAnsi="Arial"/>
          <w:sz w:val="15"/>
          <w:szCs w:val="15"/>
          <w:color w:val="auto"/>
        </w:rPr>
      </w:pPr>
    </w:p>
    <w:p>
      <w:pPr>
        <w:ind w:left="548" w:right="20" w:hanging="548"/>
        <w:spacing w:after="0" w:line="284" w:lineRule="auto"/>
        <w:tabs>
          <w:tab w:leader="none" w:pos="554" w:val="left"/>
        </w:tabs>
        <w:numPr>
          <w:ilvl w:val="0"/>
          <w:numId w:val="71"/>
        </w:numPr>
        <w:rPr>
          <w:rFonts w:ascii="Arial" w:cs="Arial" w:eastAsia="Arial" w:hAnsi="Arial"/>
          <w:sz w:val="15"/>
          <w:szCs w:val="15"/>
          <w:color w:val="auto"/>
        </w:rPr>
      </w:pPr>
      <w:r>
        <w:rPr>
          <w:rFonts w:ascii="Arial" w:cs="Arial" w:eastAsia="Arial" w:hAnsi="Arial"/>
          <w:sz w:val="15"/>
          <w:szCs w:val="15"/>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41" w:lineRule="exact"/>
        <w:rPr>
          <w:sz w:val="20"/>
          <w:szCs w:val="20"/>
          <w:color w:val="auto"/>
        </w:rPr>
      </w:pPr>
    </w:p>
    <w:p>
      <w:pPr>
        <w:ind w:left="8" w:right="20" w:firstLine="549"/>
        <w:spacing w:after="0" w:line="279" w:lineRule="auto"/>
        <w:rPr>
          <w:sz w:val="20"/>
          <w:szCs w:val="20"/>
          <w:color w:val="auto"/>
        </w:rPr>
      </w:pPr>
      <w:r>
        <w:rPr>
          <w:rFonts w:ascii="Arial" w:cs="Arial" w:eastAsia="Arial" w:hAnsi="Arial"/>
          <w:sz w:val="14"/>
          <w:szCs w:val="14"/>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Euroclear and Clearstream may hold interests in the Global Notes on behalf of their Participants through customers’ securities accounts in their respective names on the books of their respective depositaries in the DTC system.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47" w:lineRule="exact"/>
        <w:rPr>
          <w:sz w:val="20"/>
          <w:szCs w:val="20"/>
          <w:color w:val="auto"/>
        </w:rPr>
      </w:pPr>
    </w:p>
    <w:p>
      <w:pPr>
        <w:ind w:left="8" w:right="760" w:firstLine="549"/>
        <w:spacing w:after="0" w:line="290"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63" w:name="page64"/>
    <w:bookmarkEnd w:id="63"/>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20" w:firstLine="549"/>
        <w:spacing w:after="0" w:line="329" w:lineRule="auto"/>
        <w:rPr>
          <w:sz w:val="20"/>
          <w:szCs w:val="20"/>
          <w:color w:val="auto"/>
        </w:rPr>
      </w:pPr>
      <w:r>
        <w:rPr>
          <w:rFonts w:ascii="Arial" w:cs="Arial" w:eastAsia="Arial" w:hAnsi="Arial"/>
          <w:sz w:val="13"/>
          <w:szCs w:val="13"/>
          <w:color w:val="auto"/>
        </w:rPr>
        <w:t>All payments in respect of a Global Note registered in the name of DTC or its nominee will be made to DTC in its capacity as the registered Holder under the Indenture. Under the terms of the Indenture, the Issuer and the Trustee will treat the Persons in whose names the Notes, including the Global Notes, are registered as the owners of the Notes for the purpose of receiving payments and for all other purposes. Consequently, neither the Issuer, the Trustee nor any agent of the Issuer or the Trustee has or will have any responsibility or liability for:</w:t>
      </w:r>
    </w:p>
    <w:p>
      <w:pPr>
        <w:spacing w:after="0" w:line="118" w:lineRule="exact"/>
        <w:rPr>
          <w:sz w:val="20"/>
          <w:szCs w:val="20"/>
          <w:color w:val="auto"/>
        </w:rPr>
      </w:pPr>
    </w:p>
    <w:p>
      <w:pPr>
        <w:ind w:left="548" w:right="60" w:hanging="548"/>
        <w:spacing w:after="0" w:line="269" w:lineRule="auto"/>
        <w:tabs>
          <w:tab w:leader="none" w:pos="554"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other matter relating to the actions and practices of DTC or any of its Participants or Indirect Participants.</w:t>
      </w:r>
    </w:p>
    <w:p>
      <w:pPr>
        <w:spacing w:after="0" w:line="194" w:lineRule="exact"/>
        <w:rPr>
          <w:sz w:val="20"/>
          <w:szCs w:val="20"/>
          <w:color w:val="auto"/>
        </w:rPr>
      </w:pPr>
    </w:p>
    <w:p>
      <w:pPr>
        <w:ind w:left="8" w:firstLine="549"/>
        <w:spacing w:after="0" w:line="259" w:lineRule="auto"/>
        <w:rPr>
          <w:sz w:val="20"/>
          <w:szCs w:val="20"/>
          <w:color w:val="auto"/>
        </w:rPr>
      </w:pPr>
      <w:r>
        <w:rPr>
          <w:rFonts w:ascii="Arial" w:cs="Arial" w:eastAsia="Arial" w:hAnsi="Arial"/>
          <w:sz w:val="15"/>
          <w:szCs w:val="15"/>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will be liable for any delay by DTC or any of the Participants or the Indirect Participants in identifying the beneficial owners of the Notes, and the Issuer and the Trustee may conclusively rely on and will be protected in relying on instructions from DTC or its nominee for all purposes.</w:t>
      </w:r>
    </w:p>
    <w:p>
      <w:pPr>
        <w:spacing w:after="0" w:line="162" w:lineRule="exact"/>
        <w:rPr>
          <w:sz w:val="20"/>
          <w:szCs w:val="20"/>
          <w:color w:val="auto"/>
        </w:rPr>
      </w:pPr>
    </w:p>
    <w:p>
      <w:pPr>
        <w:ind w:left="8" w:right="160" w:firstLine="549"/>
        <w:spacing w:after="0" w:line="284" w:lineRule="auto"/>
        <w:rPr>
          <w:sz w:val="20"/>
          <w:szCs w:val="20"/>
          <w:color w:val="auto"/>
        </w:rPr>
      </w:pPr>
      <w:r>
        <w:rPr>
          <w:rFonts w:ascii="Arial" w:cs="Arial" w:eastAsia="Arial" w:hAnsi="Arial"/>
          <w:sz w:val="15"/>
          <w:szCs w:val="15"/>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41" w:lineRule="exact"/>
        <w:rPr>
          <w:sz w:val="20"/>
          <w:szCs w:val="20"/>
          <w:color w:val="auto"/>
        </w:rPr>
      </w:pPr>
    </w:p>
    <w:p>
      <w:pPr>
        <w:ind w:left="8" w:right="40" w:firstLine="549"/>
        <w:spacing w:after="0" w:line="308" w:lineRule="auto"/>
        <w:rPr>
          <w:sz w:val="20"/>
          <w:szCs w:val="20"/>
          <w:color w:val="auto"/>
        </w:rPr>
      </w:pPr>
      <w:r>
        <w:rPr>
          <w:rFonts w:ascii="Arial" w:cs="Arial" w:eastAsia="Arial" w:hAnsi="Arial"/>
          <w:sz w:val="13"/>
          <w:szCs w:val="13"/>
          <w:color w:val="auto"/>
        </w:rPr>
        <w:t>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31" w:lineRule="exact"/>
        <w:rPr>
          <w:sz w:val="20"/>
          <w:szCs w:val="20"/>
          <w:color w:val="auto"/>
        </w:rPr>
      </w:pPr>
    </w:p>
    <w:p>
      <w:pPr>
        <w:ind w:left="8" w:right="80" w:firstLine="549"/>
        <w:spacing w:after="0" w:line="264" w:lineRule="auto"/>
        <w:rPr>
          <w:sz w:val="20"/>
          <w:szCs w:val="20"/>
          <w:color w:val="auto"/>
        </w:rPr>
      </w:pPr>
      <w:r>
        <w:rPr>
          <w:rFonts w:ascii="Arial" w:cs="Arial" w:eastAsia="Arial" w:hAnsi="Arial"/>
          <w:sz w:val="15"/>
          <w:szCs w:val="15"/>
          <w:color w:val="auto"/>
        </w:rPr>
        <w:t>DTC has advised the Issuer that it will take any action permitted to be taken by a Holder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57" w:lineRule="exact"/>
        <w:rPr>
          <w:sz w:val="20"/>
          <w:szCs w:val="20"/>
          <w:color w:val="auto"/>
        </w:rPr>
      </w:pPr>
    </w:p>
    <w:p>
      <w:pPr>
        <w:ind w:left="8" w:right="40" w:firstLine="549"/>
        <w:spacing w:after="0" w:line="264" w:lineRule="auto"/>
        <w:rPr>
          <w:sz w:val="20"/>
          <w:szCs w:val="20"/>
          <w:color w:val="auto"/>
        </w:rPr>
      </w:pPr>
      <w:r>
        <w:rPr>
          <w:rFonts w:ascii="Arial" w:cs="Arial" w:eastAsia="Arial" w:hAnsi="Arial"/>
          <w:sz w:val="15"/>
          <w:szCs w:val="15"/>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Exchange of Global Notes for Certificated Notes</w:t>
      </w:r>
    </w:p>
    <w:p>
      <w:pPr>
        <w:spacing w:after="0" w:line="198" w:lineRule="exact"/>
        <w:rPr>
          <w:sz w:val="20"/>
          <w:szCs w:val="20"/>
          <w:color w:val="auto"/>
        </w:rPr>
      </w:pPr>
    </w:p>
    <w:p>
      <w:pPr>
        <w:ind w:left="548"/>
        <w:spacing w:after="0"/>
        <w:rPr>
          <w:sz w:val="20"/>
          <w:szCs w:val="20"/>
          <w:color w:val="auto"/>
        </w:rPr>
      </w:pPr>
      <w:r>
        <w:rPr>
          <w:rFonts w:ascii="Arial" w:cs="Arial" w:eastAsia="Arial" w:hAnsi="Arial"/>
          <w:sz w:val="15"/>
          <w:szCs w:val="15"/>
          <w:color w:val="auto"/>
        </w:rPr>
        <w:t>A Global Note is exchangeable for Certificated Notes if:</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64" w:name="page65"/>
    <w:bookmarkEnd w:id="64"/>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140" w:hanging="548"/>
        <w:spacing w:after="0" w:line="284" w:lineRule="auto"/>
        <w:tabs>
          <w:tab w:leader="none" w:pos="554" w:val="left"/>
        </w:tabs>
        <w:numPr>
          <w:ilvl w:val="0"/>
          <w:numId w:val="73"/>
        </w:numPr>
        <w:rPr>
          <w:rFonts w:ascii="Arial" w:cs="Arial" w:eastAsia="Arial" w:hAnsi="Arial"/>
          <w:sz w:val="15"/>
          <w:szCs w:val="15"/>
          <w:color w:val="auto"/>
        </w:rPr>
      </w:pPr>
      <w:r>
        <w:rPr>
          <w:rFonts w:ascii="Arial" w:cs="Arial" w:eastAsia="Arial" w:hAnsi="Arial"/>
          <w:sz w:val="15"/>
          <w:szCs w:val="15"/>
          <w:color w:val="auto"/>
        </w:rPr>
        <w:t>DTC (a) notifies the Issuer that it is unwilling or unable to continue as depositary for the Global Notes or (b) has ceased to be a clearing agency registered under the Exchange Act and, in either case, the Issuer fails to appoint a successor depositary within 90 days;</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Issuer, at its option but subject to DTC’s requirements, notifies the Trustee in writing that it elects to cause the issuance of the Certificated Notes; or</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there has occurred and is continuing an Event of Default, and DTC notifies the Trustee of its decision to exchange such Global Note for Certificated Notes.</w:t>
      </w:r>
    </w:p>
    <w:p>
      <w:pPr>
        <w:spacing w:after="0" w:line="194" w:lineRule="exact"/>
        <w:rPr>
          <w:sz w:val="20"/>
          <w:szCs w:val="20"/>
          <w:color w:val="auto"/>
        </w:rPr>
      </w:pPr>
    </w:p>
    <w:p>
      <w:pPr>
        <w:ind w:left="8" w:right="160" w:firstLine="549"/>
        <w:spacing w:after="0" w:line="269"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Exchange of Certificated Notes for Global Notes</w:t>
      </w:r>
    </w:p>
    <w:p>
      <w:pPr>
        <w:spacing w:after="0" w:line="198" w:lineRule="exact"/>
        <w:rPr>
          <w:sz w:val="20"/>
          <w:szCs w:val="20"/>
          <w:color w:val="auto"/>
        </w:rPr>
      </w:pPr>
    </w:p>
    <w:p>
      <w:pPr>
        <w:ind w:left="8" w:firstLine="549"/>
        <w:spacing w:after="0" w:line="284" w:lineRule="auto"/>
        <w:rPr>
          <w:sz w:val="20"/>
          <w:szCs w:val="20"/>
          <w:color w:val="auto"/>
        </w:rPr>
      </w:pPr>
      <w:r>
        <w:rPr>
          <w:rFonts w:ascii="Arial" w:cs="Arial" w:eastAsia="Arial" w:hAnsi="Arial"/>
          <w:sz w:val="15"/>
          <w:szCs w:val="15"/>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“Transfer Restrictions.”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Certain Definitions</w:t>
      </w:r>
    </w:p>
    <w:p>
      <w:pPr>
        <w:spacing w:after="0" w:line="198" w:lineRule="exact"/>
        <w:rPr>
          <w:sz w:val="20"/>
          <w:szCs w:val="20"/>
          <w:color w:val="auto"/>
        </w:rPr>
      </w:pPr>
    </w:p>
    <w:p>
      <w:pPr>
        <w:ind w:left="548"/>
        <w:spacing w:after="0"/>
        <w:rPr>
          <w:sz w:val="20"/>
          <w:szCs w:val="20"/>
          <w:color w:val="auto"/>
        </w:rPr>
      </w:pPr>
      <w:r>
        <w:rPr>
          <w:rFonts w:ascii="Arial" w:cs="Arial" w:eastAsia="Arial" w:hAnsi="Arial"/>
          <w:sz w:val="15"/>
          <w:szCs w:val="15"/>
          <w:color w:val="auto"/>
        </w:rPr>
        <w:t>Set forth below is a summary of certain of the defined terms used in the Indenture. Reference is made to the Indenture for the full definition of all such terms.</w:t>
      </w:r>
    </w:p>
    <w:p>
      <w:pPr>
        <w:spacing w:after="0" w:line="194" w:lineRule="exact"/>
        <w:rPr>
          <w:sz w:val="20"/>
          <w:szCs w:val="20"/>
          <w:color w:val="auto"/>
        </w:rPr>
      </w:pPr>
    </w:p>
    <w:p>
      <w:pPr>
        <w:ind w:left="8" w:right="20" w:firstLine="549"/>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364-Day Credit Agreement</w:t>
      </w:r>
      <w:r>
        <w:rPr>
          <w:rFonts w:ascii="Arial" w:cs="Arial" w:eastAsia="Arial" w:hAnsi="Arial"/>
          <w:sz w:val="13"/>
          <w:szCs w:val="13"/>
          <w:color w:val="auto"/>
        </w:rPr>
        <w:t>” means the 364-Day Revolving Credit Agreement dated as of August 16, 2018, among Weatherford Bermuda,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35" w:lineRule="exact"/>
        <w:rPr>
          <w:sz w:val="20"/>
          <w:szCs w:val="20"/>
          <w:color w:val="auto"/>
        </w:rPr>
      </w:pPr>
    </w:p>
    <w:p>
      <w:pPr>
        <w:ind w:left="5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Acquired Indebtedness</w:t>
      </w:r>
      <w:r>
        <w:rPr>
          <w:rFonts w:ascii="Arial" w:cs="Arial" w:eastAsia="Arial" w:hAnsi="Arial"/>
          <w:sz w:val="14"/>
          <w:szCs w:val="14"/>
          <w:color w:val="auto"/>
        </w:rPr>
        <w:t>” means (1) with respect to any Person that becomes a Restricted Subsidiary after the Issue Date, Indebtedness of such Person and its Subsidiaries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4"/>
          <w:szCs w:val="14"/>
          <w:color w:val="auto"/>
        </w:rPr>
        <w:t>(including, for the avoidance of doubt, Indebtedness incurred in the ordinary course of such Person’s business to acquire assets used or useful in its business) existing at the time such</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4"/>
          <w:szCs w:val="14"/>
          <w:color w:val="auto"/>
        </w:rPr>
        <w:t>Person becomes a Restricted Subsidiary and (2) with respect to the Parent Guarantor or any Restricted Subsidiary, any Indebtedness of a Person (including, for the avoidance of</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3"/>
          <w:szCs w:val="13"/>
          <w:color w:val="auto"/>
        </w:rPr>
        <w:t>doubt, Indebtedness incurred in the ordinary course of such Person’s business to acquire assets used or useful in its business), other than the Parent Guarantor or a Restricted Subsidiary,</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4"/>
          <w:szCs w:val="14"/>
          <w:color w:val="auto"/>
        </w:rPr>
        <w:t>existing at the time such Person is merged with or into the Parent Guarantor or a Restricted Subsidiary, or Indebtedness expressly assumed by the Parent Guarantor or any Restricted</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5"/>
          <w:szCs w:val="15"/>
          <w:color w:val="auto"/>
        </w:rPr>
        <w:t>Subsidiary in connection with the acquisition of an asset or assets from another Person.</w:t>
      </w:r>
    </w:p>
    <w:p>
      <w:pPr>
        <w:spacing w:after="0" w:line="183" w:lineRule="exact"/>
        <w:rPr>
          <w:sz w:val="20"/>
          <w:szCs w:val="20"/>
          <w:color w:val="auto"/>
        </w:rPr>
      </w:pPr>
    </w:p>
    <w:p>
      <w:pPr>
        <w:ind w:left="8" w:right="280" w:firstLine="549"/>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w:t>
      </w:r>
      <w:r>
        <w:rPr>
          <w:rFonts w:ascii="Arial" w:cs="Arial" w:eastAsia="Arial" w:hAnsi="Arial"/>
          <w:sz w:val="14"/>
          <w:szCs w:val="14"/>
          <w:color w:val="auto"/>
        </w:rPr>
        <w:t>”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w:t>
      </w:r>
      <w:r>
        <w:rPr>
          <w:rFonts w:ascii="Arial" w:cs="Arial" w:eastAsia="Arial" w:hAnsi="Arial"/>
          <w:sz w:val="14"/>
          <w:szCs w:val="14"/>
          <w:i w:val="1"/>
          <w:iCs w:val="1"/>
          <w:color w:val="auto"/>
        </w:rPr>
        <w:t>controlled</w:t>
      </w:r>
      <w:r>
        <w:rPr>
          <w:rFonts w:ascii="Arial" w:cs="Arial" w:eastAsia="Arial" w:hAnsi="Arial"/>
          <w:sz w:val="14"/>
          <w:szCs w:val="14"/>
          <w:color w:val="auto"/>
        </w:rPr>
        <w:t>” have meanings correlative to the foregoing.</w:t>
      </w:r>
    </w:p>
    <w:p>
      <w:pPr>
        <w:spacing w:after="0" w:line="135" w:lineRule="exact"/>
        <w:rPr>
          <w:sz w:val="20"/>
          <w:szCs w:val="20"/>
          <w:color w:val="auto"/>
        </w:rPr>
      </w:pPr>
    </w:p>
    <w:p>
      <w:pPr>
        <w:jc w:val="center"/>
        <w:ind w:right="292"/>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amend</w:t>
      </w:r>
      <w:r>
        <w:rPr>
          <w:rFonts w:ascii="Arial" w:cs="Arial" w:eastAsia="Arial" w:hAnsi="Arial"/>
          <w:sz w:val="15"/>
          <w:szCs w:val="15"/>
          <w:color w:val="auto"/>
        </w:rPr>
        <w:t>” means to amend, supplement, restate, amend and restate or otherwise modify, including successively, and “amendment” shall have a correlative meaning.</w:t>
      </w:r>
    </w:p>
    <w:p>
      <w:pPr>
        <w:spacing w:after="0" w:line="194" w:lineRule="exact"/>
        <w:rPr>
          <w:sz w:val="20"/>
          <w:szCs w:val="20"/>
          <w:color w:val="auto"/>
        </w:rPr>
      </w:pPr>
    </w:p>
    <w:p>
      <w:pPr>
        <w:jc w:val="center"/>
        <w:ind w:right="-87"/>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8"/>
          </w:cols>
          <w:pgMar w:left="232" w:top="129" w:right="319" w:bottom="1440" w:gutter="0" w:footer="0" w:header="0"/>
        </w:sectPr>
      </w:pPr>
    </w:p>
    <w:bookmarkStart w:id="65" w:name="page66"/>
    <w:bookmarkEnd w:id="65"/>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Asset Acquisition</w:t>
      </w:r>
      <w:r>
        <w:rPr>
          <w:rFonts w:ascii="Arial" w:cs="Arial" w:eastAsia="Arial" w:hAnsi="Arial"/>
          <w:sz w:val="15"/>
          <w:szCs w:val="15"/>
          <w:color w:val="auto"/>
        </w:rPr>
        <w:t>” means:</w:t>
      </w:r>
    </w:p>
    <w:p>
      <w:pPr>
        <w:spacing w:after="0" w:line="194" w:lineRule="exact"/>
        <w:rPr>
          <w:sz w:val="20"/>
          <w:szCs w:val="20"/>
          <w:color w:val="auto"/>
        </w:rPr>
      </w:pPr>
    </w:p>
    <w:p>
      <w:pPr>
        <w:ind w:left="548" w:right="20" w:hanging="548"/>
        <w:spacing w:after="0" w:line="284" w:lineRule="auto"/>
        <w:tabs>
          <w:tab w:leader="none" w:pos="554"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41" w:lineRule="exact"/>
        <w:rPr>
          <w:rFonts w:ascii="Arial" w:cs="Arial" w:eastAsia="Arial" w:hAnsi="Arial"/>
          <w:sz w:val="15"/>
          <w:szCs w:val="15"/>
          <w:color w:val="auto"/>
        </w:rPr>
      </w:pPr>
    </w:p>
    <w:p>
      <w:pPr>
        <w:ind w:left="548" w:right="360" w:hanging="548"/>
        <w:spacing w:after="0" w:line="322" w:lineRule="auto"/>
        <w:tabs>
          <w:tab w:leader="none" w:pos="554"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17" w:lineRule="exact"/>
        <w:rPr>
          <w:sz w:val="20"/>
          <w:szCs w:val="20"/>
          <w:color w:val="auto"/>
        </w:rPr>
      </w:pPr>
    </w:p>
    <w:p>
      <w:pPr>
        <w:ind w:left="8" w:right="40" w:firstLine="549"/>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Attributable Indebtedness</w:t>
      </w:r>
      <w:r>
        <w:rPr>
          <w:rFonts w:ascii="Arial" w:cs="Arial" w:eastAsia="Arial" w:hAnsi="Arial"/>
          <w:sz w:val="15"/>
          <w:szCs w:val="15"/>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5"/>
          <w:szCs w:val="15"/>
          <w:i w:val="1"/>
          <w:iCs w:val="1"/>
          <w:color w:val="auto"/>
        </w:rPr>
        <w:t>net rental payments</w:t>
      </w:r>
      <w:r>
        <w:rPr>
          <w:rFonts w:ascii="Arial" w:cs="Arial" w:eastAsia="Arial" w:hAnsi="Arial"/>
          <w:sz w:val="15"/>
          <w:szCs w:val="15"/>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61" w:lineRule="exact"/>
        <w:rPr>
          <w:sz w:val="20"/>
          <w:szCs w:val="20"/>
          <w:color w:val="auto"/>
        </w:rPr>
      </w:pPr>
    </w:p>
    <w:p>
      <w:pPr>
        <w:ind w:left="8" w:right="62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 of Directors</w:t>
      </w:r>
      <w:r>
        <w:rPr>
          <w:rFonts w:ascii="Arial" w:cs="Arial" w:eastAsia="Arial" w:hAnsi="Arial"/>
          <w:sz w:val="14"/>
          <w:szCs w:val="14"/>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17" w:lineRule="exact"/>
        <w:rPr>
          <w:sz w:val="20"/>
          <w:szCs w:val="20"/>
          <w:color w:val="auto"/>
        </w:rPr>
      </w:pPr>
    </w:p>
    <w:p>
      <w:pPr>
        <w:ind w:left="8" w:right="6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Business Day</w:t>
      </w:r>
      <w:r>
        <w:rPr>
          <w:rFonts w:ascii="Arial" w:cs="Arial" w:eastAsia="Arial" w:hAnsi="Arial"/>
          <w:sz w:val="15"/>
          <w:szCs w:val="15"/>
          <w:color w:val="auto"/>
        </w:rPr>
        <w:t>” means each Monday, Tuesday, Wednesday, Thursday and Friday which is not a day on which banking institutions in the City and State of New York are authorized or obligated by law, executive order or regulation to close.</w:t>
      </w:r>
    </w:p>
    <w:p>
      <w:pPr>
        <w:spacing w:after="0" w:line="141" w:lineRule="exact"/>
        <w:rPr>
          <w:sz w:val="20"/>
          <w:szCs w:val="20"/>
          <w:color w:val="auto"/>
        </w:rPr>
      </w:pPr>
    </w:p>
    <w:p>
      <w:pPr>
        <w:ind w:left="8"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Capitalized Lease</w:t>
      </w:r>
      <w:r>
        <w:rPr>
          <w:rFonts w:ascii="Arial" w:cs="Arial" w:eastAsia="Arial" w:hAnsi="Arial"/>
          <w:sz w:val="15"/>
          <w:szCs w:val="15"/>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41" w:lineRule="exact"/>
        <w:rPr>
          <w:sz w:val="20"/>
          <w:szCs w:val="20"/>
          <w:color w:val="auto"/>
        </w:rPr>
      </w:pPr>
    </w:p>
    <w:p>
      <w:pPr>
        <w:ind w:left="8"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Capitalized Lease Obligations</w:t>
      </w:r>
      <w:r>
        <w:rPr>
          <w:rFonts w:ascii="Arial" w:cs="Arial" w:eastAsia="Arial" w:hAnsi="Arial"/>
          <w:sz w:val="15"/>
          <w:szCs w:val="15"/>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5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Equivalents</w:t>
      </w:r>
      <w:r>
        <w:rPr>
          <w:rFonts w:ascii="Arial" w:cs="Arial" w:eastAsia="Arial" w:hAnsi="Arial"/>
          <w:sz w:val="15"/>
          <w:szCs w:val="15"/>
          <w:color w:val="auto"/>
        </w:rPr>
        <w:t>” means:</w:t>
      </w:r>
    </w:p>
    <w:p>
      <w:pPr>
        <w:spacing w:after="0" w:line="194" w:lineRule="exact"/>
        <w:rPr>
          <w:sz w:val="20"/>
          <w:szCs w:val="20"/>
          <w:color w:val="auto"/>
        </w:rPr>
      </w:pPr>
    </w:p>
    <w:p>
      <w:pPr>
        <w:ind w:left="548" w:right="660" w:hanging="548"/>
        <w:spacing w:after="0" w:line="322" w:lineRule="auto"/>
        <w:tabs>
          <w:tab w:leader="none" w:pos="554" w:val="left"/>
        </w:tabs>
        <w:numPr>
          <w:ilvl w:val="0"/>
          <w:numId w:val="75"/>
        </w:numPr>
        <w:rPr>
          <w:rFonts w:ascii="Arial" w:cs="Arial" w:eastAsia="Arial" w:hAnsi="Arial"/>
          <w:sz w:val="14"/>
          <w:szCs w:val="14"/>
          <w:color w:val="auto"/>
        </w:rPr>
      </w:pPr>
      <w:r>
        <w:rPr>
          <w:rFonts w:ascii="Arial" w:cs="Arial" w:eastAsia="Arial" w:hAnsi="Arial"/>
          <w:sz w:val="14"/>
          <w:szCs w:val="14"/>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17" w:lineRule="exact"/>
        <w:rPr>
          <w:rFonts w:ascii="Arial" w:cs="Arial" w:eastAsia="Arial" w:hAnsi="Arial"/>
          <w:sz w:val="14"/>
          <w:szCs w:val="14"/>
          <w:color w:val="auto"/>
        </w:rPr>
      </w:pPr>
    </w:p>
    <w:p>
      <w:pPr>
        <w:ind w:left="548" w:right="260" w:hanging="548"/>
        <w:spacing w:after="0" w:line="284" w:lineRule="auto"/>
        <w:tabs>
          <w:tab w:leader="none" w:pos="554"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investments in commercial paper maturing within 270 days from the date of acquisition thereof and having, at such date of acquisition, the highest credit rating obtained from S&amp;P or from Moody’s;</w:t>
      </w:r>
    </w:p>
    <w:p>
      <w:pPr>
        <w:spacing w:after="0" w:line="141" w:lineRule="exact"/>
        <w:rPr>
          <w:rFonts w:ascii="Arial" w:cs="Arial" w:eastAsia="Arial" w:hAnsi="Arial"/>
          <w:sz w:val="15"/>
          <w:szCs w:val="15"/>
          <w:color w:val="auto"/>
        </w:rPr>
      </w:pPr>
    </w:p>
    <w:p>
      <w:pPr>
        <w:jc w:val="both"/>
        <w:ind w:left="548" w:right="260" w:hanging="548"/>
        <w:spacing w:after="0" w:line="269" w:lineRule="auto"/>
        <w:tabs>
          <w:tab w:leader="none" w:pos="554"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152" w:lineRule="exact"/>
        <w:rPr>
          <w:rFonts w:ascii="Arial" w:cs="Arial" w:eastAsia="Arial" w:hAnsi="Arial"/>
          <w:sz w:val="15"/>
          <w:szCs w:val="15"/>
          <w:color w:val="auto"/>
        </w:rPr>
      </w:pPr>
    </w:p>
    <w:p>
      <w:pPr>
        <w:ind w:left="548" w:right="60" w:hanging="548"/>
        <w:spacing w:after="0" w:line="284" w:lineRule="auto"/>
        <w:tabs>
          <w:tab w:leader="none" w:pos="554" w:val="left"/>
        </w:tabs>
        <w:numPr>
          <w:ilvl w:val="0"/>
          <w:numId w:val="75"/>
        </w:numPr>
        <w:rPr>
          <w:rFonts w:ascii="Arial" w:cs="Arial" w:eastAsia="Arial" w:hAnsi="Arial"/>
          <w:sz w:val="15"/>
          <w:szCs w:val="15"/>
          <w:color w:val="auto"/>
        </w:rPr>
      </w:pPr>
      <w:r>
        <w:rPr>
          <w:rFonts w:ascii="Arial" w:cs="Arial" w:eastAsia="Arial" w:hAnsi="Arial"/>
          <w:sz w:val="15"/>
          <w:szCs w:val="15"/>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66" w:name="page67"/>
    <w:bookmarkEnd w:id="66"/>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60" w:hanging="548"/>
        <w:spacing w:after="0" w:line="284" w:lineRule="auto"/>
        <w:tabs>
          <w:tab w:leader="none" w:pos="554" w:val="left"/>
        </w:tabs>
        <w:numPr>
          <w:ilvl w:val="0"/>
          <w:numId w:val="76"/>
        </w:numPr>
        <w:rPr>
          <w:rFonts w:ascii="Arial" w:cs="Arial" w:eastAsia="Arial" w:hAnsi="Arial"/>
          <w:sz w:val="15"/>
          <w:szCs w:val="15"/>
          <w:color w:val="auto"/>
        </w:rPr>
      </w:pPr>
      <w:r>
        <w:rPr>
          <w:rFonts w:ascii="Arial" w:cs="Arial" w:eastAsia="Arial" w:hAnsi="Arial"/>
          <w:sz w:val="15"/>
          <w:szCs w:val="15"/>
          <w:color w:val="auto"/>
        </w:rPr>
        <w:t>money market funds that (i) comply with the criteria set forth in SEC Rule 2a-7 under the Investment Company Act of 1940, as amended, (ii) are rated AAA by S&amp;P and Aaa by Moody’s and (iii) have portfolio assets of at least $5.0 billion; and</w:t>
      </w:r>
    </w:p>
    <w:p>
      <w:pPr>
        <w:spacing w:after="0" w:line="141" w:lineRule="exact"/>
        <w:rPr>
          <w:rFonts w:ascii="Arial" w:cs="Arial" w:eastAsia="Arial" w:hAnsi="Arial"/>
          <w:sz w:val="15"/>
          <w:szCs w:val="15"/>
          <w:color w:val="auto"/>
        </w:rPr>
      </w:pPr>
    </w:p>
    <w:p>
      <w:pPr>
        <w:ind w:left="548" w:right="40" w:hanging="548"/>
        <w:spacing w:after="0" w:line="284" w:lineRule="auto"/>
        <w:tabs>
          <w:tab w:leader="none" w:pos="554"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41" w:lineRule="exact"/>
        <w:rPr>
          <w:sz w:val="20"/>
          <w:szCs w:val="20"/>
          <w:color w:val="auto"/>
        </w:rPr>
      </w:pPr>
    </w:p>
    <w:p>
      <w:pPr>
        <w:ind w:left="8" w:firstLine="549"/>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w:t>
      </w:r>
      <w:r>
        <w:rPr>
          <w:rFonts w:ascii="Arial" w:cs="Arial" w:eastAsia="Arial" w:hAnsi="Arial"/>
          <w:sz w:val="14"/>
          <w:szCs w:val="14"/>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5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 of Control Triggering Event</w:t>
      </w:r>
      <w:r>
        <w:rPr>
          <w:rFonts w:ascii="Arial" w:cs="Arial" w:eastAsia="Arial" w:hAnsi="Arial"/>
          <w:sz w:val="15"/>
          <w:szCs w:val="15"/>
          <w:color w:val="auto"/>
        </w:rPr>
        <w:t>” means the occurrence of both a Change of Control and a Rating Event.</w:t>
      </w:r>
    </w:p>
    <w:p>
      <w:pPr>
        <w:spacing w:after="0" w:line="194" w:lineRule="exact"/>
        <w:rPr>
          <w:sz w:val="20"/>
          <w:szCs w:val="20"/>
          <w:color w:val="auto"/>
        </w:rPr>
      </w:pPr>
    </w:p>
    <w:p>
      <w:pPr>
        <w:ind w:left="8" w:right="46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Common Stock</w:t>
      </w:r>
      <w:r>
        <w:rPr>
          <w:rFonts w:ascii="Arial" w:cs="Arial" w:eastAsia="Arial" w:hAnsi="Arial"/>
          <w:sz w:val="14"/>
          <w:szCs w:val="14"/>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17" w:lineRule="exact"/>
        <w:rPr>
          <w:sz w:val="20"/>
          <w:szCs w:val="20"/>
          <w:color w:val="auto"/>
        </w:rPr>
      </w:pPr>
    </w:p>
    <w:p>
      <w:pPr>
        <w:ind w:left="8" w:right="3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Amortization Expense</w:t>
      </w:r>
      <w:r>
        <w:rPr>
          <w:rFonts w:ascii="Arial" w:cs="Arial" w:eastAsia="Arial" w:hAnsi="Arial"/>
          <w:sz w:val="15"/>
          <w:szCs w:val="15"/>
          <w:color w:val="auto"/>
        </w:rPr>
        <w:t>” for any period means the amortization expense of the relevant Person and the Restricted Subsidiaries for such period, determined on a consolidated basis in accordance with GAAP.</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Cash Flow</w:t>
      </w:r>
      <w:r>
        <w:rPr>
          <w:rFonts w:ascii="Arial" w:cs="Arial" w:eastAsia="Arial" w:hAnsi="Arial"/>
          <w:sz w:val="13"/>
          <w:szCs w:val="13"/>
          <w:color w:val="auto"/>
        </w:rPr>
        <w:t>” for any period means, with respect to any specified Person and its Restricted Subsidiaries, without duplication, the sum of the amounts for such period</w:t>
      </w:r>
    </w:p>
    <w:p>
      <w:pPr>
        <w:spacing w:after="0" w:line="44" w:lineRule="exact"/>
        <w:rPr>
          <w:sz w:val="20"/>
          <w:szCs w:val="20"/>
          <w:color w:val="auto"/>
        </w:rPr>
      </w:pPr>
    </w:p>
    <w:p>
      <w:pPr>
        <w:ind w:left="8"/>
        <w:spacing w:after="0"/>
        <w:rPr>
          <w:sz w:val="20"/>
          <w:szCs w:val="20"/>
          <w:color w:val="auto"/>
        </w:rPr>
      </w:pPr>
      <w:r>
        <w:rPr>
          <w:rFonts w:ascii="Arial" w:cs="Arial" w:eastAsia="Arial" w:hAnsi="Arial"/>
          <w:sz w:val="15"/>
          <w:szCs w:val="15"/>
          <w:color w:val="auto"/>
        </w:rPr>
        <w:t>of:</w:t>
      </w:r>
    </w:p>
    <w:p>
      <w:pPr>
        <w:spacing w:after="0" w:line="183" w:lineRule="exact"/>
        <w:rPr>
          <w:sz w:val="20"/>
          <w:szCs w:val="20"/>
          <w:color w:val="auto"/>
        </w:rPr>
      </w:pPr>
    </w:p>
    <w:p>
      <w:pPr>
        <w:ind w:left="548" w:hanging="548"/>
        <w:spacing w:after="0"/>
        <w:tabs>
          <w:tab w:leader="none" w:pos="548"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Consolidated Net Income; plus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each case only to the extent deducted in determining Consolidated Net Income,</w:t>
      </w:r>
    </w:p>
    <w:p>
      <w:pPr>
        <w:spacing w:after="0" w:line="193" w:lineRule="exact"/>
        <w:rPr>
          <w:rFonts w:ascii="Arial" w:cs="Arial" w:eastAsia="Arial" w:hAnsi="Arial"/>
          <w:sz w:val="15"/>
          <w:szCs w:val="15"/>
          <w:color w:val="auto"/>
        </w:rPr>
      </w:pPr>
    </w:p>
    <w:p>
      <w:pPr>
        <w:ind w:left="1088" w:hanging="539"/>
        <w:spacing w:after="0"/>
        <w:tabs>
          <w:tab w:leader="none" w:pos="1088" w:val="left"/>
        </w:tabs>
        <w:numPr>
          <w:ilvl w:val="1"/>
          <w:numId w:val="77"/>
        </w:numPr>
        <w:rPr>
          <w:rFonts w:ascii="Arial" w:cs="Arial" w:eastAsia="Arial" w:hAnsi="Arial"/>
          <w:sz w:val="15"/>
          <w:szCs w:val="15"/>
          <w:color w:val="auto"/>
        </w:rPr>
      </w:pPr>
      <w:r>
        <w:rPr>
          <w:rFonts w:ascii="Arial" w:cs="Arial" w:eastAsia="Arial" w:hAnsi="Arial"/>
          <w:sz w:val="15"/>
          <w:szCs w:val="15"/>
          <w:color w:val="auto"/>
        </w:rPr>
        <w:t>Consolidated Income Tax Expense,</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77"/>
        </w:numPr>
        <w:rPr>
          <w:rFonts w:ascii="Arial" w:cs="Arial" w:eastAsia="Arial" w:hAnsi="Arial"/>
          <w:sz w:val="15"/>
          <w:szCs w:val="15"/>
          <w:color w:val="auto"/>
        </w:rPr>
      </w:pPr>
      <w:r>
        <w:rPr>
          <w:rFonts w:ascii="Arial" w:cs="Arial" w:eastAsia="Arial" w:hAnsi="Arial"/>
          <w:sz w:val="15"/>
          <w:szCs w:val="15"/>
          <w:color w:val="auto"/>
        </w:rPr>
        <w:t>Consolidated Amortization Expense,</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77"/>
        </w:numPr>
        <w:rPr>
          <w:rFonts w:ascii="Arial" w:cs="Arial" w:eastAsia="Arial" w:hAnsi="Arial"/>
          <w:sz w:val="15"/>
          <w:szCs w:val="15"/>
          <w:color w:val="auto"/>
        </w:rPr>
      </w:pPr>
      <w:r>
        <w:rPr>
          <w:rFonts w:ascii="Arial" w:cs="Arial" w:eastAsia="Arial" w:hAnsi="Arial"/>
          <w:sz w:val="15"/>
          <w:szCs w:val="15"/>
          <w:color w:val="auto"/>
        </w:rPr>
        <w:t>Consolidated Depreciation Expense,</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77"/>
        </w:numPr>
        <w:rPr>
          <w:rFonts w:ascii="Arial" w:cs="Arial" w:eastAsia="Arial" w:hAnsi="Arial"/>
          <w:sz w:val="15"/>
          <w:szCs w:val="15"/>
          <w:color w:val="auto"/>
        </w:rPr>
      </w:pPr>
      <w:r>
        <w:rPr>
          <w:rFonts w:ascii="Arial" w:cs="Arial" w:eastAsia="Arial" w:hAnsi="Arial"/>
          <w:sz w:val="15"/>
          <w:szCs w:val="15"/>
          <w:color w:val="auto"/>
        </w:rPr>
        <w:t>Consolidated Interest Expense, and</w:t>
      </w:r>
    </w:p>
    <w:p>
      <w:pPr>
        <w:spacing w:after="0" w:line="193" w:lineRule="exact"/>
        <w:rPr>
          <w:rFonts w:ascii="Arial" w:cs="Arial" w:eastAsia="Arial" w:hAnsi="Arial"/>
          <w:sz w:val="15"/>
          <w:szCs w:val="15"/>
          <w:color w:val="auto"/>
        </w:rPr>
      </w:pPr>
    </w:p>
    <w:p>
      <w:pPr>
        <w:ind w:left="1108" w:right="380" w:hanging="559"/>
        <w:spacing w:after="0" w:line="284" w:lineRule="auto"/>
        <w:tabs>
          <w:tab w:leader="none" w:pos="1117" w:val="left"/>
        </w:tabs>
        <w:numPr>
          <w:ilvl w:val="1"/>
          <w:numId w:val="77"/>
        </w:numPr>
        <w:rPr>
          <w:rFonts w:ascii="Arial" w:cs="Arial" w:eastAsia="Arial" w:hAnsi="Arial"/>
          <w:sz w:val="15"/>
          <w:szCs w:val="15"/>
          <w:color w:val="auto"/>
        </w:rPr>
      </w:pPr>
      <w:r>
        <w:rPr>
          <w:rFonts w:ascii="Arial" w:cs="Arial" w:eastAsia="Arial" w:hAnsi="Arial"/>
          <w:sz w:val="15"/>
          <w:szCs w:val="15"/>
          <w:color w:val="auto"/>
        </w:rPr>
        <w:t>all other non-cash items reducing the Consolidated Net Income (excluding any non-cash charge that results in an accrual of a reserve for cash charges in any future period) for such period; minus</w:t>
      </w:r>
    </w:p>
    <w:p>
      <w:pPr>
        <w:spacing w:after="0" w:line="141" w:lineRule="exact"/>
        <w:rPr>
          <w:rFonts w:ascii="Arial" w:cs="Arial" w:eastAsia="Arial" w:hAnsi="Arial"/>
          <w:sz w:val="15"/>
          <w:szCs w:val="15"/>
          <w:color w:val="auto"/>
        </w:rPr>
      </w:pPr>
    </w:p>
    <w:p>
      <w:pPr>
        <w:ind w:left="548" w:right="80" w:hanging="548"/>
        <w:spacing w:after="0" w:line="322" w:lineRule="auto"/>
        <w:tabs>
          <w:tab w:leader="none" w:pos="554"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17" w:lineRule="exact"/>
        <w:rPr>
          <w:rFonts w:ascii="Arial" w:cs="Arial" w:eastAsia="Arial" w:hAnsi="Arial"/>
          <w:sz w:val="14"/>
          <w:szCs w:val="14"/>
          <w:color w:val="auto"/>
        </w:rPr>
      </w:pPr>
    </w:p>
    <w:p>
      <w:pPr>
        <w:ind w:left="548" w:right="100" w:hanging="548"/>
        <w:spacing w:after="0" w:line="269" w:lineRule="auto"/>
        <w:tabs>
          <w:tab w:leader="none" w:pos="554" w:val="left"/>
        </w:tabs>
        <w:numPr>
          <w:ilvl w:val="0"/>
          <w:numId w:val="77"/>
        </w:numPr>
        <w:rPr>
          <w:rFonts w:ascii="Arial" w:cs="Arial" w:eastAsia="Arial" w:hAnsi="Arial"/>
          <w:sz w:val="15"/>
          <w:szCs w:val="15"/>
          <w:color w:val="auto"/>
        </w:rPr>
      </w:pPr>
      <w:r>
        <w:rPr>
          <w:rFonts w:ascii="Arial" w:cs="Arial" w:eastAsia="Arial" w:hAnsi="Arial"/>
          <w:sz w:val="15"/>
          <w:szCs w:val="15"/>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67" w:name="page68"/>
    <w:bookmarkEnd w:id="67"/>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4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Depreciation Expense</w:t>
      </w:r>
      <w:r>
        <w:rPr>
          <w:rFonts w:ascii="Arial" w:cs="Arial" w:eastAsia="Arial" w:hAnsi="Arial"/>
          <w:sz w:val="15"/>
          <w:szCs w:val="15"/>
          <w:color w:val="auto"/>
        </w:rPr>
        <w:t>” for any period means the depreciation expense of the relevant Person and its Restricted Subsidiaries for such period, determined on a consolidated basis in accordance with GAAP.</w:t>
      </w:r>
    </w:p>
    <w:p>
      <w:pPr>
        <w:spacing w:after="0" w:line="141" w:lineRule="exact"/>
        <w:rPr>
          <w:sz w:val="20"/>
          <w:szCs w:val="20"/>
          <w:color w:val="auto"/>
        </w:rPr>
      </w:pPr>
    </w:p>
    <w:p>
      <w:pPr>
        <w:ind w:left="8" w:right="28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Income Tax Expense</w:t>
      </w:r>
      <w:r>
        <w:rPr>
          <w:rFonts w:ascii="Arial" w:cs="Arial" w:eastAsia="Arial" w:hAnsi="Arial"/>
          <w:sz w:val="15"/>
          <w:szCs w:val="15"/>
          <w:color w:val="auto"/>
        </w:rPr>
        <w:t>” for any period means the provision for taxes of the relevant Person and its Restricted Subsidiaries, determined on a consolidated basis in accordance with GAAP.</w:t>
      </w:r>
    </w:p>
    <w:p>
      <w:pPr>
        <w:spacing w:after="0" w:line="141" w:lineRule="exact"/>
        <w:rPr>
          <w:sz w:val="20"/>
          <w:szCs w:val="20"/>
          <w:color w:val="auto"/>
        </w:rPr>
      </w:pPr>
    </w:p>
    <w:p>
      <w:pPr>
        <w:ind w:left="8" w:right="60" w:firstLine="549"/>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Interest Coverage Ratio</w:t>
      </w:r>
      <w:r>
        <w:rPr>
          <w:rFonts w:ascii="Arial" w:cs="Arial" w:eastAsia="Arial" w:hAnsi="Arial"/>
          <w:sz w:val="15"/>
          <w:szCs w:val="15"/>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5"/>
          <w:szCs w:val="15"/>
          <w:i w:val="1"/>
          <w:iCs w:val="1"/>
          <w:color w:val="auto"/>
        </w:rPr>
        <w:t>Four-Quarter Period</w:t>
      </w:r>
      <w:r>
        <w:rPr>
          <w:rFonts w:ascii="Arial" w:cs="Arial" w:eastAsia="Arial" w:hAnsi="Arial"/>
          <w:sz w:val="15"/>
          <w:szCs w:val="15"/>
          <w:color w:val="auto"/>
        </w:rPr>
        <w:t>”) ending on or prior to the date of the transaction giving rise to the need to calculate the Consolidated Interest Coverage Ratio (the “</w:t>
      </w:r>
      <w:r>
        <w:rPr>
          <w:rFonts w:ascii="Arial" w:cs="Arial" w:eastAsia="Arial" w:hAnsi="Arial"/>
          <w:sz w:val="15"/>
          <w:szCs w:val="15"/>
          <w:i w:val="1"/>
          <w:iCs w:val="1"/>
          <w:color w:val="auto"/>
        </w:rPr>
        <w:t>Transaction Date</w:t>
      </w:r>
      <w:r>
        <w:rPr>
          <w:rFonts w:ascii="Arial" w:cs="Arial" w:eastAsia="Arial" w:hAnsi="Arial"/>
          <w:sz w:val="15"/>
          <w:szCs w:val="15"/>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57" w:lineRule="exact"/>
        <w:rPr>
          <w:sz w:val="20"/>
          <w:szCs w:val="20"/>
          <w:color w:val="auto"/>
        </w:rPr>
      </w:pPr>
    </w:p>
    <w:p>
      <w:pPr>
        <w:ind w:left="548" w:right="20" w:hanging="548"/>
        <w:spacing w:after="0" w:line="260" w:lineRule="auto"/>
        <w:tabs>
          <w:tab w:leader="none" w:pos="554"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60" w:lineRule="exact"/>
        <w:rPr>
          <w:rFonts w:ascii="Arial" w:cs="Arial" w:eastAsia="Arial" w:hAnsi="Arial"/>
          <w:sz w:val="15"/>
          <w:szCs w:val="15"/>
          <w:color w:val="auto"/>
        </w:rPr>
      </w:pPr>
    </w:p>
    <w:p>
      <w:pPr>
        <w:ind w:left="548" w:hanging="548"/>
        <w:spacing w:after="0" w:line="281" w:lineRule="auto"/>
        <w:tabs>
          <w:tab w:leader="none" w:pos="554"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4"/>
          <w:szCs w:val="14"/>
          <w:i w:val="1"/>
          <w:iCs w:val="1"/>
          <w:color w:val="auto"/>
        </w:rPr>
        <w:t>provided</w:t>
      </w:r>
      <w:r>
        <w:rPr>
          <w:rFonts w:ascii="Arial" w:cs="Arial" w:eastAsia="Arial" w:hAnsi="Arial"/>
          <w:sz w:val="14"/>
          <w:szCs w:val="14"/>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45" w:lineRule="exact"/>
        <w:rPr>
          <w:rFonts w:ascii="Arial" w:cs="Arial" w:eastAsia="Arial" w:hAnsi="Arial"/>
          <w:sz w:val="14"/>
          <w:szCs w:val="14"/>
          <w:color w:val="auto"/>
        </w:rPr>
      </w:pPr>
    </w:p>
    <w:p>
      <w:pPr>
        <w:ind w:left="548"/>
        <w:spacing w:after="0"/>
        <w:rPr>
          <w:rFonts w:ascii="Arial" w:cs="Arial" w:eastAsia="Arial" w:hAnsi="Arial"/>
          <w:sz w:val="14"/>
          <w:szCs w:val="14"/>
          <w:color w:val="auto"/>
        </w:rPr>
      </w:pPr>
      <w:r>
        <w:rPr>
          <w:rFonts w:ascii="Arial" w:cs="Arial" w:eastAsia="Arial" w:hAnsi="Arial"/>
          <w:sz w:val="15"/>
          <w:szCs w:val="15"/>
          <w:color w:val="auto"/>
        </w:rPr>
        <w:t>In calculating Consolidated Interest Expense for purposes of determining the denominator (but not the numerator) of this Consolidated Interest Coverage Ratio:</w:t>
      </w:r>
    </w:p>
    <w:p>
      <w:pPr>
        <w:spacing w:after="0" w:line="194" w:lineRule="exact"/>
        <w:rPr>
          <w:sz w:val="20"/>
          <w:szCs w:val="20"/>
          <w:color w:val="auto"/>
        </w:rPr>
      </w:pPr>
    </w:p>
    <w:p>
      <w:pPr>
        <w:ind w:left="548" w:right="80" w:hanging="548"/>
        <w:spacing w:after="0" w:line="284" w:lineRule="auto"/>
        <w:tabs>
          <w:tab w:leader="none" w:pos="554"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41" w:lineRule="exact"/>
        <w:rPr>
          <w:rFonts w:ascii="Arial" w:cs="Arial" w:eastAsia="Arial" w:hAnsi="Arial"/>
          <w:sz w:val="15"/>
          <w:szCs w:val="15"/>
          <w:color w:val="auto"/>
        </w:rPr>
      </w:pPr>
    </w:p>
    <w:p>
      <w:pPr>
        <w:ind w:left="548" w:right="180" w:hanging="548"/>
        <w:spacing w:after="0" w:line="269" w:lineRule="auto"/>
        <w:tabs>
          <w:tab w:leader="none" w:pos="554" w:val="left"/>
        </w:tabs>
        <w:numPr>
          <w:ilvl w:val="0"/>
          <w:numId w:val="79"/>
        </w:numPr>
        <w:rPr>
          <w:rFonts w:ascii="Arial" w:cs="Arial" w:eastAsia="Arial" w:hAnsi="Arial"/>
          <w:sz w:val="15"/>
          <w:szCs w:val="15"/>
          <w:color w:val="auto"/>
        </w:rPr>
      </w:pPr>
      <w:r>
        <w:rPr>
          <w:rFonts w:ascii="Arial" w:cs="Arial" w:eastAsia="Arial" w:hAnsi="Arial"/>
          <w:sz w:val="15"/>
          <w:szCs w:val="15"/>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52" w:lineRule="exact"/>
        <w:rPr>
          <w:rFonts w:ascii="Arial" w:cs="Arial" w:eastAsia="Arial" w:hAnsi="Arial"/>
          <w:sz w:val="15"/>
          <w:szCs w:val="15"/>
          <w:color w:val="auto"/>
        </w:rPr>
      </w:pPr>
    </w:p>
    <w:p>
      <w:pPr>
        <w:ind w:left="548" w:right="420" w:hanging="548"/>
        <w:spacing w:after="0" w:line="284" w:lineRule="auto"/>
        <w:tabs>
          <w:tab w:leader="none" w:pos="554" w:val="left"/>
        </w:tabs>
        <w:numPr>
          <w:ilvl w:val="0"/>
          <w:numId w:val="79"/>
        </w:numPr>
        <w:rPr>
          <w:rFonts w:ascii="Arial" w:cs="Arial" w:eastAsia="Arial" w:hAnsi="Arial"/>
          <w:sz w:val="15"/>
          <w:szCs w:val="15"/>
          <w:color w:val="auto"/>
        </w:rPr>
      </w:pPr>
      <w:r>
        <w:rPr>
          <w:rFonts w:ascii="Arial" w:cs="Arial" w:eastAsia="Arial" w:hAnsi="Arial"/>
          <w:sz w:val="15"/>
          <w:szCs w:val="15"/>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41" w:lineRule="exact"/>
        <w:rPr>
          <w:sz w:val="20"/>
          <w:szCs w:val="20"/>
          <w:color w:val="auto"/>
        </w:rPr>
      </w:pPr>
    </w:p>
    <w:p>
      <w:pPr>
        <w:ind w:left="8" w:right="2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Interest Expense</w:t>
      </w:r>
      <w:r>
        <w:rPr>
          <w:rFonts w:ascii="Arial" w:cs="Arial" w:eastAsia="Arial" w:hAnsi="Arial"/>
          <w:sz w:val="15"/>
          <w:szCs w:val="15"/>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41" w:lineRule="exact"/>
        <w:rPr>
          <w:sz w:val="20"/>
          <w:szCs w:val="20"/>
          <w:color w:val="auto"/>
        </w:rPr>
      </w:pPr>
    </w:p>
    <w:p>
      <w:pPr>
        <w:ind w:left="548" w:hanging="548"/>
        <w:spacing w:after="0"/>
        <w:tabs>
          <w:tab w:leader="none" w:pos="548" w:val="left"/>
        </w:tabs>
        <w:numPr>
          <w:ilvl w:val="0"/>
          <w:numId w:val="80"/>
        </w:numPr>
        <w:rPr>
          <w:rFonts w:ascii="Arial" w:cs="Arial" w:eastAsia="Arial" w:hAnsi="Arial"/>
          <w:sz w:val="15"/>
          <w:szCs w:val="15"/>
          <w:color w:val="auto"/>
        </w:rPr>
      </w:pPr>
      <w:r>
        <w:rPr>
          <w:rFonts w:ascii="Arial" w:cs="Arial" w:eastAsia="Arial" w:hAnsi="Arial"/>
          <w:sz w:val="15"/>
          <w:szCs w:val="15"/>
          <w:color w:val="auto"/>
        </w:rPr>
        <w:t>imputed interest on Capitalized Lease Obligations and Attributable Indebtedness;</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68" w:name="page69"/>
    <w:bookmarkEnd w:id="68"/>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net costs associated with Hedging Obligations related to interest rates;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amortization of debt issuance costs, debt discount or premium and other financing fees and expenses;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interest portion of any deferred payment obligations;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all other non-cash interest expense;</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capitalized interest;</w:t>
      </w:r>
    </w:p>
    <w:p>
      <w:pPr>
        <w:spacing w:after="0" w:line="193" w:lineRule="exact"/>
        <w:rPr>
          <w:rFonts w:ascii="Arial" w:cs="Arial" w:eastAsia="Arial" w:hAnsi="Arial"/>
          <w:sz w:val="15"/>
          <w:szCs w:val="15"/>
          <w:color w:val="auto"/>
        </w:rPr>
      </w:pPr>
    </w:p>
    <w:p>
      <w:pPr>
        <w:ind w:left="548" w:right="60" w:hanging="548"/>
        <w:spacing w:after="0" w:line="284" w:lineRule="auto"/>
        <w:tabs>
          <w:tab w:leader="none" w:pos="554" w:val="left"/>
        </w:tabs>
        <w:numPr>
          <w:ilvl w:val="0"/>
          <w:numId w:val="81"/>
        </w:numPr>
        <w:rPr>
          <w:rFonts w:ascii="Arial" w:cs="Arial" w:eastAsia="Arial" w:hAnsi="Arial"/>
          <w:sz w:val="15"/>
          <w:szCs w:val="15"/>
          <w:color w:val="auto"/>
        </w:rPr>
      </w:pPr>
      <w:r>
        <w:rPr>
          <w:rFonts w:ascii="Arial" w:cs="Arial" w:eastAsia="Arial" w:hAnsi="Arial"/>
          <w:sz w:val="15"/>
          <w:szCs w:val="15"/>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all interest payable with respect to discontinued operations; and</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all interest on any Indebtedness described in clause (6) or (7) of the definition of Indebtedness.</w:t>
      </w:r>
    </w:p>
    <w:p>
      <w:pPr>
        <w:spacing w:after="0" w:line="194" w:lineRule="exact"/>
        <w:rPr>
          <w:sz w:val="20"/>
          <w:szCs w:val="20"/>
          <w:color w:val="auto"/>
        </w:rPr>
      </w:pPr>
    </w:p>
    <w:p>
      <w:pPr>
        <w:ind w:left="8" w:right="80" w:firstLine="54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Net Income</w:t>
      </w:r>
      <w:r>
        <w:rPr>
          <w:rFonts w:ascii="Arial" w:cs="Arial" w:eastAsia="Arial" w:hAnsi="Arial"/>
          <w:sz w:val="13"/>
          <w:szCs w:val="13"/>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there shall be excluded in calculating such net income (or loss), to the extent otherwise included therein, without duplication:</w:t>
      </w:r>
    </w:p>
    <w:p>
      <w:pPr>
        <w:spacing w:after="0" w:line="95" w:lineRule="exact"/>
        <w:rPr>
          <w:sz w:val="20"/>
          <w:szCs w:val="20"/>
          <w:color w:val="auto"/>
        </w:rPr>
      </w:pPr>
    </w:p>
    <w:p>
      <w:pPr>
        <w:ind w:left="548" w:right="240" w:hanging="548"/>
        <w:spacing w:after="0" w:line="322" w:lineRule="auto"/>
        <w:tabs>
          <w:tab w:leader="none" w:pos="55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17" w:lineRule="exact"/>
        <w:rPr>
          <w:rFonts w:ascii="Arial" w:cs="Arial" w:eastAsia="Arial" w:hAnsi="Arial"/>
          <w:sz w:val="14"/>
          <w:szCs w:val="14"/>
          <w:color w:val="auto"/>
        </w:rPr>
      </w:pPr>
    </w:p>
    <w:p>
      <w:pPr>
        <w:ind w:left="548" w:right="200" w:hanging="548"/>
        <w:spacing w:after="0" w:line="297" w:lineRule="auto"/>
        <w:tabs>
          <w:tab w:leader="none" w:pos="554"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34" w:lineRule="exact"/>
        <w:rPr>
          <w:rFonts w:ascii="Arial" w:cs="Arial" w:eastAsia="Arial" w:hAnsi="Arial"/>
          <w:sz w:val="14"/>
          <w:szCs w:val="14"/>
          <w:color w:val="auto"/>
        </w:rPr>
      </w:pPr>
    </w:p>
    <w:p>
      <w:pPr>
        <w:ind w:left="548" w:hanging="548"/>
        <w:spacing w:after="0" w:line="264" w:lineRule="auto"/>
        <w:tabs>
          <w:tab w:leader="none" w:pos="554"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56" w:lineRule="exact"/>
        <w:rPr>
          <w:rFonts w:ascii="Arial" w:cs="Arial" w:eastAsia="Arial" w:hAnsi="Arial"/>
          <w:sz w:val="15"/>
          <w:szCs w:val="15"/>
          <w:color w:val="auto"/>
        </w:rPr>
      </w:pPr>
    </w:p>
    <w:p>
      <w:pPr>
        <w:ind w:left="548" w:hanging="548"/>
        <w:spacing w:after="0"/>
        <w:tabs>
          <w:tab w:leader="none" w:pos="5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gains or losses attributable to discontinued operations;</w:t>
      </w:r>
    </w:p>
    <w:p>
      <w:pPr>
        <w:spacing w:after="0" w:line="193" w:lineRule="exact"/>
        <w:rPr>
          <w:rFonts w:ascii="Arial" w:cs="Arial" w:eastAsia="Arial" w:hAnsi="Arial"/>
          <w:sz w:val="15"/>
          <w:szCs w:val="15"/>
          <w:color w:val="auto"/>
        </w:rPr>
      </w:pPr>
    </w:p>
    <w:p>
      <w:pPr>
        <w:ind w:left="548" w:right="80" w:hanging="548"/>
        <w:spacing w:after="0" w:line="322" w:lineRule="auto"/>
        <w:tabs>
          <w:tab w:leader="none" w:pos="554"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17" w:lineRule="exact"/>
        <w:rPr>
          <w:rFonts w:ascii="Arial" w:cs="Arial" w:eastAsia="Arial" w:hAnsi="Arial"/>
          <w:sz w:val="14"/>
          <w:szCs w:val="14"/>
          <w:color w:val="auto"/>
        </w:rPr>
      </w:pPr>
    </w:p>
    <w:p>
      <w:pPr>
        <w:ind w:left="548" w:hanging="548"/>
        <w:spacing w:after="0"/>
        <w:tabs>
          <w:tab w:leader="none" w:pos="5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gains and losses due solely to fluctuations in currency values and the related tax effects according to GAAP;</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unrealized gains and losses with respect to Hedging Obligations;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cumulative effect of any change in accounting principles or policies;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extraordinary gains and losses and the related tax effect;</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non-cash charges or expenses with respect to the grant of stock options, restricted stock or other equity compensation awards; and</w:t>
      </w:r>
    </w:p>
    <w:p>
      <w:pPr>
        <w:spacing w:after="0" w:line="194"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8"/>
          </w:cols>
          <w:pgMar w:left="232" w:top="129" w:right="279" w:bottom="1440" w:gutter="0" w:footer="0" w:header="0"/>
        </w:sectPr>
      </w:pPr>
    </w:p>
    <w:bookmarkStart w:id="69" w:name="page70"/>
    <w:bookmarkEnd w:id="69"/>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hanging="548"/>
        <w:spacing w:after="0"/>
        <w:tabs>
          <w:tab w:leader="none" w:pos="548" w:val="left"/>
        </w:tabs>
        <w:numPr>
          <w:ilvl w:val="0"/>
          <w:numId w:val="83"/>
        </w:numPr>
        <w:rPr>
          <w:rFonts w:ascii="Arial" w:cs="Arial" w:eastAsia="Arial" w:hAnsi="Arial"/>
          <w:sz w:val="15"/>
          <w:szCs w:val="15"/>
          <w:color w:val="auto"/>
        </w:rPr>
      </w:pPr>
      <w:r>
        <w:rPr>
          <w:rFonts w:ascii="Arial" w:cs="Arial" w:eastAsia="Arial" w:hAnsi="Arial"/>
          <w:sz w:val="15"/>
          <w:szCs w:val="15"/>
          <w:color w:val="auto"/>
        </w:rPr>
        <w:t>goodwill write-downs or other non-cash impairments of assets.</w:t>
      </w:r>
    </w:p>
    <w:p>
      <w:pPr>
        <w:spacing w:after="0" w:line="194" w:lineRule="exact"/>
        <w:rPr>
          <w:sz w:val="20"/>
          <w:szCs w:val="20"/>
          <w:color w:val="auto"/>
        </w:rPr>
      </w:pPr>
    </w:p>
    <w:p>
      <w:pPr>
        <w:ind w:left="8" w:right="1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Worth</w:t>
      </w:r>
      <w:r>
        <w:rPr>
          <w:rFonts w:ascii="Arial" w:cs="Arial" w:eastAsia="Arial" w:hAnsi="Arial"/>
          <w:sz w:val="15"/>
          <w:szCs w:val="15"/>
          <w:color w:val="auto"/>
        </w:rPr>
        <w:t>” means, at any date of determination, the amount of total shareholders’ equity shown in the most recent consolidated statement of financial position of the Parent Guarantor.</w:t>
      </w:r>
    </w:p>
    <w:p>
      <w:pPr>
        <w:spacing w:after="0" w:line="141" w:lineRule="exact"/>
        <w:rPr>
          <w:sz w:val="20"/>
          <w:szCs w:val="20"/>
          <w:color w:val="auto"/>
        </w:rPr>
      </w:pPr>
    </w:p>
    <w:p>
      <w:pPr>
        <w:ind w:left="8" w:right="28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Tangible Assets</w:t>
      </w:r>
      <w:r>
        <w:rPr>
          <w:rFonts w:ascii="Arial" w:cs="Arial" w:eastAsia="Arial" w:hAnsi="Arial"/>
          <w:sz w:val="15"/>
          <w:szCs w:val="15"/>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57" w:lineRule="exact"/>
        <w:rPr>
          <w:sz w:val="20"/>
          <w:szCs w:val="20"/>
          <w:color w:val="auto"/>
        </w:rPr>
      </w:pPr>
    </w:p>
    <w:p>
      <w:pPr>
        <w:ind w:left="8" w:right="20" w:firstLine="549"/>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Continuing Directors</w:t>
      </w:r>
      <w:r>
        <w:rPr>
          <w:rFonts w:ascii="Arial" w:cs="Arial" w:eastAsia="Arial" w:hAnsi="Arial"/>
          <w:sz w:val="14"/>
          <w:szCs w:val="14"/>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4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corporation</w:t>
      </w:r>
      <w:r>
        <w:rPr>
          <w:rFonts w:ascii="Arial" w:cs="Arial" w:eastAsia="Arial" w:hAnsi="Arial"/>
          <w:sz w:val="15"/>
          <w:szCs w:val="15"/>
          <w:color w:val="auto"/>
        </w:rPr>
        <w:t>” includes corporations, companies, associations, partnerships, limited partnerships, limited liability companies, joint-stock companies and trusts.</w:t>
      </w:r>
    </w:p>
    <w:p>
      <w:pPr>
        <w:spacing w:after="0" w:line="194" w:lineRule="exact"/>
        <w:rPr>
          <w:sz w:val="20"/>
          <w:szCs w:val="20"/>
          <w:color w:val="auto"/>
        </w:rPr>
      </w:pPr>
    </w:p>
    <w:p>
      <w:pPr>
        <w:ind w:left="8" w:right="3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Coverage Ratio Exception</w:t>
      </w:r>
      <w:r>
        <w:rPr>
          <w:rFonts w:ascii="Arial" w:cs="Arial" w:eastAsia="Arial" w:hAnsi="Arial"/>
          <w:sz w:val="15"/>
          <w:szCs w:val="15"/>
          <w:color w:val="auto"/>
        </w:rPr>
        <w:t>” has the meaning set forth in the proviso in the first paragraph of the covenant described under “—Certain Covenants—Limitation on Additional Indebtedness.”</w:t>
      </w:r>
    </w:p>
    <w:p>
      <w:pPr>
        <w:spacing w:after="0" w:line="141" w:lineRule="exact"/>
        <w:rPr>
          <w:sz w:val="20"/>
          <w:szCs w:val="20"/>
          <w:color w:val="auto"/>
        </w:rPr>
      </w:pPr>
    </w:p>
    <w:p>
      <w:pPr>
        <w:ind w:left="8" w:right="120" w:firstLine="549"/>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Credit Facilities</w:t>
      </w:r>
      <w:r>
        <w:rPr>
          <w:rFonts w:ascii="Arial" w:cs="Arial" w:eastAsia="Arial" w:hAnsi="Arial"/>
          <w:sz w:val="14"/>
          <w:szCs w:val="14"/>
          <w:color w:val="auto"/>
        </w:rPr>
        <w:t>” means one or more debt facilities or indentures (which may be outstanding at the same time and including, without limitation, the Revolving Credit Agreement, the Term Loan Agreement and the 364-Day Credit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to the extent such increase is permitted under the Indenture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47" w:lineRule="exact"/>
        <w:rPr>
          <w:sz w:val="20"/>
          <w:szCs w:val="20"/>
          <w:color w:val="auto"/>
        </w:rPr>
      </w:pPr>
    </w:p>
    <w:p>
      <w:pPr>
        <w:jc w:val="both"/>
        <w:ind w:left="8" w:right="40" w:firstLine="549"/>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Customary Recourse Exceptions</w:t>
      </w:r>
      <w:r>
        <w:rPr>
          <w:rFonts w:ascii="Arial" w:cs="Arial" w:eastAsia="Arial" w:hAnsi="Arial"/>
          <w:sz w:val="14"/>
          <w:szCs w:val="14"/>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5" w:lineRule="exact"/>
        <w:rPr>
          <w:sz w:val="20"/>
          <w:szCs w:val="20"/>
          <w:color w:val="auto"/>
        </w:rPr>
      </w:pPr>
    </w:p>
    <w:p>
      <w:pPr>
        <w:jc w:val="both"/>
        <w:ind w:left="8" w:right="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Debt</w:t>
      </w:r>
      <w:r>
        <w:rPr>
          <w:rFonts w:ascii="Arial" w:cs="Arial" w:eastAsia="Arial" w:hAnsi="Arial"/>
          <w:sz w:val="15"/>
          <w:szCs w:val="15"/>
          <w:color w:val="auto"/>
        </w:rPr>
        <w:t>” means any obligation created or assumed by any Person for the repayment of money borrowed and any Purchase Money Indebtedness created or assumed by such Person and any guarantee of the foregoing.</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Default</w:t>
      </w:r>
      <w:r>
        <w:rPr>
          <w:rFonts w:ascii="Arial" w:cs="Arial" w:eastAsia="Arial" w:hAnsi="Arial"/>
          <w:sz w:val="15"/>
          <w:szCs w:val="15"/>
          <w:color w:val="auto"/>
        </w:rPr>
        <w:t>” means any event, act or condition that, after notice or the passage of time or both, would be an Event of Default.</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Designation</w:t>
      </w:r>
      <w:r>
        <w:rPr>
          <w:rFonts w:ascii="Arial" w:cs="Arial" w:eastAsia="Arial" w:hAnsi="Arial"/>
          <w:sz w:val="15"/>
          <w:szCs w:val="15"/>
          <w:color w:val="auto"/>
        </w:rPr>
        <w:t>” has the meaning given to this term in the covenant described under “—Certain Covenants—Limitation on Designation of Unrestricted Subsidiaries.”</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Designation Amount</w:t>
      </w:r>
      <w:r>
        <w:rPr>
          <w:rFonts w:ascii="Arial" w:cs="Arial" w:eastAsia="Arial" w:hAnsi="Arial"/>
          <w:sz w:val="14"/>
          <w:szCs w:val="14"/>
          <w:color w:val="auto"/>
        </w:rPr>
        <w:t>” has the meaning given to this term in the covenant described under “—Certain Covenants—Limitation on Designation of Unrestricted Subsidiaries.”</w:t>
      </w:r>
    </w:p>
    <w:p>
      <w:pPr>
        <w:spacing w:after="0" w:line="205" w:lineRule="exact"/>
        <w:rPr>
          <w:sz w:val="20"/>
          <w:szCs w:val="20"/>
          <w:color w:val="auto"/>
        </w:rPr>
      </w:pPr>
    </w:p>
    <w:p>
      <w:pPr>
        <w:ind w:left="8"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Disqualified Equity Interests</w:t>
      </w:r>
      <w:r>
        <w:rPr>
          <w:rFonts w:ascii="Arial" w:cs="Arial" w:eastAsia="Arial" w:hAnsi="Arial"/>
          <w:sz w:val="14"/>
          <w:szCs w:val="14"/>
          <w:color w:val="auto"/>
        </w:rPr>
        <w:t>”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w:t>
      </w:r>
    </w:p>
    <w:p>
      <w:pPr>
        <w:spacing w:after="0" w:line="11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 xml:space="preserve">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in control occurring prior to the 91st day after the Stated Maturity of the Notes shall not constitute Disqualified Equity Interests if the change of control provisions applicable to such Equity Interests are no more favorable to such holders than the provisions described under “—Change of Control Repurchase Event,” and such Equity Interests specifically provide that the Issuer will not repurchase or redeem any such Equity Interests pursuant to such provisions prior to the Issuer’s purchase of the Notes as required pursuant to the provisions described under “—Change of Control Repurchase Event.”</w:t>
      </w:r>
    </w:p>
    <w:p>
      <w:pPr>
        <w:spacing w:after="0" w:line="153" w:lineRule="exact"/>
        <w:rPr>
          <w:sz w:val="20"/>
          <w:szCs w:val="20"/>
          <w:color w:val="auto"/>
        </w:rPr>
      </w:pPr>
    </w:p>
    <w:p>
      <w:pPr>
        <w:ind w:right="4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dollars,</w:t>
      </w:r>
      <w:r>
        <w:rPr>
          <w:rFonts w:ascii="Arial" w:cs="Arial" w:eastAsia="Arial" w:hAnsi="Arial"/>
          <w:sz w:val="15"/>
          <w:szCs w:val="15"/>
          <w:color w:val="auto"/>
        </w:rPr>
        <w:t>” “</w:t>
      </w:r>
      <w:r>
        <w:rPr>
          <w:rFonts w:ascii="Arial" w:cs="Arial" w:eastAsia="Arial" w:hAnsi="Arial"/>
          <w:sz w:val="15"/>
          <w:szCs w:val="15"/>
          <w:i w:val="1"/>
          <w:iCs w:val="1"/>
          <w:color w:val="auto"/>
        </w:rPr>
        <w:t>U.S. dollars</w:t>
      </w:r>
      <w:r>
        <w:rPr>
          <w:rFonts w:ascii="Arial" w:cs="Arial" w:eastAsia="Arial" w:hAnsi="Arial"/>
          <w:sz w:val="15"/>
          <w:szCs w:val="15"/>
          <w:color w:val="auto"/>
        </w:rPr>
        <w:t>” or “</w:t>
      </w:r>
      <w:r>
        <w:rPr>
          <w:rFonts w:ascii="Arial" w:cs="Arial" w:eastAsia="Arial" w:hAnsi="Arial"/>
          <w:sz w:val="15"/>
          <w:szCs w:val="15"/>
          <w:i w:val="1"/>
          <w:iCs w:val="1"/>
          <w:color w:val="auto"/>
        </w:rPr>
        <w:t>$</w:t>
      </w:r>
      <w:r>
        <w:rPr>
          <w:rFonts w:ascii="Arial" w:cs="Arial" w:eastAsia="Arial" w:hAnsi="Arial"/>
          <w:sz w:val="15"/>
          <w:szCs w:val="15"/>
          <w:color w:val="auto"/>
        </w:rPr>
        <w:t>” shall mean the coin or currency of the United States of America, which at the time of payment is legal tender for the payment of public and private debts.</w:t>
      </w:r>
    </w:p>
    <w:p>
      <w:pPr>
        <w:spacing w:after="0" w:line="141" w:lineRule="exact"/>
        <w:rPr>
          <w:sz w:val="20"/>
          <w:szCs w:val="20"/>
          <w:color w:val="auto"/>
        </w:rPr>
      </w:pPr>
    </w:p>
    <w:p>
      <w:pPr>
        <w:ind w:right="6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Equity Interests</w:t>
      </w:r>
      <w:r>
        <w:rPr>
          <w:rFonts w:ascii="Arial" w:cs="Arial" w:eastAsia="Arial" w:hAnsi="Arial"/>
          <w:sz w:val="15"/>
          <w:szCs w:val="15"/>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U.S. Securities Exchange Act of 1934, as amended.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Guarantee</w:t>
      </w:r>
      <w:r>
        <w:rPr>
          <w:rFonts w:ascii="Arial" w:cs="Arial" w:eastAsia="Arial" w:hAnsi="Arial"/>
          <w:sz w:val="15"/>
          <w:szCs w:val="15"/>
          <w:color w:val="auto"/>
        </w:rPr>
        <w:t>” means each Guarantee of the obligations with respect to the Exchange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Notes</w:t>
      </w:r>
      <w:r>
        <w:rPr>
          <w:rFonts w:ascii="Arial" w:cs="Arial" w:eastAsia="Arial" w:hAnsi="Arial"/>
          <w:sz w:val="15"/>
          <w:szCs w:val="15"/>
          <w:color w:val="auto"/>
        </w:rPr>
        <w:t>” means the Notes issued in the Exchange Offer.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Offer</w:t>
      </w:r>
      <w:r>
        <w:rPr>
          <w:rFonts w:ascii="Arial" w:cs="Arial" w:eastAsia="Arial" w:hAnsi="Arial"/>
          <w:sz w:val="15"/>
          <w:szCs w:val="15"/>
          <w:color w:val="auto"/>
        </w:rPr>
        <w:t>” has the meaning set forth for such term in the registration rights agreement.</w:t>
      </w:r>
    </w:p>
    <w:p>
      <w:pPr>
        <w:spacing w:after="0" w:line="194"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Fair Market Value</w:t>
      </w:r>
      <w:r>
        <w:rPr>
          <w:rFonts w:ascii="Arial" w:cs="Arial" w:eastAsia="Arial" w:hAnsi="Arial"/>
          <w:sz w:val="15"/>
          <w:szCs w:val="15"/>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52" w:lineRule="exact"/>
        <w:rPr>
          <w:sz w:val="20"/>
          <w:szCs w:val="20"/>
          <w:color w:val="auto"/>
        </w:rPr>
      </w:pPr>
    </w:p>
    <w:p>
      <w:pPr>
        <w:ind w:right="3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Foreign Restricted Subsidiary</w:t>
      </w:r>
      <w:r>
        <w:rPr>
          <w:rFonts w:ascii="Arial" w:cs="Arial" w:eastAsia="Arial" w:hAnsi="Arial"/>
          <w:sz w:val="15"/>
          <w:szCs w:val="15"/>
          <w:color w:val="auto"/>
        </w:rPr>
        <w:t>” means any Restricted Subsidiary not organized or existing under the laws of the United States, any State thereof or the District of Columbia, other than a Guarantor.</w:t>
      </w:r>
    </w:p>
    <w:p>
      <w:pPr>
        <w:spacing w:after="0" w:line="141" w:lineRule="exact"/>
        <w:rPr>
          <w:sz w:val="20"/>
          <w:szCs w:val="20"/>
          <w:color w:val="auto"/>
        </w:rPr>
      </w:pPr>
    </w:p>
    <w:p>
      <w:pPr>
        <w:ind w:right="16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GAAP</w:t>
      </w:r>
      <w:r>
        <w:rPr>
          <w:rFonts w:ascii="Arial" w:cs="Arial" w:eastAsia="Arial" w:hAnsi="Arial"/>
          <w:sz w:val="15"/>
          <w:szCs w:val="15"/>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52" w:lineRule="exact"/>
        <w:rPr>
          <w:sz w:val="20"/>
          <w:szCs w:val="20"/>
          <w:color w:val="auto"/>
        </w:rPr>
      </w:pPr>
    </w:p>
    <w:p>
      <w:pPr>
        <w:jc w:val="both"/>
        <w:ind w:right="46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guarantee</w:t>
      </w:r>
      <w:r>
        <w:rPr>
          <w:rFonts w:ascii="Arial" w:cs="Arial" w:eastAsia="Arial" w:hAnsi="Arial"/>
          <w:sz w:val="15"/>
          <w:szCs w:val="15"/>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71" w:name="page72"/>
    <w:bookmarkEnd w:id="71"/>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3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Guarantee</w:t>
      </w:r>
      <w:r>
        <w:rPr>
          <w:rFonts w:ascii="Arial" w:cs="Arial" w:eastAsia="Arial" w:hAnsi="Arial"/>
          <w:sz w:val="15"/>
          <w:szCs w:val="15"/>
          <w:color w:val="auto"/>
        </w:rPr>
        <w:t>” means, individually, any guarantee of payment of the Notes by a Guarantor pursuant to the terms of the Indenture and any supplemental indenture thereto, and, collectively, all such guarantees.</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Guarantors</w:t>
      </w:r>
      <w:r>
        <w:rPr>
          <w:rFonts w:ascii="Arial" w:cs="Arial" w:eastAsia="Arial" w:hAnsi="Arial"/>
          <w:sz w:val="14"/>
          <w:szCs w:val="14"/>
          <w:color w:val="auto"/>
        </w:rPr>
        <w:t>” means the Parent Guarantor and each Subsidiary Guarantor, until such Person is released from its Guarantee in accordance with the terms of the Indenture.</w:t>
      </w:r>
    </w:p>
    <w:p>
      <w:pPr>
        <w:spacing w:after="0" w:line="205" w:lineRule="exact"/>
        <w:rPr>
          <w:sz w:val="20"/>
          <w:szCs w:val="20"/>
          <w:color w:val="auto"/>
        </w:rPr>
      </w:pPr>
    </w:p>
    <w:p>
      <w:pPr>
        <w:ind w:left="8" w:right="10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Hedging Obligations</w:t>
      </w:r>
      <w:r>
        <w:rPr>
          <w:rFonts w:ascii="Arial" w:cs="Arial" w:eastAsia="Arial" w:hAnsi="Arial"/>
          <w:sz w:val="15"/>
          <w:szCs w:val="15"/>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5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Holder</w:t>
      </w:r>
      <w:r>
        <w:rPr>
          <w:rFonts w:ascii="Arial" w:cs="Arial" w:eastAsia="Arial" w:hAnsi="Arial"/>
          <w:sz w:val="15"/>
          <w:szCs w:val="15"/>
          <w:color w:val="auto"/>
        </w:rPr>
        <w:t>” means any registered holder, from time to time, of the Notes.</w:t>
      </w:r>
    </w:p>
    <w:p>
      <w:pPr>
        <w:spacing w:after="0" w:line="194" w:lineRule="exact"/>
        <w:rPr>
          <w:sz w:val="20"/>
          <w:szCs w:val="20"/>
          <w:color w:val="auto"/>
        </w:rPr>
      </w:pPr>
    </w:p>
    <w:p>
      <w:pPr>
        <w:ind w:left="8" w:firstLine="549"/>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incur</w:t>
      </w:r>
      <w:r>
        <w:rPr>
          <w:rFonts w:ascii="Arial" w:cs="Arial" w:eastAsia="Arial" w:hAnsi="Arial"/>
          <w:sz w:val="14"/>
          <w:szCs w:val="14"/>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4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Indebtedness</w:t>
      </w:r>
      <w:r>
        <w:rPr>
          <w:rFonts w:ascii="Arial" w:cs="Arial" w:eastAsia="Arial" w:hAnsi="Arial"/>
          <w:sz w:val="15"/>
          <w:szCs w:val="15"/>
          <w:color w:val="auto"/>
        </w:rPr>
        <w:t>” of any Person at any date means, without duplication:</w:t>
      </w:r>
    </w:p>
    <w:p>
      <w:pPr>
        <w:spacing w:after="0" w:line="194" w:lineRule="exact"/>
        <w:rPr>
          <w:sz w:val="20"/>
          <w:szCs w:val="20"/>
          <w:color w:val="auto"/>
        </w:rPr>
      </w:pPr>
    </w:p>
    <w:p>
      <w:pPr>
        <w:ind w:left="548" w:right="360" w:hanging="548"/>
        <w:spacing w:after="0" w:line="284" w:lineRule="auto"/>
        <w:tabs>
          <w:tab w:leader="none" w:pos="554"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liabilities, contingent or otherwise, of such Person for borrowed money (whether or not the recourse of the lender is to the whole of the assets of such Person or only to a portion thereof);</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obligations of such Person evidenced by bonds, debentures, bankers’ acceptances, notes or other similar instruments;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non-contingent reimbursement obligations of such Person in respect of letters of credit, letters of guaranty and similar credit transactions;</w:t>
      </w:r>
    </w:p>
    <w:p>
      <w:pPr>
        <w:spacing w:after="0" w:line="193" w:lineRule="exact"/>
        <w:rPr>
          <w:rFonts w:ascii="Arial" w:cs="Arial" w:eastAsia="Arial" w:hAnsi="Arial"/>
          <w:sz w:val="15"/>
          <w:szCs w:val="15"/>
          <w:color w:val="auto"/>
        </w:rPr>
      </w:pPr>
    </w:p>
    <w:p>
      <w:pPr>
        <w:ind w:left="548" w:right="220" w:hanging="548"/>
        <w:spacing w:after="0" w:line="269" w:lineRule="auto"/>
        <w:tabs>
          <w:tab w:leader="none" w:pos="554"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maximum fixed redemption or repurchase price of all Disqualified Equity Interests of such Person or, with respect to any Subsidiary of such Person, any Preferred Stock;</w:t>
      </w:r>
    </w:p>
    <w:p>
      <w:pPr>
        <w:spacing w:after="0" w:line="205" w:lineRule="exact"/>
        <w:rPr>
          <w:rFonts w:ascii="Arial" w:cs="Arial" w:eastAsia="Arial" w:hAnsi="Arial"/>
          <w:sz w:val="14"/>
          <w:szCs w:val="14"/>
          <w:color w:val="auto"/>
        </w:rPr>
      </w:pPr>
    </w:p>
    <w:p>
      <w:pPr>
        <w:ind w:left="548" w:right="300" w:hanging="548"/>
        <w:spacing w:after="0" w:line="284" w:lineRule="auto"/>
        <w:tabs>
          <w:tab w:leader="none" w:pos="554"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Capitalized Lease Obligations of such Person to the extent such obligations would appear as a liability on a balance sheet (excluding the footnotes thereto) of such Person prepared in accordance with GAAP;</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4"/>
        </w:numPr>
        <w:rPr>
          <w:rFonts w:ascii="Arial" w:cs="Arial" w:eastAsia="Arial" w:hAnsi="Arial"/>
          <w:sz w:val="15"/>
          <w:szCs w:val="15"/>
          <w:color w:val="auto"/>
        </w:rPr>
      </w:pPr>
      <w:r>
        <w:rPr>
          <w:rFonts w:ascii="Arial" w:cs="Arial" w:eastAsia="Arial" w:hAnsi="Arial"/>
          <w:sz w:val="15"/>
          <w:szCs w:val="15"/>
          <w:color w:val="auto"/>
        </w:rPr>
        <w:t>all Indebtedness of others secured by a Lien on any asset of such Person, whether or not such Indebtedness is assumed by such Person;</w:t>
      </w:r>
    </w:p>
    <w:p>
      <w:pPr>
        <w:spacing w:after="0" w:line="193" w:lineRule="exact"/>
        <w:rPr>
          <w:rFonts w:ascii="Arial" w:cs="Arial" w:eastAsia="Arial" w:hAnsi="Arial"/>
          <w:sz w:val="15"/>
          <w:szCs w:val="15"/>
          <w:color w:val="auto"/>
        </w:rPr>
      </w:pPr>
    </w:p>
    <w:p>
      <w:pPr>
        <w:ind w:left="548" w:right="300" w:hanging="548"/>
        <w:spacing w:after="0" w:line="365" w:lineRule="auto"/>
        <w:tabs>
          <w:tab w:leader="none" w:pos="554"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all Indebtedness of others guaranteed by such Person to the extent of such guarantee;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94" w:lineRule="exact"/>
        <w:rPr>
          <w:rFonts w:ascii="Arial" w:cs="Arial" w:eastAsia="Arial" w:hAnsi="Arial"/>
          <w:sz w:val="13"/>
          <w:szCs w:val="13"/>
          <w:color w:val="auto"/>
        </w:rPr>
      </w:pPr>
    </w:p>
    <w:p>
      <w:pPr>
        <w:ind w:left="548" w:right="480" w:hanging="548"/>
        <w:spacing w:after="0" w:line="284" w:lineRule="auto"/>
        <w:tabs>
          <w:tab w:leader="none" w:pos="554" w:val="left"/>
        </w:tabs>
        <w:numPr>
          <w:ilvl w:val="0"/>
          <w:numId w:val="84"/>
        </w:numPr>
        <w:rPr>
          <w:rFonts w:ascii="Arial" w:cs="Arial" w:eastAsia="Arial" w:hAnsi="Arial"/>
          <w:sz w:val="15"/>
          <w:szCs w:val="15"/>
          <w:color w:val="auto"/>
        </w:rPr>
      </w:pPr>
      <w:r>
        <w:rPr>
          <w:rFonts w:ascii="Arial" w:cs="Arial" w:eastAsia="Arial" w:hAnsi="Arial"/>
          <w:sz w:val="15"/>
          <w:szCs w:val="15"/>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41" w:lineRule="exact"/>
        <w:rPr>
          <w:sz w:val="20"/>
          <w:szCs w:val="20"/>
          <w:color w:val="auto"/>
        </w:rPr>
      </w:pPr>
    </w:p>
    <w:p>
      <w:pPr>
        <w:ind w:left="8" w:right="160" w:firstLine="549"/>
        <w:spacing w:after="0" w:line="322" w:lineRule="auto"/>
        <w:rPr>
          <w:sz w:val="20"/>
          <w:szCs w:val="20"/>
          <w:color w:val="auto"/>
        </w:rPr>
      </w:pPr>
      <w:r>
        <w:rPr>
          <w:rFonts w:ascii="Arial" w:cs="Arial" w:eastAsia="Arial" w:hAnsi="Arial"/>
          <w:sz w:val="14"/>
          <w:szCs w:val="14"/>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w:t>
      </w:r>
    </w:p>
    <w:p>
      <w:pPr>
        <w:spacing w:after="0" w:line="11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72" w:name="page73"/>
    <w:bookmarkEnd w:id="72"/>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57" w:lineRule="exact"/>
        <w:rPr>
          <w:sz w:val="20"/>
          <w:szCs w:val="20"/>
          <w:color w:val="auto"/>
        </w:rPr>
      </w:pPr>
    </w:p>
    <w:p>
      <w:pPr>
        <w:ind w:left="8" w:right="160" w:firstLine="549"/>
        <w:spacing w:after="0" w:line="264" w:lineRule="auto"/>
        <w:rPr>
          <w:sz w:val="20"/>
          <w:szCs w:val="20"/>
          <w:color w:val="auto"/>
        </w:rPr>
      </w:pPr>
      <w:r>
        <w:rPr>
          <w:rFonts w:ascii="Arial" w:cs="Arial" w:eastAsia="Arial" w:hAnsi="Arial"/>
          <w:sz w:val="15"/>
          <w:szCs w:val="15"/>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5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Independent Director</w:t>
      </w:r>
      <w:r>
        <w:rPr>
          <w:rFonts w:ascii="Arial" w:cs="Arial" w:eastAsia="Arial" w:hAnsi="Arial"/>
          <w:sz w:val="15"/>
          <w:szCs w:val="15"/>
          <w:color w:val="auto"/>
        </w:rPr>
        <w:t>” means a director of the Parent Guarantor who is independent with respect to the transaction at issue.</w:t>
      </w:r>
    </w:p>
    <w:p>
      <w:pPr>
        <w:spacing w:after="0" w:line="194" w:lineRule="exact"/>
        <w:rPr>
          <w:sz w:val="20"/>
          <w:szCs w:val="20"/>
          <w:color w:val="auto"/>
        </w:rPr>
      </w:pPr>
    </w:p>
    <w:p>
      <w:pPr>
        <w:ind w:left="8" w:right="4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 Grade Rating</w:t>
      </w:r>
      <w:r>
        <w:rPr>
          <w:rFonts w:ascii="Arial" w:cs="Arial" w:eastAsia="Arial" w:hAnsi="Arial"/>
          <w:sz w:val="15"/>
          <w:szCs w:val="15"/>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of any Person means:</w:t>
      </w:r>
    </w:p>
    <w:p>
      <w:pPr>
        <w:spacing w:after="0" w:line="194" w:lineRule="exact"/>
        <w:rPr>
          <w:sz w:val="20"/>
          <w:szCs w:val="20"/>
          <w:color w:val="auto"/>
        </w:rPr>
      </w:pPr>
    </w:p>
    <w:p>
      <w:pPr>
        <w:ind w:left="548" w:right="480" w:hanging="548"/>
        <w:spacing w:after="0" w:line="284" w:lineRule="auto"/>
        <w:tabs>
          <w:tab w:leader="none" w:pos="554" w:val="left"/>
        </w:tabs>
        <w:numPr>
          <w:ilvl w:val="0"/>
          <w:numId w:val="85"/>
        </w:numPr>
        <w:rPr>
          <w:rFonts w:ascii="Arial" w:cs="Arial" w:eastAsia="Arial" w:hAnsi="Arial"/>
          <w:sz w:val="15"/>
          <w:szCs w:val="15"/>
          <w:color w:val="auto"/>
        </w:rPr>
      </w:pPr>
      <w:r>
        <w:rPr>
          <w:rFonts w:ascii="Arial" w:cs="Arial" w:eastAsia="Arial" w:hAnsi="Arial"/>
          <w:sz w:val="15"/>
          <w:szCs w:val="15"/>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41" w:lineRule="exact"/>
        <w:rPr>
          <w:rFonts w:ascii="Arial" w:cs="Arial" w:eastAsia="Arial" w:hAnsi="Arial"/>
          <w:sz w:val="15"/>
          <w:szCs w:val="15"/>
          <w:color w:val="auto"/>
        </w:rPr>
      </w:pPr>
    </w:p>
    <w:p>
      <w:pPr>
        <w:ind w:left="548" w:right="140" w:hanging="548"/>
        <w:spacing w:after="0" w:line="284" w:lineRule="auto"/>
        <w:tabs>
          <w:tab w:leader="none" w:pos="554" w:val="left"/>
        </w:tabs>
        <w:numPr>
          <w:ilvl w:val="0"/>
          <w:numId w:val="85"/>
        </w:numPr>
        <w:rPr>
          <w:rFonts w:ascii="Arial" w:cs="Arial" w:eastAsia="Arial" w:hAnsi="Arial"/>
          <w:sz w:val="15"/>
          <w:szCs w:val="15"/>
          <w:color w:val="auto"/>
        </w:rPr>
      </w:pPr>
      <w:r>
        <w:rPr>
          <w:rFonts w:ascii="Arial" w:cs="Arial" w:eastAsia="Arial" w:hAnsi="Arial"/>
          <w:sz w:val="15"/>
          <w:szCs w:val="15"/>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5"/>
        </w:numPr>
        <w:rPr>
          <w:rFonts w:ascii="Arial" w:cs="Arial" w:eastAsia="Arial" w:hAnsi="Arial"/>
          <w:sz w:val="15"/>
          <w:szCs w:val="15"/>
          <w:color w:val="auto"/>
        </w:rPr>
      </w:pPr>
      <w:r>
        <w:rPr>
          <w:rFonts w:ascii="Arial" w:cs="Arial" w:eastAsia="Arial" w:hAnsi="Arial"/>
          <w:sz w:val="15"/>
          <w:szCs w:val="15"/>
          <w:color w:val="auto"/>
        </w:rPr>
        <w:t>all other items that would be classified as investments in another Person on a balance sheet of such Person prepared in accordance with GAAP; and</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Designation of any Subsidiary as an Unrestricted Subsidiary.</w:t>
      </w:r>
    </w:p>
    <w:p>
      <w:pPr>
        <w:spacing w:after="0" w:line="194" w:lineRule="exact"/>
        <w:rPr>
          <w:sz w:val="20"/>
          <w:szCs w:val="20"/>
          <w:color w:val="auto"/>
        </w:rPr>
      </w:pPr>
    </w:p>
    <w:p>
      <w:pPr>
        <w:ind w:left="8" w:firstLine="549"/>
        <w:spacing w:after="0" w:line="259" w:lineRule="auto"/>
        <w:rPr>
          <w:sz w:val="20"/>
          <w:szCs w:val="20"/>
          <w:color w:val="auto"/>
        </w:rPr>
      </w:pPr>
      <w:r>
        <w:rPr>
          <w:rFonts w:ascii="Arial" w:cs="Arial" w:eastAsia="Arial" w:hAnsi="Arial"/>
          <w:sz w:val="15"/>
          <w:szCs w:val="15"/>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the covenant described under “— Certain Covenants—Limitation on Designation of Unrestricted Subsidiaries.”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6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Issue Date</w:t>
      </w:r>
      <w:r>
        <w:rPr>
          <w:rFonts w:ascii="Arial" w:cs="Arial" w:eastAsia="Arial" w:hAnsi="Arial"/>
          <w:sz w:val="15"/>
          <w:szCs w:val="15"/>
          <w:color w:val="auto"/>
        </w:rPr>
        <w:t>” means February 28, 2018.</w:t>
      </w:r>
    </w:p>
    <w:p>
      <w:pPr>
        <w:spacing w:after="0" w:line="194" w:lineRule="exact"/>
        <w:rPr>
          <w:sz w:val="20"/>
          <w:szCs w:val="20"/>
          <w:color w:val="auto"/>
        </w:rPr>
      </w:pPr>
    </w:p>
    <w:p>
      <w:pPr>
        <w:ind w:left="8" w:right="5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Issuer</w:t>
      </w:r>
      <w:r>
        <w:rPr>
          <w:rFonts w:ascii="Arial" w:cs="Arial" w:eastAsia="Arial" w:hAnsi="Arial"/>
          <w:sz w:val="15"/>
          <w:szCs w:val="15"/>
          <w:color w:val="auto"/>
        </w:rPr>
        <w:t>” means Weatherford International, LLC, a Delaware limited liability company, and any successor Person resulting from any transaction permitted by the covenant described under “—Certain Covenants—Limitation on Mergers, Consolidations, Etc.”</w:t>
      </w:r>
    </w:p>
    <w:p>
      <w:pPr>
        <w:spacing w:after="0" w:line="141" w:lineRule="exact"/>
        <w:rPr>
          <w:sz w:val="20"/>
          <w:szCs w:val="20"/>
          <w:color w:val="auto"/>
        </w:rPr>
      </w:pPr>
    </w:p>
    <w:p>
      <w:pPr>
        <w:ind w:left="8" w:right="16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Lien</w:t>
      </w:r>
      <w:r>
        <w:rPr>
          <w:rFonts w:ascii="Arial" w:cs="Arial" w:eastAsia="Arial" w:hAnsi="Arial"/>
          <w:sz w:val="14"/>
          <w:szCs w:val="14"/>
          <w:color w:val="auto"/>
        </w:rPr>
        <w:t xml:space="preserve">” means any mortgage, pledge, security interest, charge, lien or other encumbrance of any kind, whether or not filed, recorded or perfected under applicable law;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“Lien” shall not include or cover setoff rights and other standard arrangements for netting payment obligations in the settlement of obligations arising under (i) ISDA</w:t>
      </w:r>
    </w:p>
    <w:p>
      <w:pPr>
        <w:spacing w:after="0" w:line="11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73" w:name="page74"/>
    <w:bookmarkEnd w:id="73"/>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spacing w:after="0" w:line="297" w:lineRule="auto"/>
        <w:rPr>
          <w:sz w:val="20"/>
          <w:szCs w:val="20"/>
          <w:color w:val="auto"/>
        </w:rPr>
      </w:pPr>
      <w:r>
        <w:rPr>
          <w:rFonts w:ascii="Arial" w:cs="Arial" w:eastAsia="Arial" w:hAnsi="Arial"/>
          <w:sz w:val="14"/>
          <w:szCs w:val="14"/>
          <w:color w:val="auto"/>
        </w:rPr>
        <w:t>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35"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Moody’s</w:t>
      </w:r>
      <w:r>
        <w:rPr>
          <w:rFonts w:ascii="Arial" w:cs="Arial" w:eastAsia="Arial" w:hAnsi="Arial"/>
          <w:sz w:val="15"/>
          <w:szCs w:val="15"/>
          <w:color w:val="auto"/>
        </w:rPr>
        <w:t>” means Moody’s Investors Service, Inc., and its successors.</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Non-Recourse Debt</w:t>
      </w:r>
      <w:r>
        <w:rPr>
          <w:rFonts w:ascii="Arial" w:cs="Arial" w:eastAsia="Arial" w:hAnsi="Arial"/>
          <w:sz w:val="15"/>
          <w:szCs w:val="15"/>
          <w:color w:val="auto"/>
        </w:rPr>
        <w:t>” means Indebtedness of an Unrestricted Subsidiary:</w:t>
      </w:r>
    </w:p>
    <w:p>
      <w:pPr>
        <w:spacing w:after="0" w:line="194" w:lineRule="exact"/>
        <w:rPr>
          <w:sz w:val="20"/>
          <w:szCs w:val="20"/>
          <w:color w:val="auto"/>
        </w:rPr>
      </w:pPr>
    </w:p>
    <w:p>
      <w:pPr>
        <w:ind w:left="548" w:right="240" w:hanging="548"/>
        <w:spacing w:after="0" w:line="322" w:lineRule="auto"/>
        <w:tabs>
          <w:tab w:leader="none" w:pos="554"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17" w:lineRule="exact"/>
        <w:rPr>
          <w:rFonts w:ascii="Arial" w:cs="Arial" w:eastAsia="Arial" w:hAnsi="Arial"/>
          <w:sz w:val="14"/>
          <w:szCs w:val="14"/>
          <w:color w:val="auto"/>
        </w:rPr>
      </w:pPr>
    </w:p>
    <w:p>
      <w:pPr>
        <w:ind w:left="548" w:right="40" w:hanging="548"/>
        <w:spacing w:after="0" w:line="269" w:lineRule="auto"/>
        <w:tabs>
          <w:tab w:leader="none" w:pos="554" w:val="left"/>
        </w:tabs>
        <w:numPr>
          <w:ilvl w:val="0"/>
          <w:numId w:val="86"/>
        </w:numPr>
        <w:rPr>
          <w:rFonts w:ascii="Arial" w:cs="Arial" w:eastAsia="Arial" w:hAnsi="Arial"/>
          <w:sz w:val="15"/>
          <w:szCs w:val="15"/>
          <w:color w:val="auto"/>
        </w:rPr>
      </w:pPr>
      <w:r>
        <w:rPr>
          <w:rFonts w:ascii="Arial" w:cs="Arial" w:eastAsia="Arial" w:hAnsi="Arial"/>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52" w:lineRule="exact"/>
        <w:rPr>
          <w:sz w:val="20"/>
          <w:szCs w:val="20"/>
          <w:color w:val="auto"/>
        </w:rPr>
      </w:pPr>
    </w:p>
    <w:p>
      <w:pPr>
        <w:ind w:left="8" w:right="3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Obligation</w:t>
      </w:r>
      <w:r>
        <w:rPr>
          <w:rFonts w:ascii="Arial" w:cs="Arial" w:eastAsia="Arial" w:hAnsi="Arial"/>
          <w:sz w:val="15"/>
          <w:szCs w:val="15"/>
          <w:color w:val="auto"/>
        </w:rPr>
        <w:t>” means any principal, interest, penalties, fees, indemnification, reimbursements, costs, expenses, damages and other liabilities payable under the documentation governing any Indebtedness.</w:t>
      </w:r>
    </w:p>
    <w:p>
      <w:pPr>
        <w:spacing w:after="0" w:line="141" w:lineRule="exact"/>
        <w:rPr>
          <w:sz w:val="20"/>
          <w:szCs w:val="20"/>
          <w:color w:val="auto"/>
        </w:rPr>
      </w:pPr>
    </w:p>
    <w:p>
      <w:pPr>
        <w:ind w:left="8" w:right="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Officer</w:t>
      </w:r>
      <w:r>
        <w:rPr>
          <w:rFonts w:ascii="Arial" w:cs="Arial" w:eastAsia="Arial" w:hAnsi="Arial"/>
          <w:sz w:val="15"/>
          <w:szCs w:val="15"/>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Officer’s Certificate</w:t>
      </w:r>
      <w:r>
        <w:rPr>
          <w:rFonts w:ascii="Arial" w:cs="Arial" w:eastAsia="Arial" w:hAnsi="Arial"/>
          <w:sz w:val="15"/>
          <w:szCs w:val="15"/>
          <w:color w:val="auto"/>
        </w:rPr>
        <w:t>” means a certificate signed by an Officer of the Issuer or a Guarantor, as appropriate, and delivered to the Trustee.</w:t>
      </w:r>
    </w:p>
    <w:p>
      <w:pPr>
        <w:spacing w:after="0" w:line="194" w:lineRule="exact"/>
        <w:rPr>
          <w:sz w:val="20"/>
          <w:szCs w:val="20"/>
          <w:color w:val="auto"/>
        </w:rPr>
      </w:pPr>
    </w:p>
    <w:p>
      <w:pPr>
        <w:ind w:left="8"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Opinion of Counsel</w:t>
      </w:r>
      <w:r>
        <w:rPr>
          <w:rFonts w:ascii="Arial" w:cs="Arial" w:eastAsia="Arial" w:hAnsi="Arial"/>
          <w:sz w:val="15"/>
          <w:szCs w:val="15"/>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41" w:lineRule="exact"/>
        <w:rPr>
          <w:sz w:val="20"/>
          <w:szCs w:val="20"/>
          <w:color w:val="auto"/>
        </w:rPr>
      </w:pPr>
    </w:p>
    <w:p>
      <w:pPr>
        <w:ind w:left="8" w:right="2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Parent Guarantor</w:t>
      </w:r>
      <w:r>
        <w:rPr>
          <w:rFonts w:ascii="Arial" w:cs="Arial" w:eastAsia="Arial" w:hAnsi="Arial"/>
          <w:sz w:val="15"/>
          <w:szCs w:val="15"/>
          <w:color w:val="auto"/>
        </w:rPr>
        <w:t>” means Weatherford International plc, an Irish public limited company, and any successor Person resulting from any transaction permitted by the covenant described under “—Certain Covenants—Limitation on Mergers, Consolidations, Etc.”</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Indebtedness</w:t>
      </w:r>
      <w:r>
        <w:rPr>
          <w:rFonts w:ascii="Arial" w:cs="Arial" w:eastAsia="Arial" w:hAnsi="Arial"/>
          <w:sz w:val="15"/>
          <w:szCs w:val="15"/>
          <w:color w:val="auto"/>
        </w:rPr>
        <w:t>” means any Indebtedness of the Parent Guarantor that is not Subordinated Indebtedness.</w:t>
      </w:r>
    </w:p>
    <w:p>
      <w:pPr>
        <w:spacing w:after="0" w:line="194" w:lineRule="exact"/>
        <w:rPr>
          <w:sz w:val="20"/>
          <w:szCs w:val="20"/>
          <w:color w:val="auto"/>
        </w:rPr>
      </w:pPr>
    </w:p>
    <w:p>
      <w:pPr>
        <w:ind w:left="8" w:right="28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Business</w:t>
      </w:r>
      <w:r>
        <w:rPr>
          <w:rFonts w:ascii="Arial" w:cs="Arial" w:eastAsia="Arial" w:hAnsi="Arial"/>
          <w:sz w:val="15"/>
          <w:szCs w:val="15"/>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41" w:lineRule="exact"/>
        <w:rPr>
          <w:sz w:val="20"/>
          <w:szCs w:val="20"/>
          <w:color w:val="auto"/>
        </w:rPr>
      </w:pPr>
    </w:p>
    <w:p>
      <w:pPr>
        <w:ind w:left="8" w:right="600" w:firstLine="549"/>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Business Investment</w:t>
      </w:r>
      <w:r>
        <w:rPr>
          <w:rFonts w:ascii="Arial" w:cs="Arial" w:eastAsia="Arial" w:hAnsi="Arial"/>
          <w:sz w:val="14"/>
          <w:szCs w:val="14"/>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35" w:lineRule="exact"/>
        <w:rPr>
          <w:sz w:val="20"/>
          <w:szCs w:val="20"/>
          <w:color w:val="auto"/>
        </w:rPr>
      </w:pPr>
    </w:p>
    <w:p>
      <w:pPr>
        <w:ind w:left="8" w:right="28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Factoring Transactions</w:t>
      </w:r>
      <w:r>
        <w:rPr>
          <w:rFonts w:ascii="Arial" w:cs="Arial" w:eastAsia="Arial" w:hAnsi="Arial"/>
          <w:sz w:val="15"/>
          <w:szCs w:val="15"/>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52"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Indebtedness</w:t>
      </w:r>
      <w:r>
        <w:rPr>
          <w:rFonts w:ascii="Arial" w:cs="Arial" w:eastAsia="Arial" w:hAnsi="Arial"/>
          <w:sz w:val="14"/>
          <w:szCs w:val="14"/>
          <w:color w:val="auto"/>
        </w:rPr>
        <w:t>” has the meaning set forth in the second paragraph of the covenant described under “—Certain Covenants—Limitation on Additional Indebtedness.”</w:t>
      </w:r>
    </w:p>
    <w:p>
      <w:pPr>
        <w:spacing w:after="0" w:line="20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74" w:name="page75"/>
    <w:bookmarkEnd w:id="74"/>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Investment</w:t>
      </w:r>
      <w:r>
        <w:rPr>
          <w:rFonts w:ascii="Arial" w:cs="Arial" w:eastAsia="Arial" w:hAnsi="Arial"/>
          <w:sz w:val="15"/>
          <w:szCs w:val="15"/>
          <w:color w:val="auto"/>
        </w:rPr>
        <w:t>” means:</w:t>
      </w:r>
    </w:p>
    <w:p>
      <w:pPr>
        <w:spacing w:after="0" w:line="194" w:lineRule="exact"/>
        <w:rPr>
          <w:sz w:val="20"/>
          <w:szCs w:val="20"/>
          <w:color w:val="auto"/>
        </w:rPr>
      </w:pPr>
    </w:p>
    <w:p>
      <w:pPr>
        <w:ind w:left="548" w:right="120" w:hanging="548"/>
        <w:spacing w:after="0" w:line="269" w:lineRule="auto"/>
        <w:tabs>
          <w:tab w:leader="none" w:pos="554"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in the Parent Guarantor by any Restricted Subsidiary;</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loans and advances to directors, employees and officers of the Parent Guarantor and its Restricted Subsidiaries in the ordinary course of business;</w:t>
      </w:r>
    </w:p>
    <w:p>
      <w:pPr>
        <w:spacing w:after="0" w:line="193" w:lineRule="exact"/>
        <w:rPr>
          <w:rFonts w:ascii="Arial" w:cs="Arial" w:eastAsia="Arial" w:hAnsi="Arial"/>
          <w:sz w:val="15"/>
          <w:szCs w:val="15"/>
          <w:color w:val="auto"/>
        </w:rPr>
      </w:pPr>
    </w:p>
    <w:p>
      <w:pPr>
        <w:ind w:left="548" w:right="200" w:hanging="548"/>
        <w:spacing w:after="0" w:line="284" w:lineRule="auto"/>
        <w:tabs>
          <w:tab w:leader="none" w:pos="554" w:val="left"/>
        </w:tabs>
        <w:numPr>
          <w:ilvl w:val="0"/>
          <w:numId w:val="87"/>
        </w:numPr>
        <w:rPr>
          <w:rFonts w:ascii="Arial" w:cs="Arial" w:eastAsia="Arial" w:hAnsi="Arial"/>
          <w:sz w:val="15"/>
          <w:szCs w:val="15"/>
          <w:color w:val="auto"/>
        </w:rPr>
      </w:pPr>
      <w:r>
        <w:rPr>
          <w:rFonts w:ascii="Arial" w:cs="Arial" w:eastAsia="Arial" w:hAnsi="Arial"/>
          <w:sz w:val="15"/>
          <w:szCs w:val="15"/>
          <w:color w:val="auto"/>
        </w:rPr>
        <w:t>Hedging Obligations entered into in the ordinary course of business for bona fide hedging purposes of the Parent Guarantor or any Restricted Subsidiary not for the purpose of speculation;</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in cash and Cash Equivalents;</w:t>
      </w:r>
    </w:p>
    <w:p>
      <w:pPr>
        <w:spacing w:after="0" w:line="193" w:lineRule="exact"/>
        <w:rPr>
          <w:rFonts w:ascii="Arial" w:cs="Arial" w:eastAsia="Arial" w:hAnsi="Arial"/>
          <w:sz w:val="15"/>
          <w:szCs w:val="15"/>
          <w:color w:val="auto"/>
        </w:rPr>
      </w:pPr>
    </w:p>
    <w:p>
      <w:pPr>
        <w:ind w:left="548" w:right="240" w:hanging="548"/>
        <w:spacing w:after="0" w:line="322" w:lineRule="auto"/>
        <w:tabs>
          <w:tab w:leader="none" w:pos="554"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receivables owing to the Parent Guarantor or any Restricted Subsidiary if created or acquired in the ordinary course of business;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trade terms may include such concessionary trade terms as the Parent Guarantor or any such Restricted Subsidiary deems reasonable under the circumstances;</w:t>
      </w:r>
    </w:p>
    <w:p>
      <w:pPr>
        <w:spacing w:after="0" w:line="117" w:lineRule="exact"/>
        <w:rPr>
          <w:rFonts w:ascii="Arial" w:cs="Arial" w:eastAsia="Arial" w:hAnsi="Arial"/>
          <w:sz w:val="14"/>
          <w:szCs w:val="14"/>
          <w:color w:val="auto"/>
        </w:rPr>
      </w:pPr>
    </w:p>
    <w:p>
      <w:pPr>
        <w:ind w:left="548" w:right="140" w:hanging="548"/>
        <w:spacing w:after="0" w:line="284" w:lineRule="auto"/>
        <w:tabs>
          <w:tab w:leader="none" w:pos="554"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41" w:lineRule="exact"/>
        <w:rPr>
          <w:rFonts w:ascii="Arial" w:cs="Arial" w:eastAsia="Arial" w:hAnsi="Arial"/>
          <w:sz w:val="15"/>
          <w:szCs w:val="15"/>
          <w:color w:val="auto"/>
        </w:rPr>
      </w:pPr>
    </w:p>
    <w:p>
      <w:pPr>
        <w:ind w:left="548" w:right="260" w:hanging="548"/>
        <w:spacing w:after="0" w:line="284" w:lineRule="auto"/>
        <w:tabs>
          <w:tab w:leader="none" w:pos="554"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evidencing the right to receive a deferred purchase price or other consideration for the disposition of Receivables and Receivables Related Security in connection with any Permitted Factoring Transaction;</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guarantees of performance or similar obligations (other than Indebtedness) arising in the ordinary course of business;</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lease, utility and other similar deposits in the ordinary course of business;</w:t>
      </w:r>
    </w:p>
    <w:p>
      <w:pPr>
        <w:spacing w:after="0" w:line="193" w:lineRule="exact"/>
        <w:rPr>
          <w:rFonts w:ascii="Arial" w:cs="Arial" w:eastAsia="Arial" w:hAnsi="Arial"/>
          <w:sz w:val="15"/>
          <w:szCs w:val="15"/>
          <w:color w:val="auto"/>
        </w:rPr>
      </w:pPr>
    </w:p>
    <w:p>
      <w:pPr>
        <w:ind w:left="548" w:right="320" w:hanging="548"/>
        <w:spacing w:after="0" w:line="284" w:lineRule="auto"/>
        <w:tabs>
          <w:tab w:leader="none" w:pos="545" w:val="left"/>
        </w:tabs>
        <w:numPr>
          <w:ilvl w:val="0"/>
          <w:numId w:val="87"/>
        </w:numPr>
        <w:rPr>
          <w:rFonts w:ascii="Arial" w:cs="Arial" w:eastAsia="Arial" w:hAnsi="Arial"/>
          <w:sz w:val="15"/>
          <w:szCs w:val="15"/>
          <w:color w:val="auto"/>
        </w:rPr>
      </w:pPr>
      <w:r>
        <w:rPr>
          <w:rFonts w:ascii="Arial" w:cs="Arial" w:eastAsia="Arial" w:hAnsi="Arial"/>
          <w:sz w:val="15"/>
          <w:szCs w:val="15"/>
          <w:color w:val="auto"/>
        </w:rPr>
        <w:t>stock, obligations or securities received in settlement of debts created in the ordinary course of business and owing to the Parent Guarantor or any Restricted Subsidiary or in satisfaction of judgments;</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Permitted Business Investments;</w:t>
      </w:r>
    </w:p>
    <w:p>
      <w:pPr>
        <w:spacing w:after="0" w:line="193" w:lineRule="exact"/>
        <w:rPr>
          <w:rFonts w:ascii="Arial" w:cs="Arial" w:eastAsia="Arial" w:hAnsi="Arial"/>
          <w:sz w:val="15"/>
          <w:szCs w:val="15"/>
          <w:color w:val="auto"/>
        </w:rPr>
      </w:pPr>
    </w:p>
    <w:p>
      <w:pPr>
        <w:ind w:left="548" w:right="660" w:hanging="548"/>
        <w:spacing w:after="0" w:line="284" w:lineRule="auto"/>
        <w:tabs>
          <w:tab w:leader="none" w:pos="551" w:val="left"/>
        </w:tabs>
        <w:numPr>
          <w:ilvl w:val="0"/>
          <w:numId w:val="87"/>
        </w:numPr>
        <w:rPr>
          <w:rFonts w:ascii="Arial" w:cs="Arial" w:eastAsia="Arial" w:hAnsi="Arial"/>
          <w:sz w:val="15"/>
          <w:szCs w:val="15"/>
          <w:color w:val="auto"/>
        </w:rPr>
      </w:pPr>
      <w:r>
        <w:rPr>
          <w:rFonts w:ascii="Arial" w:cs="Arial" w:eastAsia="Arial" w:hAnsi="Arial"/>
          <w:sz w:val="15"/>
          <w:szCs w:val="15"/>
          <w:color w:val="auto"/>
        </w:rPr>
        <w:t>guarantees of Indebtedness of the Parent Guarantor or any of its Restricted Subsidiaries permitted in accordance with “—Certain Covenants—Limitation on Additional Indebtedness”;</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repurchases of, or other Investments in, the Notes and Pari Passu Indebtedness;</w:t>
      </w:r>
    </w:p>
    <w:p>
      <w:pPr>
        <w:spacing w:after="0" w:line="193" w:lineRule="exact"/>
        <w:rPr>
          <w:rFonts w:ascii="Arial" w:cs="Arial" w:eastAsia="Arial" w:hAnsi="Arial"/>
          <w:sz w:val="15"/>
          <w:szCs w:val="15"/>
          <w:color w:val="auto"/>
        </w:rPr>
      </w:pPr>
    </w:p>
    <w:p>
      <w:pPr>
        <w:jc w:val="both"/>
        <w:ind w:left="548" w:hanging="548"/>
        <w:spacing w:after="0" w:line="269" w:lineRule="auto"/>
        <w:tabs>
          <w:tab w:leader="none" w:pos="551"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trade terms may include such concessionary trade terms as the Parent Guarantor or the applicable Restricted Subsidiary deems reasonable under the circumstances;</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made pursuant to commitments in effect on the Issue Date;</w:t>
      </w:r>
    </w:p>
    <w:p>
      <w:pPr>
        <w:spacing w:after="0" w:line="193" w:lineRule="exact"/>
        <w:rPr>
          <w:rFonts w:ascii="Arial" w:cs="Arial" w:eastAsia="Arial" w:hAnsi="Arial"/>
          <w:sz w:val="15"/>
          <w:szCs w:val="15"/>
          <w:color w:val="auto"/>
        </w:rPr>
      </w:pPr>
    </w:p>
    <w:p>
      <w:pPr>
        <w:ind w:left="548" w:right="60" w:hanging="548"/>
        <w:spacing w:after="0" w:line="284" w:lineRule="auto"/>
        <w:tabs>
          <w:tab w:leader="none" w:pos="551"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Investments the payment for which consists of Equity Interests (exclusive of Disqualified Equity Interests) of the Parent Guarantor;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Equity Interests will not increase the amount available for Restricted Payments under the Restricted Payments Basket;</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7"/>
        </w:numPr>
        <w:rPr>
          <w:rFonts w:ascii="Arial" w:cs="Arial" w:eastAsia="Arial" w:hAnsi="Arial"/>
          <w:sz w:val="15"/>
          <w:szCs w:val="15"/>
          <w:color w:val="auto"/>
        </w:rPr>
      </w:pPr>
      <w:r>
        <w:rPr>
          <w:rFonts w:ascii="Arial" w:cs="Arial" w:eastAsia="Arial" w:hAnsi="Arial"/>
          <w:sz w:val="15"/>
          <w:szCs w:val="15"/>
          <w:color w:val="auto"/>
        </w:rPr>
        <w:t>Investments consisting of the licensing or contribution of intellectual property pursuant to joint marketing arrangements with other Persons;</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75" w:name="page76"/>
    <w:bookmarkEnd w:id="75"/>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20" w:hanging="548"/>
        <w:spacing w:after="0" w:line="269" w:lineRule="auto"/>
        <w:tabs>
          <w:tab w:leader="none" w:pos="551" w:val="left"/>
        </w:tabs>
        <w:numPr>
          <w:ilvl w:val="0"/>
          <w:numId w:val="88"/>
        </w:numPr>
        <w:rPr>
          <w:rFonts w:ascii="Arial" w:cs="Arial" w:eastAsia="Arial" w:hAnsi="Arial"/>
          <w:sz w:val="15"/>
          <w:szCs w:val="15"/>
          <w:color w:val="auto"/>
        </w:rPr>
      </w:pPr>
      <w:r>
        <w:rPr>
          <w:rFonts w:ascii="Arial" w:cs="Arial" w:eastAsia="Arial" w:hAnsi="Arial"/>
          <w:sz w:val="15"/>
          <w:szCs w:val="15"/>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152" w:lineRule="exact"/>
        <w:rPr>
          <w:rFonts w:ascii="Arial" w:cs="Arial" w:eastAsia="Arial" w:hAnsi="Arial"/>
          <w:sz w:val="15"/>
          <w:szCs w:val="15"/>
          <w:color w:val="auto"/>
        </w:rPr>
      </w:pPr>
    </w:p>
    <w:p>
      <w:pPr>
        <w:ind w:left="548" w:right="180" w:hanging="548"/>
        <w:spacing w:after="0" w:line="284" w:lineRule="auto"/>
        <w:tabs>
          <w:tab w:leader="none" w:pos="551"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Investments in or payments to SpinCo or its Subsidiaries in connection with a Qualified Spin Transaction and the transactions relating thereto, including the payment of all fees and expenses related thereto;</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guarantees of any trade or non-financial operating contract (other than such contract that itself constitutes Indebtedness) in the ordinary course of business.</w:t>
      </w:r>
    </w:p>
    <w:p>
      <w:pPr>
        <w:spacing w:after="0" w:line="205" w:lineRule="exact"/>
        <w:rPr>
          <w:sz w:val="20"/>
          <w:szCs w:val="20"/>
          <w:color w:val="auto"/>
        </w:rPr>
      </w:pPr>
    </w:p>
    <w:p>
      <w:pPr>
        <w:ind w:left="8" w:right="200" w:firstLine="549"/>
        <w:spacing w:after="0" w:line="284" w:lineRule="auto"/>
        <w:rPr>
          <w:sz w:val="20"/>
          <w:szCs w:val="20"/>
          <w:color w:val="auto"/>
        </w:rPr>
      </w:pPr>
      <w:r>
        <w:rPr>
          <w:rFonts w:ascii="Arial" w:cs="Arial" w:eastAsia="Arial" w:hAnsi="Arial"/>
          <w:sz w:val="15"/>
          <w:szCs w:val="15"/>
          <w:color w:val="auto"/>
        </w:rPr>
        <w:t>In determining whether any Investment is a Permitted Investment, the Parent Guarantor may allocate or reallocate all or any portion of an Investment among the clauses of this definition and any of the provisions of the covenant described under the caption “—Certain Covenants—Limitation on Restricted Payments.”</w:t>
      </w:r>
    </w:p>
    <w:p>
      <w:pPr>
        <w:spacing w:after="0" w:line="141" w:lineRule="exact"/>
        <w:rPr>
          <w:sz w:val="20"/>
          <w:szCs w:val="20"/>
          <w:color w:val="auto"/>
        </w:rPr>
      </w:pPr>
    </w:p>
    <w:p>
      <w:pPr>
        <w:ind w:left="8" w:firstLine="549"/>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Liens</w:t>
      </w:r>
      <w:r>
        <w:rPr>
          <w:rFonts w:ascii="Arial" w:cs="Arial" w:eastAsia="Arial" w:hAnsi="Arial"/>
          <w:sz w:val="14"/>
          <w:szCs w:val="14"/>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49" w:lineRule="exact"/>
        <w:rPr>
          <w:sz w:val="20"/>
          <w:szCs w:val="20"/>
          <w:color w:val="auto"/>
        </w:rPr>
      </w:pPr>
    </w:p>
    <w:p>
      <w:pPr>
        <w:ind w:left="8" w:right="3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1" w:lineRule="exact"/>
        <w:rPr>
          <w:sz w:val="20"/>
          <w:szCs w:val="20"/>
          <w:color w:val="auto"/>
        </w:rPr>
      </w:pPr>
    </w:p>
    <w:p>
      <w:pPr>
        <w:ind w:left="8" w:right="5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Preferred Stock</w:t>
      </w:r>
      <w:r>
        <w:rPr>
          <w:rFonts w:ascii="Arial" w:cs="Arial" w:eastAsia="Arial" w:hAnsi="Arial"/>
          <w:sz w:val="15"/>
          <w:szCs w:val="15"/>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41" w:lineRule="exact"/>
        <w:rPr>
          <w:sz w:val="20"/>
          <w:szCs w:val="20"/>
          <w:color w:val="auto"/>
        </w:rPr>
      </w:pPr>
    </w:p>
    <w:p>
      <w:pPr>
        <w:ind w:left="8" w:right="140" w:firstLine="549"/>
        <w:spacing w:after="0" w:line="329"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 Money Indebtedness</w:t>
      </w:r>
      <w:r>
        <w:rPr>
          <w:rFonts w:ascii="Arial" w:cs="Arial" w:eastAsia="Arial" w:hAnsi="Arial"/>
          <w:sz w:val="13"/>
          <w:szCs w:val="13"/>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amount of such Indebtedness shall not exceed such purchase price or cost.</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76" w:name="page77"/>
    <w:bookmarkEnd w:id="76"/>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60" w:firstLine="549"/>
        <w:spacing w:after="0" w:line="31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Qualified Equity Interests</w:t>
      </w:r>
      <w:r>
        <w:rPr>
          <w:rFonts w:ascii="Arial" w:cs="Arial" w:eastAsia="Arial" w:hAnsi="Arial"/>
          <w:sz w:val="13"/>
          <w:szCs w:val="13"/>
          <w:color w:val="auto"/>
        </w:rPr>
        <w:t xml:space="preserve">” of any Person means Equity Interests of such Person other than Disqualified Equity Interests;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14" w:lineRule="exact"/>
        <w:rPr>
          <w:sz w:val="20"/>
          <w:szCs w:val="20"/>
          <w:color w:val="auto"/>
        </w:rPr>
      </w:pPr>
    </w:p>
    <w:p>
      <w:pPr>
        <w:ind w:left="8" w:right="8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Qualified Spin Transaction</w:t>
      </w:r>
      <w:r>
        <w:rPr>
          <w:rFonts w:ascii="Arial" w:cs="Arial" w:eastAsia="Arial" w:hAnsi="Arial"/>
          <w:sz w:val="15"/>
          <w:szCs w:val="15"/>
          <w:color w:val="auto"/>
        </w:rPr>
        <w:t>” means the distribution, through one or more dividends by the Weatherford Parent Company, of all or a portion of the Voting Stock of a Subsidiary (“</w:t>
      </w:r>
      <w:r>
        <w:rPr>
          <w:rFonts w:ascii="Arial" w:cs="Arial" w:eastAsia="Arial" w:hAnsi="Arial"/>
          <w:sz w:val="15"/>
          <w:szCs w:val="15"/>
          <w:i w:val="1"/>
          <w:iCs w:val="1"/>
          <w:color w:val="auto"/>
        </w:rPr>
        <w:t>SpinCo</w:t>
      </w:r>
      <w:r>
        <w:rPr>
          <w:rFonts w:ascii="Arial" w:cs="Arial" w:eastAsia="Arial" w:hAnsi="Arial"/>
          <w:sz w:val="15"/>
          <w:szCs w:val="15"/>
          <w:color w:val="auto"/>
        </w:rPr>
        <w:t>”) which, directly or indirectly through one or more Subsidiaries, holds all or substantially all of the Parent Guarantor’s and its Restricted Subsidiaries’ land drilling rig business, properties and related assets.</w:t>
      </w:r>
    </w:p>
    <w:p>
      <w:pPr>
        <w:spacing w:after="0" w:line="141" w:lineRule="exact"/>
        <w:rPr>
          <w:sz w:val="20"/>
          <w:szCs w:val="20"/>
          <w:color w:val="auto"/>
        </w:rPr>
      </w:pPr>
    </w:p>
    <w:p>
      <w:pPr>
        <w:jc w:val="both"/>
        <w:ind w:left="8" w:right="8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Rating Agencies</w:t>
      </w:r>
      <w:r>
        <w:rPr>
          <w:rFonts w:ascii="Arial" w:cs="Arial" w:eastAsia="Arial" w:hAnsi="Arial"/>
          <w:sz w:val="15"/>
          <w:szCs w:val="15"/>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45" w:lineRule="exact"/>
        <w:rPr>
          <w:sz w:val="20"/>
          <w:szCs w:val="20"/>
          <w:color w:val="auto"/>
        </w:rPr>
      </w:pPr>
    </w:p>
    <w:p>
      <w:pPr>
        <w:ind w:left="8"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Rating Event</w:t>
      </w:r>
      <w:r>
        <w:rPr>
          <w:rFonts w:ascii="Arial" w:cs="Arial" w:eastAsia="Arial" w:hAnsi="Arial"/>
          <w:sz w:val="15"/>
          <w:szCs w:val="15"/>
          <w:color w:val="auto"/>
        </w:rPr>
        <w:t>” means the rating of the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41" w:lineRule="exact"/>
        <w:rPr>
          <w:sz w:val="20"/>
          <w:szCs w:val="20"/>
          <w:color w:val="auto"/>
        </w:rPr>
      </w:pPr>
    </w:p>
    <w:p>
      <w:pPr>
        <w:ind w:left="8" w:right="8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Receivables</w:t>
      </w:r>
      <w:r>
        <w:rPr>
          <w:rFonts w:ascii="Arial" w:cs="Arial" w:eastAsia="Arial" w:hAnsi="Arial"/>
          <w:sz w:val="14"/>
          <w:szCs w:val="14"/>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06" w:lineRule="exact"/>
        <w:rPr>
          <w:sz w:val="20"/>
          <w:szCs w:val="20"/>
          <w:color w:val="auto"/>
        </w:rPr>
      </w:pPr>
    </w:p>
    <w:p>
      <w:pPr>
        <w:ind w:left="8" w:right="24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Receivables Related Security</w:t>
      </w:r>
      <w:r>
        <w:rPr>
          <w:rFonts w:ascii="Arial" w:cs="Arial" w:eastAsia="Arial" w:hAnsi="Arial"/>
          <w:sz w:val="15"/>
          <w:szCs w:val="15"/>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41" w:lineRule="exact"/>
        <w:rPr>
          <w:sz w:val="20"/>
          <w:szCs w:val="20"/>
          <w:color w:val="auto"/>
        </w:rPr>
      </w:pPr>
    </w:p>
    <w:p>
      <w:pPr>
        <w:ind w:left="8" w:right="26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Receivables Repurchase Obligation</w:t>
      </w:r>
      <w:r>
        <w:rPr>
          <w:rFonts w:ascii="Arial" w:cs="Arial" w:eastAsia="Arial" w:hAnsi="Arial"/>
          <w:sz w:val="15"/>
          <w:szCs w:val="15"/>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Redesignation</w:t>
      </w:r>
      <w:r>
        <w:rPr>
          <w:rFonts w:ascii="Arial" w:cs="Arial" w:eastAsia="Arial" w:hAnsi="Arial"/>
          <w:sz w:val="14"/>
          <w:szCs w:val="14"/>
          <w:color w:val="auto"/>
        </w:rPr>
        <w:t>” has the meaning given to such term in the covenant described under “—Certain Covenants—Limitation on Designation of Unrestricted Subsidiaries.”</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Redomestication</w:t>
      </w:r>
      <w:r>
        <w:rPr>
          <w:rFonts w:ascii="Arial" w:cs="Arial" w:eastAsia="Arial" w:hAnsi="Arial"/>
          <w:sz w:val="15"/>
          <w:szCs w:val="15"/>
          <w:color w:val="auto"/>
        </w:rPr>
        <w:t>” means:</w:t>
      </w:r>
    </w:p>
    <w:p>
      <w:pPr>
        <w:spacing w:after="0" w:line="182" w:lineRule="exact"/>
        <w:rPr>
          <w:sz w:val="20"/>
          <w:szCs w:val="20"/>
          <w:color w:val="auto"/>
        </w:rPr>
      </w:pPr>
    </w:p>
    <w:p>
      <w:pPr>
        <w:ind w:left="548" w:right="640" w:hanging="548"/>
        <w:spacing w:after="0" w:line="302" w:lineRule="auto"/>
        <w:tabs>
          <w:tab w:leader="none" w:pos="554" w:val="left"/>
        </w:tabs>
        <w:numPr>
          <w:ilvl w:val="0"/>
          <w:numId w:val="89"/>
        </w:numPr>
        <w:rPr>
          <w:rFonts w:ascii="Arial" w:cs="Arial" w:eastAsia="Arial" w:hAnsi="Arial"/>
          <w:sz w:val="13"/>
          <w:szCs w:val="13"/>
          <w:color w:val="auto"/>
        </w:rPr>
      </w:pPr>
      <w:r>
        <w:rPr>
          <w:rFonts w:ascii="Arial" w:cs="Arial" w:eastAsia="Arial" w:hAnsi="Arial"/>
          <w:sz w:val="13"/>
          <w:szCs w:val="13"/>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w:t>
      </w:r>
    </w:p>
    <w:p>
      <w:pPr>
        <w:ind w:left="548"/>
        <w:spacing w:after="0" w:line="347" w:lineRule="auto"/>
        <w:rPr>
          <w:rFonts w:ascii="Arial" w:cs="Arial" w:eastAsia="Arial" w:hAnsi="Arial"/>
          <w:sz w:val="13"/>
          <w:szCs w:val="13"/>
          <w:color w:val="auto"/>
        </w:rPr>
      </w:pPr>
      <w:r>
        <w:rPr>
          <w:rFonts w:ascii="Arial" w:cs="Arial" w:eastAsia="Arial" w:hAnsi="Arial"/>
          <w:sz w:val="13"/>
          <w:szCs w:val="13"/>
          <w:color w:val="auto"/>
        </w:rPr>
        <w:t>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94" w:lineRule="exact"/>
        <w:rPr>
          <w:rFonts w:ascii="Arial" w:cs="Arial" w:eastAsia="Arial" w:hAnsi="Arial"/>
          <w:sz w:val="13"/>
          <w:szCs w:val="13"/>
          <w:color w:val="auto"/>
        </w:rPr>
      </w:pPr>
    </w:p>
    <w:p>
      <w:pPr>
        <w:ind w:left="548" w:right="40" w:hanging="548"/>
        <w:spacing w:after="0" w:line="269" w:lineRule="auto"/>
        <w:tabs>
          <w:tab w:leader="none" w:pos="554"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77" w:name="page78"/>
    <w:bookmarkEnd w:id="77"/>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548" w:right="440" w:hanging="548"/>
        <w:spacing w:after="0" w:line="284" w:lineRule="auto"/>
        <w:tabs>
          <w:tab w:leader="none" w:pos="554"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formation of a Person that becomes, as part of the transaction or series of related transactions, the direct or indirect owner of substantially all of the voting shares of the Weatherford Parent Company (the “New Parent”),</w:t>
      </w:r>
    </w:p>
    <w:p>
      <w:pPr>
        <w:spacing w:after="0" w:line="141"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if as a result thereof:</w:t>
      </w:r>
    </w:p>
    <w:p>
      <w:pPr>
        <w:spacing w:after="0" w:line="193" w:lineRule="exact"/>
        <w:rPr>
          <w:rFonts w:ascii="Arial" w:cs="Arial" w:eastAsia="Arial" w:hAnsi="Arial"/>
          <w:sz w:val="15"/>
          <w:szCs w:val="15"/>
          <w:color w:val="auto"/>
        </w:rPr>
      </w:pPr>
    </w:p>
    <w:p>
      <w:pPr>
        <w:ind w:left="1108" w:right="180" w:hanging="559"/>
        <w:spacing w:after="0" w:line="269" w:lineRule="auto"/>
        <w:tabs>
          <w:tab w:leader="none" w:pos="1115" w:val="left"/>
        </w:tabs>
        <w:numPr>
          <w:ilvl w:val="1"/>
          <w:numId w:val="90"/>
        </w:numPr>
        <w:rPr>
          <w:rFonts w:ascii="Arial" w:cs="Arial" w:eastAsia="Arial" w:hAnsi="Arial"/>
          <w:sz w:val="15"/>
          <w:szCs w:val="15"/>
          <w:color w:val="auto"/>
        </w:rPr>
      </w:pPr>
      <w:r>
        <w:rPr>
          <w:rFonts w:ascii="Arial" w:cs="Arial" w:eastAsia="Arial" w:hAnsi="Arial"/>
          <w:sz w:val="15"/>
          <w:szCs w:val="15"/>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52" w:lineRule="exact"/>
        <w:rPr>
          <w:rFonts w:ascii="Arial" w:cs="Arial" w:eastAsia="Arial" w:hAnsi="Arial"/>
          <w:sz w:val="15"/>
          <w:szCs w:val="15"/>
          <w:color w:val="auto"/>
        </w:rPr>
      </w:pPr>
    </w:p>
    <w:p>
      <w:pPr>
        <w:ind w:left="1108" w:right="80" w:hanging="559"/>
        <w:spacing w:after="0" w:line="284" w:lineRule="auto"/>
        <w:tabs>
          <w:tab w:leader="none" w:pos="1115" w:val="left"/>
        </w:tabs>
        <w:numPr>
          <w:ilvl w:val="1"/>
          <w:numId w:val="90"/>
        </w:numPr>
        <w:rPr>
          <w:rFonts w:ascii="Arial" w:cs="Arial" w:eastAsia="Arial" w:hAnsi="Arial"/>
          <w:sz w:val="15"/>
          <w:szCs w:val="15"/>
          <w:color w:val="auto"/>
        </w:rPr>
      </w:pPr>
      <w:r>
        <w:rPr>
          <w:rFonts w:ascii="Arial" w:cs="Arial" w:eastAsia="Arial" w:hAnsi="Arial"/>
          <w:sz w:val="15"/>
          <w:szCs w:val="15"/>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41" w:lineRule="exact"/>
        <w:rPr>
          <w:rFonts w:ascii="Arial" w:cs="Arial" w:eastAsia="Arial" w:hAnsi="Arial"/>
          <w:sz w:val="15"/>
          <w:szCs w:val="15"/>
          <w:color w:val="auto"/>
        </w:rPr>
      </w:pPr>
    </w:p>
    <w:p>
      <w:pPr>
        <w:ind w:left="1108" w:hanging="559"/>
        <w:spacing w:after="0" w:line="260" w:lineRule="auto"/>
        <w:tabs>
          <w:tab w:leader="none" w:pos="1117" w:val="left"/>
        </w:tabs>
        <w:numPr>
          <w:ilvl w:val="1"/>
          <w:numId w:val="90"/>
        </w:numPr>
        <w:rPr>
          <w:rFonts w:ascii="Arial" w:cs="Arial" w:eastAsia="Arial" w:hAnsi="Arial"/>
          <w:sz w:val="15"/>
          <w:szCs w:val="15"/>
          <w:color w:val="auto"/>
        </w:rPr>
      </w:pPr>
      <w:r>
        <w:rPr>
          <w:rFonts w:ascii="Arial" w:cs="Arial" w:eastAsia="Arial" w:hAnsi="Arial"/>
          <w:sz w:val="15"/>
          <w:szCs w:val="15"/>
          <w:color w:val="auto"/>
        </w:rPr>
        <w:t>in the case of any action specified in clause (c), the New Parent (in any such case, the “</w:t>
      </w:r>
      <w:r>
        <w:rPr>
          <w:rFonts w:ascii="Arial" w:cs="Arial" w:eastAsia="Arial" w:hAnsi="Arial"/>
          <w:sz w:val="15"/>
          <w:szCs w:val="15"/>
          <w:i w:val="1"/>
          <w:iCs w:val="1"/>
          <w:color w:val="auto"/>
        </w:rPr>
        <w:t>Surviving Person</w:t>
      </w:r>
      <w:r>
        <w:rPr>
          <w:rFonts w:ascii="Arial" w:cs="Arial" w:eastAsia="Arial" w:hAnsi="Arial"/>
          <w:sz w:val="15"/>
          <w:szCs w:val="15"/>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6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refinance</w:t>
      </w:r>
      <w:r>
        <w:rPr>
          <w:rFonts w:ascii="Arial" w:cs="Arial" w:eastAsia="Arial" w:hAnsi="Arial"/>
          <w:sz w:val="15"/>
          <w:szCs w:val="15"/>
          <w:color w:val="auto"/>
        </w:rPr>
        <w:t>” means to refinance, repay, prepay, replace, renew or refund.</w:t>
      </w:r>
    </w:p>
    <w:p>
      <w:pPr>
        <w:spacing w:after="0" w:line="194" w:lineRule="exact"/>
        <w:rPr>
          <w:sz w:val="20"/>
          <w:szCs w:val="20"/>
          <w:color w:val="auto"/>
        </w:rPr>
      </w:pPr>
    </w:p>
    <w:p>
      <w:pPr>
        <w:ind w:left="8" w:right="2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Refinancing Indebtedness</w:t>
      </w:r>
      <w:r>
        <w:rPr>
          <w:rFonts w:ascii="Arial" w:cs="Arial" w:eastAsia="Arial" w:hAnsi="Arial"/>
          <w:sz w:val="15"/>
          <w:szCs w:val="15"/>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5"/>
          <w:szCs w:val="15"/>
          <w:i w:val="1"/>
          <w:iCs w:val="1"/>
          <w:color w:val="auto"/>
        </w:rPr>
        <w:t>Refinanced Indebtedness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141" w:lineRule="exact"/>
        <w:rPr>
          <w:sz w:val="20"/>
          <w:szCs w:val="20"/>
          <w:color w:val="auto"/>
        </w:rPr>
      </w:pPr>
    </w:p>
    <w:p>
      <w:pPr>
        <w:ind w:left="548" w:hanging="548"/>
        <w:spacing w:after="0" w:line="264" w:lineRule="auto"/>
        <w:tabs>
          <w:tab w:leader="none" w:pos="554"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56" w:lineRule="exact"/>
        <w:rPr>
          <w:rFonts w:ascii="Arial" w:cs="Arial" w:eastAsia="Arial" w:hAnsi="Arial"/>
          <w:sz w:val="15"/>
          <w:szCs w:val="15"/>
          <w:color w:val="auto"/>
        </w:rPr>
      </w:pPr>
    </w:p>
    <w:p>
      <w:pPr>
        <w:ind w:left="548" w:right="40" w:hanging="548"/>
        <w:spacing w:after="0" w:line="322" w:lineRule="auto"/>
        <w:tabs>
          <w:tab w:leader="none" w:pos="554"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the covenant “—Additional Guarantees”;</w:t>
      </w:r>
    </w:p>
    <w:p>
      <w:pPr>
        <w:spacing w:after="0" w:line="117" w:lineRule="exact"/>
        <w:rPr>
          <w:rFonts w:ascii="Arial" w:cs="Arial" w:eastAsia="Arial" w:hAnsi="Arial"/>
          <w:sz w:val="14"/>
          <w:szCs w:val="14"/>
          <w:color w:val="auto"/>
        </w:rPr>
      </w:pPr>
    </w:p>
    <w:p>
      <w:pPr>
        <w:ind w:left="548" w:right="340" w:hanging="548"/>
        <w:spacing w:after="0" w:line="322" w:lineRule="auto"/>
        <w:tabs>
          <w:tab w:leader="none" w:pos="554" w:val="left"/>
        </w:tabs>
        <w:numPr>
          <w:ilvl w:val="0"/>
          <w:numId w:val="91"/>
        </w:numPr>
        <w:rPr>
          <w:rFonts w:ascii="Arial" w:cs="Arial" w:eastAsia="Arial" w:hAnsi="Arial"/>
          <w:sz w:val="14"/>
          <w:szCs w:val="14"/>
          <w:color w:val="auto"/>
        </w:rPr>
      </w:pPr>
      <w:r>
        <w:rPr>
          <w:rFonts w:ascii="Arial" w:cs="Arial" w:eastAsia="Arial" w:hAnsi="Arial"/>
          <w:sz w:val="14"/>
          <w:szCs w:val="14"/>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17" w:lineRule="exact"/>
        <w:rPr>
          <w:rFonts w:ascii="Arial" w:cs="Arial" w:eastAsia="Arial" w:hAnsi="Arial"/>
          <w:sz w:val="14"/>
          <w:szCs w:val="14"/>
          <w:color w:val="auto"/>
        </w:rPr>
      </w:pPr>
    </w:p>
    <w:p>
      <w:pPr>
        <w:ind w:left="548" w:right="520" w:hanging="548"/>
        <w:spacing w:after="0" w:line="284" w:lineRule="auto"/>
        <w:tabs>
          <w:tab w:leader="none" w:pos="554"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Refinancing Indebtedness has a Stated Maturity either (a) no earlier than the Refinanced Indebtedness being repaid or amended or (b) no earlier than 91 days after the maturity date of the Notes; and</w:t>
      </w:r>
    </w:p>
    <w:p>
      <w:pPr>
        <w:spacing w:after="0" w:line="141" w:lineRule="exact"/>
        <w:rPr>
          <w:rFonts w:ascii="Arial" w:cs="Arial" w:eastAsia="Arial" w:hAnsi="Arial"/>
          <w:sz w:val="15"/>
          <w:szCs w:val="15"/>
          <w:color w:val="auto"/>
        </w:rPr>
      </w:pPr>
    </w:p>
    <w:p>
      <w:pPr>
        <w:ind w:left="548" w:hanging="548"/>
        <w:spacing w:after="0" w:line="269" w:lineRule="auto"/>
        <w:tabs>
          <w:tab w:leader="none" w:pos="554"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78" w:name="page79"/>
    <w:bookmarkEnd w:id="78"/>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right="14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registration rights agreement</w:t>
      </w:r>
      <w:r>
        <w:rPr>
          <w:rFonts w:ascii="Arial" w:cs="Arial" w:eastAsia="Arial" w:hAnsi="Arial"/>
          <w:sz w:val="15"/>
          <w:szCs w:val="15"/>
          <w:color w:val="auto"/>
        </w:rPr>
        <w:t>” means that certain registration rights agreement dated as of February 28, 2018, by and among the Issuer, the Guarantors and Deutsche Bank Securities Inc. as representative of the several initial purchasers named therein and, with respect to any Additional Notes, one or more substantially similar registration rights agreements among the Issuer and the other parties thereto, as any such agreement may be amended from time to time.</w:t>
      </w:r>
    </w:p>
    <w:p>
      <w:pPr>
        <w:spacing w:after="0" w:line="15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Related Taxes</w:t>
      </w:r>
      <w:r>
        <w:rPr>
          <w:rFonts w:ascii="Arial" w:cs="Arial" w:eastAsia="Arial" w:hAnsi="Arial"/>
          <w:sz w:val="15"/>
          <w:szCs w:val="15"/>
          <w:color w:val="auto"/>
        </w:rPr>
        <w:t>” means, without duplication:</w:t>
      </w:r>
    </w:p>
    <w:p>
      <w:pPr>
        <w:spacing w:after="0" w:line="194" w:lineRule="exact"/>
        <w:rPr>
          <w:sz w:val="20"/>
          <w:szCs w:val="20"/>
          <w:color w:val="auto"/>
        </w:rPr>
      </w:pPr>
    </w:p>
    <w:p>
      <w:pPr>
        <w:ind w:left="548" w:hanging="548"/>
        <w:spacing w:after="0" w:line="269" w:lineRule="auto"/>
        <w:tabs>
          <w:tab w:leader="none" w:pos="554"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(provided such taxes are in fact paid) by any Successor Parent by virtue of its:</w:t>
      </w:r>
    </w:p>
    <w:p>
      <w:pPr>
        <w:spacing w:after="0" w:line="152" w:lineRule="exact"/>
        <w:rPr>
          <w:rFonts w:ascii="Arial" w:cs="Arial" w:eastAsia="Arial" w:hAnsi="Arial"/>
          <w:sz w:val="15"/>
          <w:szCs w:val="15"/>
          <w:color w:val="auto"/>
        </w:rPr>
      </w:pPr>
    </w:p>
    <w:p>
      <w:pPr>
        <w:ind w:left="1108" w:right="80" w:hanging="559"/>
        <w:spacing w:after="0" w:line="284" w:lineRule="auto"/>
        <w:tabs>
          <w:tab w:leader="none" w:pos="1106" w:val="left"/>
        </w:tabs>
        <w:numPr>
          <w:ilvl w:val="1"/>
          <w:numId w:val="92"/>
        </w:numPr>
        <w:rPr>
          <w:rFonts w:ascii="Arial" w:cs="Arial" w:eastAsia="Arial" w:hAnsi="Arial"/>
          <w:sz w:val="15"/>
          <w:szCs w:val="15"/>
          <w:color w:val="auto"/>
        </w:rPr>
      </w:pPr>
      <w:r>
        <w:rPr>
          <w:rFonts w:ascii="Arial" w:cs="Arial" w:eastAsia="Arial" w:hAnsi="Arial"/>
          <w:sz w:val="15"/>
          <w:szCs w:val="15"/>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41" w:lineRule="exact"/>
        <w:rPr>
          <w:rFonts w:ascii="Arial" w:cs="Arial" w:eastAsia="Arial" w:hAnsi="Arial"/>
          <w:sz w:val="15"/>
          <w:szCs w:val="15"/>
          <w:color w:val="auto"/>
        </w:rPr>
      </w:pPr>
    </w:p>
    <w:p>
      <w:pPr>
        <w:ind w:left="1108" w:hanging="559"/>
        <w:spacing w:after="0"/>
        <w:tabs>
          <w:tab w:leader="none" w:pos="1108" w:val="left"/>
        </w:tabs>
        <w:numPr>
          <w:ilvl w:val="1"/>
          <w:numId w:val="92"/>
        </w:numPr>
        <w:rPr>
          <w:rFonts w:ascii="Arial" w:cs="Arial" w:eastAsia="Arial" w:hAnsi="Arial"/>
          <w:sz w:val="15"/>
          <w:szCs w:val="15"/>
          <w:color w:val="auto"/>
        </w:rPr>
      </w:pPr>
      <w:r>
        <w:rPr>
          <w:rFonts w:ascii="Arial" w:cs="Arial" w:eastAsia="Arial" w:hAnsi="Arial"/>
          <w:sz w:val="15"/>
          <w:szCs w:val="15"/>
          <w:color w:val="auto"/>
        </w:rPr>
        <w:t>being a holding company parent, directly or indirectly, of the Parent Guarantor or any of the Parent Guarantor’s Subsidiaries;</w:t>
      </w:r>
    </w:p>
    <w:p>
      <w:pPr>
        <w:spacing w:after="0" w:line="193" w:lineRule="exact"/>
        <w:rPr>
          <w:rFonts w:ascii="Arial" w:cs="Arial" w:eastAsia="Arial" w:hAnsi="Arial"/>
          <w:sz w:val="15"/>
          <w:szCs w:val="15"/>
          <w:color w:val="auto"/>
        </w:rPr>
      </w:pPr>
    </w:p>
    <w:p>
      <w:pPr>
        <w:ind w:left="1108" w:right="620" w:hanging="559"/>
        <w:spacing w:after="0" w:line="284" w:lineRule="auto"/>
        <w:tabs>
          <w:tab w:leader="none" w:pos="1117" w:val="left"/>
        </w:tabs>
        <w:numPr>
          <w:ilvl w:val="1"/>
          <w:numId w:val="92"/>
        </w:numPr>
        <w:rPr>
          <w:rFonts w:ascii="Arial" w:cs="Arial" w:eastAsia="Arial" w:hAnsi="Arial"/>
          <w:sz w:val="15"/>
          <w:szCs w:val="15"/>
          <w:color w:val="auto"/>
        </w:rPr>
      </w:pPr>
      <w:r>
        <w:rPr>
          <w:rFonts w:ascii="Arial" w:cs="Arial" w:eastAsia="Arial" w:hAnsi="Arial"/>
          <w:sz w:val="15"/>
          <w:szCs w:val="15"/>
          <w:color w:val="auto"/>
        </w:rPr>
        <w:t>receiving dividends from or other distributions in respect of the Equity Interests of, directly or indirectly, the Parent Guarantor or any of the Parent Guarantor’s Subsidiaries; or</w:t>
      </w:r>
    </w:p>
    <w:p>
      <w:pPr>
        <w:spacing w:after="0" w:line="141" w:lineRule="exact"/>
        <w:rPr>
          <w:rFonts w:ascii="Arial" w:cs="Arial" w:eastAsia="Arial" w:hAnsi="Arial"/>
          <w:sz w:val="15"/>
          <w:szCs w:val="15"/>
          <w:color w:val="auto"/>
        </w:rPr>
      </w:pPr>
    </w:p>
    <w:p>
      <w:pPr>
        <w:ind w:left="1108" w:right="120" w:hanging="559"/>
        <w:spacing w:after="0" w:line="284" w:lineRule="auto"/>
        <w:tabs>
          <w:tab w:leader="none" w:pos="1115" w:val="left"/>
        </w:tabs>
        <w:numPr>
          <w:ilvl w:val="1"/>
          <w:numId w:val="92"/>
        </w:numPr>
        <w:rPr>
          <w:rFonts w:ascii="Arial" w:cs="Arial" w:eastAsia="Arial" w:hAnsi="Arial"/>
          <w:sz w:val="15"/>
          <w:szCs w:val="15"/>
          <w:color w:val="auto"/>
        </w:rPr>
      </w:pPr>
      <w:r>
        <w:rPr>
          <w:rFonts w:ascii="Arial" w:cs="Arial" w:eastAsia="Arial" w:hAnsi="Arial"/>
          <w:sz w:val="15"/>
          <w:szCs w:val="15"/>
          <w:color w:val="auto"/>
        </w:rPr>
        <w:t>having made any payment in respect to any of the items for which the Parent Guarantor or any of the Parent Guarantor’s Subsidiaries is permitted to make payments to any Successor Parent pursuant to “—Certain Covenants—Limitation on Restricted Payments;” and</w:t>
      </w:r>
    </w:p>
    <w:p>
      <w:pPr>
        <w:spacing w:after="0" w:line="141" w:lineRule="exact"/>
        <w:rPr>
          <w:rFonts w:ascii="Arial" w:cs="Arial" w:eastAsia="Arial" w:hAnsi="Arial"/>
          <w:sz w:val="15"/>
          <w:szCs w:val="15"/>
          <w:color w:val="auto"/>
        </w:rPr>
      </w:pPr>
    </w:p>
    <w:p>
      <w:pPr>
        <w:ind w:left="548" w:right="60" w:hanging="548"/>
        <w:spacing w:after="0" w:line="317" w:lineRule="auto"/>
        <w:tabs>
          <w:tab w:leader="none" w:pos="554" w:val="left"/>
        </w:tabs>
        <w:numPr>
          <w:ilvl w:val="0"/>
          <w:numId w:val="92"/>
        </w:numPr>
        <w:rPr>
          <w:rFonts w:ascii="Arial" w:cs="Arial" w:eastAsia="Arial" w:hAnsi="Arial"/>
          <w:sz w:val="13"/>
          <w:szCs w:val="13"/>
          <w:color w:val="auto"/>
        </w:rPr>
      </w:pPr>
      <w:r>
        <w:rPr>
          <w:rFonts w:ascii="Arial" w:cs="Arial" w:eastAsia="Arial" w:hAnsi="Arial"/>
          <w:sz w:val="13"/>
          <w:szCs w:val="13"/>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25" w:lineRule="exact"/>
        <w:rPr>
          <w:rFonts w:ascii="Arial" w:cs="Arial" w:eastAsia="Arial" w:hAnsi="Arial"/>
          <w:sz w:val="13"/>
          <w:szCs w:val="13"/>
          <w:color w:val="auto"/>
        </w:rPr>
      </w:pPr>
    </w:p>
    <w:p>
      <w:pPr>
        <w:ind w:left="548"/>
        <w:spacing w:after="0"/>
        <w:rPr>
          <w:rFonts w:ascii="Arial" w:cs="Arial" w:eastAsia="Arial" w:hAnsi="Arial"/>
          <w:sz w:val="13"/>
          <w:szCs w:val="13"/>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Payment</w:t>
      </w:r>
      <w:r>
        <w:rPr>
          <w:rFonts w:ascii="Arial" w:cs="Arial" w:eastAsia="Arial" w:hAnsi="Arial"/>
          <w:sz w:val="15"/>
          <w:szCs w:val="15"/>
          <w:color w:val="auto"/>
        </w:rPr>
        <w:t>” means any of the following:</w:t>
      </w:r>
    </w:p>
    <w:p>
      <w:pPr>
        <w:spacing w:after="0" w:line="194" w:lineRule="exact"/>
        <w:rPr>
          <w:sz w:val="20"/>
          <w:szCs w:val="20"/>
          <w:color w:val="auto"/>
        </w:rPr>
      </w:pPr>
    </w:p>
    <w:p>
      <w:pPr>
        <w:ind w:left="548" w:right="200" w:hanging="548"/>
        <w:spacing w:after="0" w:line="282" w:lineRule="auto"/>
        <w:tabs>
          <w:tab w:leader="none" w:pos="554"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46" w:lineRule="exact"/>
        <w:rPr>
          <w:rFonts w:ascii="Arial" w:cs="Arial" w:eastAsia="Arial" w:hAnsi="Arial"/>
          <w:sz w:val="14"/>
          <w:szCs w:val="14"/>
          <w:color w:val="auto"/>
        </w:rPr>
      </w:pPr>
    </w:p>
    <w:p>
      <w:pPr>
        <w:ind w:left="548" w:right="20" w:hanging="548"/>
        <w:spacing w:after="0" w:line="269" w:lineRule="auto"/>
        <w:tabs>
          <w:tab w:leader="none" w:pos="554"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52" w:lineRule="exact"/>
        <w:rPr>
          <w:rFonts w:ascii="Arial" w:cs="Arial" w:eastAsia="Arial" w:hAnsi="Arial"/>
          <w:sz w:val="15"/>
          <w:szCs w:val="15"/>
          <w:color w:val="auto"/>
        </w:rPr>
      </w:pPr>
    </w:p>
    <w:p>
      <w:pPr>
        <w:ind w:left="548" w:hanging="548"/>
        <w:spacing w:after="0"/>
        <w:tabs>
          <w:tab w:leader="none" w:pos="548"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Investment other than a Permitted Investment; or</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79" w:name="page80"/>
    <w:bookmarkEnd w:id="79"/>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200" w:hanging="548"/>
        <w:spacing w:after="0" w:line="264" w:lineRule="auto"/>
        <w:tabs>
          <w:tab w:leader="none" w:pos="554"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57" w:lineRule="exact"/>
        <w:rPr>
          <w:sz w:val="20"/>
          <w:szCs w:val="20"/>
          <w:color w:val="auto"/>
        </w:rPr>
      </w:pPr>
    </w:p>
    <w:p>
      <w:pPr>
        <w:ind w:left="8" w:right="5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Payments Basket</w:t>
      </w:r>
      <w:r>
        <w:rPr>
          <w:rFonts w:ascii="Arial" w:cs="Arial" w:eastAsia="Arial" w:hAnsi="Arial"/>
          <w:sz w:val="15"/>
          <w:szCs w:val="15"/>
          <w:color w:val="auto"/>
        </w:rPr>
        <w:t>” has the meaning given to such term in the first paragraph of the covenant described under “—Certain Covenants—Limitation on Restricted Payments.”</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Subsidiary</w:t>
      </w:r>
      <w:r>
        <w:rPr>
          <w:rFonts w:ascii="Arial" w:cs="Arial" w:eastAsia="Arial" w:hAnsi="Arial"/>
          <w:sz w:val="15"/>
          <w:szCs w:val="15"/>
          <w:color w:val="auto"/>
        </w:rPr>
        <w:t>” means any Subsidiary of the Parent Guarantor other than an Unrestricted Subsidiary.</w:t>
      </w:r>
    </w:p>
    <w:p>
      <w:pPr>
        <w:spacing w:after="0" w:line="194" w:lineRule="exact"/>
        <w:rPr>
          <w:sz w:val="20"/>
          <w:szCs w:val="20"/>
          <w:color w:val="auto"/>
        </w:rPr>
      </w:pPr>
    </w:p>
    <w:p>
      <w:pPr>
        <w:ind w:left="8" w:right="80" w:firstLine="549"/>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Revolving Credit Agreement</w:t>
      </w:r>
      <w:r>
        <w:rPr>
          <w:rFonts w:ascii="Arial" w:cs="Arial" w:eastAsia="Arial" w:hAnsi="Arial"/>
          <w:sz w:val="13"/>
          <w:szCs w:val="13"/>
          <w:color w:val="auto"/>
        </w:rPr>
        <w:t>” means the Amended and Restated Credit Agreement dated as of May 4, 2016, among Weatherford Bermuda,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35"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S&amp;P</w:t>
      </w:r>
      <w:r>
        <w:rPr>
          <w:rFonts w:ascii="Arial" w:cs="Arial" w:eastAsia="Arial" w:hAnsi="Arial"/>
          <w:sz w:val="15"/>
          <w:szCs w:val="15"/>
          <w:color w:val="auto"/>
        </w:rPr>
        <w:t>” means S&amp;P Global Ratings and its successors.</w:t>
      </w:r>
    </w:p>
    <w:p>
      <w:pPr>
        <w:spacing w:after="0" w:line="194" w:lineRule="exact"/>
        <w:rPr>
          <w:sz w:val="20"/>
          <w:szCs w:val="20"/>
          <w:color w:val="auto"/>
        </w:rPr>
      </w:pPr>
    </w:p>
    <w:p>
      <w:pPr>
        <w:ind w:left="8" w:firstLine="549"/>
        <w:spacing w:after="0" w:line="365"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Sale-Leaseback Transaction</w:t>
      </w:r>
      <w:r>
        <w:rPr>
          <w:rFonts w:ascii="Arial" w:cs="Arial" w:eastAsia="Arial" w:hAnsi="Arial"/>
          <w:sz w:val="13"/>
          <w:szCs w:val="13"/>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95"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w:t>
      </w:r>
      <w:r>
        <w:rPr>
          <w:rFonts w:ascii="Arial" w:cs="Arial" w:eastAsia="Arial" w:hAnsi="Arial"/>
          <w:sz w:val="15"/>
          <w:szCs w:val="15"/>
          <w:color w:val="auto"/>
        </w:rPr>
        <w:t>” means the U.S. Securities and Exchange Commission.</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Securities Act</w:t>
      </w:r>
      <w:r>
        <w:rPr>
          <w:rFonts w:ascii="Arial" w:cs="Arial" w:eastAsia="Arial" w:hAnsi="Arial"/>
          <w:sz w:val="15"/>
          <w:szCs w:val="15"/>
          <w:color w:val="auto"/>
        </w:rPr>
        <w:t>” means the U.S. Securities Act of 1933, as amended.</w:t>
      </w:r>
    </w:p>
    <w:p>
      <w:pPr>
        <w:spacing w:after="0" w:line="194" w:lineRule="exact"/>
        <w:rPr>
          <w:sz w:val="20"/>
          <w:szCs w:val="20"/>
          <w:color w:val="auto"/>
        </w:rPr>
      </w:pPr>
    </w:p>
    <w:p>
      <w:pPr>
        <w:ind w:left="8"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Significant Subsidiary</w:t>
      </w:r>
      <w:r>
        <w:rPr>
          <w:rFonts w:ascii="Arial" w:cs="Arial" w:eastAsia="Arial" w:hAnsi="Arial"/>
          <w:sz w:val="15"/>
          <w:szCs w:val="15"/>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41" w:lineRule="exact"/>
        <w:rPr>
          <w:sz w:val="20"/>
          <w:szCs w:val="20"/>
          <w:color w:val="auto"/>
        </w:rPr>
      </w:pPr>
    </w:p>
    <w:p>
      <w:pPr>
        <w:ind w:left="8" w:right="1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Specified Cash Management Agreements</w:t>
      </w:r>
      <w:r>
        <w:rPr>
          <w:rFonts w:ascii="Arial" w:cs="Arial" w:eastAsia="Arial" w:hAnsi="Arial"/>
          <w:sz w:val="15"/>
          <w:szCs w:val="15"/>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41" w:lineRule="exact"/>
        <w:rPr>
          <w:sz w:val="20"/>
          <w:szCs w:val="20"/>
          <w:color w:val="auto"/>
        </w:rPr>
      </w:pPr>
    </w:p>
    <w:p>
      <w:pPr>
        <w:jc w:val="both"/>
        <w:ind w:left="8" w:right="44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Standard Securitization Undertakings</w:t>
      </w:r>
      <w:r>
        <w:rPr>
          <w:rFonts w:ascii="Arial" w:cs="Arial" w:eastAsia="Arial" w:hAnsi="Arial"/>
          <w:sz w:val="15"/>
          <w:szCs w:val="15"/>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52" w:lineRule="exact"/>
        <w:rPr>
          <w:sz w:val="20"/>
          <w:szCs w:val="20"/>
          <w:color w:val="auto"/>
        </w:rPr>
      </w:pPr>
    </w:p>
    <w:p>
      <w:pPr>
        <w:ind w:left="8" w:right="16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Stated Maturity</w:t>
      </w:r>
      <w:r>
        <w:rPr>
          <w:rFonts w:ascii="Arial" w:cs="Arial" w:eastAsia="Arial" w:hAnsi="Arial"/>
          <w:sz w:val="15"/>
          <w:szCs w:val="15"/>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52" w:lineRule="exact"/>
        <w:rPr>
          <w:sz w:val="20"/>
          <w:szCs w:val="20"/>
          <w:color w:val="auto"/>
        </w:rPr>
      </w:pPr>
    </w:p>
    <w:p>
      <w:pPr>
        <w:ind w:left="54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Subordinated Indebtedness</w:t>
      </w:r>
      <w:r>
        <w:rPr>
          <w:rFonts w:ascii="Arial" w:cs="Arial" w:eastAsia="Arial" w:hAnsi="Arial"/>
          <w:sz w:val="13"/>
          <w:szCs w:val="13"/>
          <w:color w:val="auto"/>
        </w:rPr>
        <w:t>” means Indebtedness of the Issuer or any Guarantor that is expressly subordinated in right of payment to the Notes or any Guarantee, respectively.</w:t>
      </w:r>
    </w:p>
    <w:p>
      <w:pPr>
        <w:spacing w:after="0" w:line="21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means, with respect to any Person:</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80" w:name="page81"/>
    <w:bookmarkEnd w:id="80"/>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right="120" w:hanging="548"/>
        <w:spacing w:after="0" w:line="284" w:lineRule="auto"/>
        <w:tabs>
          <w:tab w:leader="none" w:pos="554"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any corporation of which more than 50.0% of the total voting power of the Voting Stock thereof is at the time owned, directly or indirectly, by such Person or one or more of the other Subsidiaries of such Person; and</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any partnership or similar business organization more than 50.0% of the ownership interests having ordinary voting power of which shall at the time be so owned.</w:t>
      </w:r>
    </w:p>
    <w:p>
      <w:pPr>
        <w:spacing w:after="0" w:line="194" w:lineRule="exact"/>
        <w:rPr>
          <w:sz w:val="20"/>
          <w:szCs w:val="20"/>
          <w:color w:val="auto"/>
        </w:rPr>
      </w:pPr>
    </w:p>
    <w:p>
      <w:pPr>
        <w:ind w:left="8" w:right="220" w:firstLine="549"/>
        <w:spacing w:after="0" w:line="284" w:lineRule="auto"/>
        <w:rPr>
          <w:sz w:val="20"/>
          <w:szCs w:val="20"/>
          <w:color w:val="auto"/>
        </w:rPr>
      </w:pPr>
      <w:r>
        <w:rPr>
          <w:rFonts w:ascii="Arial" w:cs="Arial" w:eastAsia="Arial" w:hAnsi="Arial"/>
          <w:sz w:val="15"/>
          <w:szCs w:val="15"/>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41" w:lineRule="exact"/>
        <w:rPr>
          <w:sz w:val="20"/>
          <w:szCs w:val="20"/>
          <w:color w:val="auto"/>
        </w:rPr>
      </w:pPr>
    </w:p>
    <w:p>
      <w:pPr>
        <w:ind w:left="8" w:right="1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 Guarantors</w:t>
      </w:r>
      <w:r>
        <w:rPr>
          <w:rFonts w:ascii="Arial" w:cs="Arial" w:eastAsia="Arial" w:hAnsi="Arial"/>
          <w:sz w:val="15"/>
          <w:szCs w:val="15"/>
          <w:color w:val="auto"/>
        </w:rPr>
        <w:t>” means Weatherford Bermuda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41" w:lineRule="exact"/>
        <w:rPr>
          <w:sz w:val="20"/>
          <w:szCs w:val="20"/>
          <w:color w:val="auto"/>
        </w:rPr>
      </w:pPr>
    </w:p>
    <w:p>
      <w:pPr>
        <w:ind w:left="8" w:right="1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Successor Parent</w:t>
      </w:r>
      <w:r>
        <w:rPr>
          <w:rFonts w:ascii="Arial" w:cs="Arial" w:eastAsia="Arial" w:hAnsi="Arial"/>
          <w:sz w:val="15"/>
          <w:szCs w:val="15"/>
          <w:color w:val="auto"/>
        </w:rPr>
        <w:t>” means any Person which legally and beneficially owns more than 50% of the Voting Stock and/or Equity Interests of the Parent Guarantor or any Restricted Subsidiary, either directly or through one or more Subsidiaries.</w:t>
      </w:r>
    </w:p>
    <w:p>
      <w:pPr>
        <w:spacing w:after="0" w:line="141" w:lineRule="exact"/>
        <w:rPr>
          <w:sz w:val="20"/>
          <w:szCs w:val="20"/>
          <w:color w:val="auto"/>
        </w:rPr>
      </w:pPr>
    </w:p>
    <w:p>
      <w:pPr>
        <w:ind w:left="8" w:right="40" w:firstLine="549"/>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Term Loan Agreement</w:t>
      </w:r>
      <w:r>
        <w:rPr>
          <w:rFonts w:ascii="Arial" w:cs="Arial" w:eastAsia="Arial" w:hAnsi="Arial"/>
          <w:sz w:val="15"/>
          <w:szCs w:val="15"/>
          <w:color w:val="auto"/>
        </w:rPr>
        <w:t>” means the Term Loan Agreement dated as of May 4, 2016, among Weatherford Bermuda,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6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Trust Indenture Act</w:t>
      </w:r>
      <w:r>
        <w:rPr>
          <w:rFonts w:ascii="Arial" w:cs="Arial" w:eastAsia="Arial" w:hAnsi="Arial"/>
          <w:sz w:val="15"/>
          <w:szCs w:val="15"/>
          <w:color w:val="auto"/>
        </w:rPr>
        <w:t>” means the Trust Indenture Act of 1939, as amended.</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United States</w:t>
      </w:r>
      <w:r>
        <w:rPr>
          <w:rFonts w:ascii="Arial" w:cs="Arial" w:eastAsia="Arial" w:hAnsi="Arial"/>
          <w:sz w:val="15"/>
          <w:szCs w:val="15"/>
          <w:color w:val="auto"/>
        </w:rPr>
        <w:t>” or “</w:t>
      </w:r>
      <w:r>
        <w:rPr>
          <w:rFonts w:ascii="Arial" w:cs="Arial" w:eastAsia="Arial" w:hAnsi="Arial"/>
          <w:sz w:val="15"/>
          <w:szCs w:val="15"/>
          <w:i w:val="1"/>
          <w:iCs w:val="1"/>
          <w:color w:val="auto"/>
        </w:rPr>
        <w:t>U.S</w:t>
      </w:r>
      <w:r>
        <w:rPr>
          <w:rFonts w:ascii="Arial" w:cs="Arial" w:eastAsia="Arial" w:hAnsi="Arial"/>
          <w:sz w:val="15"/>
          <w:szCs w:val="15"/>
          <w:color w:val="auto"/>
        </w:rPr>
        <w:t>.” means the United States of America.</w:t>
      </w:r>
    </w:p>
    <w:p>
      <w:pPr>
        <w:spacing w:after="0" w:line="194" w:lineRule="exact"/>
        <w:rPr>
          <w:sz w:val="20"/>
          <w:szCs w:val="20"/>
          <w:color w:val="auto"/>
        </w:rPr>
      </w:pPr>
    </w:p>
    <w:p>
      <w:pPr>
        <w:ind w:left="8" w:right="300" w:firstLine="549"/>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Unrestricted Subsidiary</w:t>
      </w:r>
      <w:r>
        <w:rPr>
          <w:rFonts w:ascii="Arial" w:cs="Arial" w:eastAsia="Arial" w:hAnsi="Arial"/>
          <w:sz w:val="14"/>
          <w:szCs w:val="14"/>
          <w:color w:val="auto"/>
        </w:rPr>
        <w:t>” means (1) any Subsidiary that at the time of determination shall be designated an Unrestricted Subsidiary by the Board of Directors of the Parent Guarantor in accordance with the covenant described under “—Certain Covenants—Limitation on Designation of Unrestricted Subsidiaries” and (2) any Subsidiary of an Unrestricted Subsidiary. Notwithstanding the preceding, if at any time, any Unrestricted Subsidiary would fail to meet the requirements as an Unrestricted Subsidiary described under “—Certain Covenants—Limitation on Designation of Unrestricted Subsidiaries,” it shall thereafter cease to be an Unrestricted Subsidiary for purposes of the Indenture.</w:t>
      </w:r>
    </w:p>
    <w:p>
      <w:pPr>
        <w:spacing w:after="0" w:line="140" w:lineRule="exact"/>
        <w:rPr>
          <w:sz w:val="20"/>
          <w:szCs w:val="20"/>
          <w:color w:val="auto"/>
        </w:rPr>
      </w:pPr>
    </w:p>
    <w:p>
      <w:pPr>
        <w:ind w:left="8"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Government Obligations</w:t>
      </w:r>
      <w:r>
        <w:rPr>
          <w:rFonts w:ascii="Arial" w:cs="Arial" w:eastAsia="Arial" w:hAnsi="Arial"/>
          <w:sz w:val="15"/>
          <w:szCs w:val="15"/>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52" w:lineRule="exact"/>
        <w:rPr>
          <w:sz w:val="20"/>
          <w:szCs w:val="20"/>
          <w:color w:val="auto"/>
        </w:rPr>
      </w:pPr>
    </w:p>
    <w:p>
      <w:pPr>
        <w:ind w:left="8" w:right="8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Stock</w:t>
      </w:r>
      <w:r>
        <w:rPr>
          <w:rFonts w:ascii="Arial" w:cs="Arial" w:eastAsia="Arial" w:hAnsi="Arial"/>
          <w:sz w:val="14"/>
          <w:szCs w:val="14"/>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17" w:lineRule="exact"/>
        <w:rPr>
          <w:sz w:val="20"/>
          <w:szCs w:val="20"/>
          <w:color w:val="auto"/>
        </w:rPr>
      </w:pPr>
    </w:p>
    <w:p>
      <w:pPr>
        <w:ind w:left="8" w:right="1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Weatherford Parent Company</w:t>
      </w:r>
      <w:r>
        <w:rPr>
          <w:rFonts w:ascii="Arial" w:cs="Arial" w:eastAsia="Arial" w:hAnsi="Arial"/>
          <w:sz w:val="15"/>
          <w:szCs w:val="15"/>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Weighted Average Life to Maturity</w:t>
      </w:r>
      <w:r>
        <w:rPr>
          <w:rFonts w:ascii="Arial" w:cs="Arial" w:eastAsia="Arial" w:hAnsi="Arial"/>
          <w:sz w:val="15"/>
          <w:szCs w:val="15"/>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57"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Wholly-Owned Subsidiary</w:t>
      </w:r>
      <w:r>
        <w:rPr>
          <w:rFonts w:ascii="Arial" w:cs="Arial" w:eastAsia="Arial" w:hAnsi="Arial"/>
          <w:sz w:val="15"/>
          <w:szCs w:val="15"/>
          <w:color w:val="auto"/>
        </w:rPr>
        <w:t>” means a Restricted Subsidiary, all of the Equity Interests of which (other than directors’ qualifying shares) are owned by the Parent Guarantor or another Wholly-Owned Subsidiary.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UNITED STATES FEDERAL INCOME TAX CONSEQUENCES</w:t>
      </w:r>
    </w:p>
    <w:p>
      <w:pPr>
        <w:spacing w:after="0" w:line="198" w:lineRule="exact"/>
        <w:rPr>
          <w:sz w:val="20"/>
          <w:szCs w:val="20"/>
          <w:color w:val="auto"/>
        </w:rPr>
      </w:pPr>
    </w:p>
    <w:p>
      <w:pPr>
        <w:ind w:firstLine="549"/>
        <w:spacing w:after="0" w:line="281" w:lineRule="auto"/>
        <w:rPr>
          <w:sz w:val="20"/>
          <w:szCs w:val="20"/>
          <w:color w:val="auto"/>
        </w:rPr>
      </w:pPr>
      <w:r>
        <w:rPr>
          <w:rFonts w:ascii="Arial" w:cs="Arial" w:eastAsia="Arial" w:hAnsi="Arial"/>
          <w:sz w:val="14"/>
          <w:szCs w:val="14"/>
          <w:color w:val="auto"/>
        </w:rPr>
        <w:t>The following discussion summarizes the material U.S. federal income tax consequences of the exchange of the old notes for the new notes pursuant to the exchange offer, but does not purport to be a complete analysis of all potential tax effects relating thereto.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We have not sought and will not seek any rulings from the IRS regarding the matters discussed below. There can be no assurance the IRS or a court will not take a contrary position to that discussed below regarding the tax consequences of the exchange of the old notes for the new notes pursuant to the exchange offer.</w:t>
      </w:r>
    </w:p>
    <w:p>
      <w:pPr>
        <w:spacing w:after="0" w:line="145" w:lineRule="exact"/>
        <w:rPr>
          <w:sz w:val="20"/>
          <w:szCs w:val="20"/>
          <w:color w:val="auto"/>
        </w:rPr>
      </w:pPr>
    </w:p>
    <w:p>
      <w:pPr>
        <w:ind w:right="140" w:firstLine="549"/>
        <w:spacing w:after="0" w:line="284" w:lineRule="auto"/>
        <w:rPr>
          <w:sz w:val="20"/>
          <w:szCs w:val="20"/>
          <w:color w:val="auto"/>
        </w:rPr>
      </w:pPr>
      <w:r>
        <w:rPr>
          <w:rFonts w:ascii="Arial" w:cs="Arial" w:eastAsia="Arial" w:hAnsi="Arial"/>
          <w:sz w:val="15"/>
          <w:szCs w:val="15"/>
          <w:color w:val="auto"/>
        </w:rPr>
        <w:t>This discussion does not address all U.S. federal income tax consequences relevant to a holder’s particular circumstances. In addition, it does not address consequences relevant to holders subject to special rules, including, without limitation:</w:t>
      </w:r>
    </w:p>
    <w:p>
      <w:pPr>
        <w:spacing w:after="0" w:line="141" w:lineRule="exact"/>
        <w:rPr>
          <w:sz w:val="20"/>
          <w:szCs w:val="20"/>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United States persons (as defined in the Code) whose functional currency is not the U.S. dollar;</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persons holding the notes as part of a hedge, straddle or other risk reduction strategy or as part of a conversion transaction or other integrated investment;</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brokers, dealers or traders in securities;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S corporations, partnerships or other entities or arrangements treated as partnerships for U.S. federal income tax purposes (and investors therein);</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individual retirement and other tax-deferred accounts;</w:t>
      </w:r>
    </w:p>
    <w:p>
      <w:pPr>
        <w:spacing w:after="0" w:line="193" w:lineRule="exact"/>
        <w:rPr>
          <w:rFonts w:ascii="Arial" w:cs="Arial" w:eastAsia="Arial" w:hAnsi="Arial"/>
          <w:sz w:val="15"/>
          <w:szCs w:val="15"/>
          <w:color w:val="auto"/>
        </w:rPr>
      </w:pPr>
    </w:p>
    <w:p>
      <w:pPr>
        <w:ind w:left="1100" w:right="520" w:hanging="559"/>
        <w:spacing w:after="0" w:line="284" w:lineRule="auto"/>
        <w:tabs>
          <w:tab w:leader="none" w:pos="1069" w:val="left"/>
        </w:tabs>
        <w:numPr>
          <w:ilvl w:val="0"/>
          <w:numId w:val="96"/>
        </w:numPr>
        <w:rPr>
          <w:rFonts w:ascii="Arial" w:cs="Arial" w:eastAsia="Arial" w:hAnsi="Arial"/>
          <w:sz w:val="15"/>
          <w:szCs w:val="15"/>
          <w:color w:val="auto"/>
        </w:rPr>
      </w:pPr>
      <w:r>
        <w:rPr>
          <w:rFonts w:ascii="Arial" w:cs="Arial" w:eastAsia="Arial" w:hAnsi="Arial"/>
          <w:sz w:val="15"/>
          <w:szCs w:val="15"/>
          <w:color w:val="auto"/>
        </w:rPr>
        <w:t>persons subject to special tax accounting rules as a result of any item of gross income with respect to the notes being taken into account in an applicable financial statement;</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persons deemed to sell the notes under the constructive sale provisions of the Code.</w:t>
      </w:r>
    </w:p>
    <w:p>
      <w:pPr>
        <w:spacing w:after="0" w:line="190" w:lineRule="exact"/>
        <w:rPr>
          <w:sz w:val="20"/>
          <w:szCs w:val="20"/>
          <w:color w:val="auto"/>
        </w:rPr>
      </w:pPr>
    </w:p>
    <w:p>
      <w:pPr>
        <w:ind w:right="80" w:firstLine="549"/>
        <w:spacing w:after="0" w:line="266" w:lineRule="auto"/>
        <w:rPr>
          <w:sz w:val="20"/>
          <w:szCs w:val="20"/>
          <w:color w:val="auto"/>
        </w:rPr>
      </w:pPr>
      <w:r>
        <w:rPr>
          <w:rFonts w:ascii="Arial" w:cs="Arial" w:eastAsia="Arial" w:hAnsi="Arial"/>
          <w:sz w:val="15"/>
          <w:szCs w:val="15"/>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EXCHANGE OF THE OLD NOTES FOR THE NEW NOTES ARISING UNDER OTHER U.S. FEDERAL TAX LAWS (INCLUDING ESTATE AND GIFT TAX LAWS), UNDER THE LAWS OF ANY STATE, LOCAL OR NON-U.S. TAXING JURISDICTION OR UNDER ANY APPLICABLE TAX TREATY.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Pursuant to the Exchange Offer</w:t>
      </w:r>
    </w:p>
    <w:p>
      <w:pPr>
        <w:spacing w:after="0" w:line="198"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The exchange of old notes for new notes pursuant to the exchange offer should not be treated as an “exchange” for U.S. federal income tax purposes, because the new notes should not be considered to differ materially in kind or extent from the old notes. Accordingly, the exchange of old notes for new notes should not be a taxable event to holders for U.S. federal income tax purposes. Moreover, the new notes should have the same tax attributes as the old notes exchanged therefor and the same tax consequences to holders as the old notes have to holders, including without limitation, the same issue price, tax basis and holding period.</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20"/>
          </w:cols>
          <w:pgMar w:left="240" w:top="129" w:right="43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IRISH TAX CONSIDERATIONS</w:t>
      </w:r>
    </w:p>
    <w:p>
      <w:pPr>
        <w:spacing w:after="0" w:line="198" w:lineRule="exact"/>
        <w:rPr>
          <w:sz w:val="20"/>
          <w:szCs w:val="20"/>
          <w:color w:val="auto"/>
        </w:rPr>
      </w:pPr>
    </w:p>
    <w:p>
      <w:pPr>
        <w:ind w:right="140" w:firstLine="549"/>
        <w:spacing w:after="0" w:line="269" w:lineRule="auto"/>
        <w:rPr>
          <w:sz w:val="20"/>
          <w:szCs w:val="20"/>
          <w:color w:val="auto"/>
        </w:rPr>
      </w:pPr>
      <w:r>
        <w:rPr>
          <w:rFonts w:ascii="Arial" w:cs="Arial" w:eastAsia="Arial" w:hAnsi="Arial"/>
          <w:sz w:val="15"/>
          <w:szCs w:val="15"/>
          <w:i w:val="1"/>
          <w:iCs w:val="1"/>
          <w:color w:val="auto"/>
        </w:rPr>
        <w:t>The following is a summary of Irish withholding tax issues relating to the notes. The summary is based upon Irish tax laws and the practice of the Irish Revenue Commissioners as in effect on the date of this prospectus, which are subject to prospective or retroactive change. Prospective investors in the notes should consult their own advisors as to the Irish consequences of the purchase, beneficial ownership and disposition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withholding tax</w:t>
      </w:r>
    </w:p>
    <w:p>
      <w:pPr>
        <w:spacing w:after="0" w:line="198" w:lineRule="exact"/>
        <w:rPr>
          <w:sz w:val="20"/>
          <w:szCs w:val="20"/>
          <w:color w:val="auto"/>
        </w:rPr>
      </w:pPr>
    </w:p>
    <w:p>
      <w:pPr>
        <w:ind w:right="120" w:firstLine="549"/>
        <w:spacing w:after="0" w:line="284" w:lineRule="auto"/>
        <w:rPr>
          <w:sz w:val="20"/>
          <w:szCs w:val="20"/>
          <w:color w:val="auto"/>
        </w:rPr>
      </w:pPr>
      <w:r>
        <w:rPr>
          <w:rFonts w:ascii="Arial" w:cs="Arial" w:eastAsia="Arial" w:hAnsi="Arial"/>
          <w:sz w:val="15"/>
          <w:szCs w:val="15"/>
          <w:color w:val="auto"/>
        </w:rPr>
        <w:t>Payments under the notes can be paid by Weatherford Delaware and any paying agent acting on behalf of Weatherford Delaware without any withholding or deduction for or on account of Irish income tax.</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Irish encashment tax</w:t>
      </w:r>
    </w:p>
    <w:p>
      <w:pPr>
        <w:spacing w:after="0" w:line="198"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BERMUDA TAX CONSIDERATIONS</w:t>
      </w:r>
    </w:p>
    <w:p>
      <w:pPr>
        <w:spacing w:after="0" w:line="198"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color w:val="auto"/>
        </w:rPr>
        <w:t>At the present time, there is no Bermuda income or profits tax, withholding tax, capital gains tax, capital transfer tax, estate duty or inheritance tax payable by Weatherford Bermuda or by holders of the notes guaranteed by Weatherford Bermuda.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SWISS TAX CONSIDERATIONS</w:t>
      </w:r>
    </w:p>
    <w:p>
      <w:pPr>
        <w:spacing w:after="0" w:line="198" w:lineRule="exact"/>
        <w:rPr>
          <w:sz w:val="20"/>
          <w:szCs w:val="20"/>
          <w:color w:val="auto"/>
        </w:rPr>
      </w:pPr>
    </w:p>
    <w:p>
      <w:pPr>
        <w:ind w:right="140" w:firstLine="549"/>
        <w:spacing w:after="0" w:line="269" w:lineRule="auto"/>
        <w:rPr>
          <w:sz w:val="20"/>
          <w:szCs w:val="20"/>
          <w:color w:val="auto"/>
        </w:rPr>
      </w:pPr>
      <w:r>
        <w:rPr>
          <w:rFonts w:ascii="Arial" w:cs="Arial" w:eastAsia="Arial" w:hAnsi="Arial"/>
          <w:sz w:val="15"/>
          <w:szCs w:val="15"/>
          <w:color w:val="auto"/>
        </w:rPr>
        <w:t>The following is a summary of certain Swiss tax consequences to non-Swiss holders under present law of the purchase, ownership, exchange, disposition and redemption of the notes. The summary does not purport to be a comprehensive description of all of the Swiss tax considerations that may be relevant to a decision to purchase, own, exchange, dispose or redeem such notes.</w:t>
      </w:r>
    </w:p>
    <w:p>
      <w:pPr>
        <w:spacing w:after="0" w:line="152" w:lineRule="exact"/>
        <w:rPr>
          <w:sz w:val="20"/>
          <w:szCs w:val="20"/>
          <w:color w:val="auto"/>
        </w:rPr>
      </w:pPr>
    </w:p>
    <w:p>
      <w:pPr>
        <w:ind w:right="600" w:firstLine="549"/>
        <w:spacing w:after="0" w:line="284" w:lineRule="auto"/>
        <w:rPr>
          <w:sz w:val="20"/>
          <w:szCs w:val="20"/>
          <w:color w:val="auto"/>
        </w:rPr>
      </w:pPr>
      <w:r>
        <w:rPr>
          <w:rFonts w:ascii="Arial" w:cs="Arial" w:eastAsia="Arial" w:hAnsi="Arial"/>
          <w:sz w:val="15"/>
          <w:szCs w:val="15"/>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141" w:lineRule="exact"/>
        <w:rPr>
          <w:sz w:val="20"/>
          <w:szCs w:val="20"/>
          <w:color w:val="auto"/>
        </w:rPr>
      </w:pPr>
    </w:p>
    <w:p>
      <w:pPr>
        <w:ind w:right="140" w:firstLine="549"/>
        <w:spacing w:after="0" w:line="365" w:lineRule="auto"/>
        <w:rPr>
          <w:sz w:val="20"/>
          <w:szCs w:val="20"/>
          <w:color w:val="auto"/>
        </w:rPr>
      </w:pPr>
      <w:r>
        <w:rPr>
          <w:rFonts w:ascii="Arial" w:cs="Arial" w:eastAsia="Arial" w:hAnsi="Arial"/>
          <w:sz w:val="13"/>
          <w:szCs w:val="13"/>
          <w:color w:val="auto"/>
        </w:rPr>
        <w:t>The Swiss tax consequences to potential Swiss holders (Swiss tax residents or holders with any other taxable presence in Switzerland) of notes are not covered in this summary, and the Swiss tax consequences for non-Swiss holders discussed below are not a complete analysis or listing of all the possible Swiss tax consequences that may be relevant to you.</w:t>
      </w:r>
    </w:p>
    <w:p>
      <w:pPr>
        <w:spacing w:after="0" w:line="95" w:lineRule="exact"/>
        <w:rPr>
          <w:sz w:val="20"/>
          <w:szCs w:val="20"/>
          <w:color w:val="auto"/>
        </w:rPr>
      </w:pPr>
    </w:p>
    <w:p>
      <w:pPr>
        <w:ind w:right="620" w:firstLine="549"/>
        <w:spacing w:after="0" w:line="269" w:lineRule="auto"/>
        <w:rPr>
          <w:sz w:val="20"/>
          <w:szCs w:val="20"/>
          <w:color w:val="auto"/>
        </w:rPr>
      </w:pPr>
      <w:r>
        <w:rPr>
          <w:rFonts w:ascii="Arial" w:cs="Arial" w:eastAsia="Arial" w:hAnsi="Arial"/>
          <w:sz w:val="15"/>
          <w:szCs w:val="15"/>
          <w:color w:val="auto"/>
        </w:rPr>
        <w:t>PROSPECTIVE NOTE HOLDERS ARE URGED TO CONSULT THEIR TAX ADVISORS ABOUT THE APPLICATION OF THE SWISS TAX RULES TO THEIR PARTICULAR CIRCUMSTANCES AS WELL AS THE SWISS FEDERAL AND CANTONAL/COMMUNAL TAX CONSEQUENCES TO THEM OF THE PURCHASE, OWNERSHIP, EXCHANGE, DISPOSITION AND REDEMPTION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 Ownership, Exchange, Disposition and Redemption of Notes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Swiss Income Tax on Interest Payments</w:t>
      </w:r>
    </w:p>
    <w:p>
      <w:pPr>
        <w:spacing w:after="0" w:line="194" w:lineRule="exact"/>
        <w:rPr>
          <w:sz w:val="20"/>
          <w:szCs w:val="20"/>
          <w:color w:val="auto"/>
        </w:rPr>
      </w:pPr>
    </w:p>
    <w:p>
      <w:pPr>
        <w:ind w:right="100" w:firstLine="549"/>
        <w:spacing w:after="0" w:line="269" w:lineRule="auto"/>
        <w:rPr>
          <w:sz w:val="20"/>
          <w:szCs w:val="20"/>
          <w:color w:val="auto"/>
        </w:rPr>
      </w:pPr>
      <w:r>
        <w:rPr>
          <w:rFonts w:ascii="Arial" w:cs="Arial" w:eastAsia="Arial" w:hAnsi="Arial"/>
          <w:sz w:val="15"/>
          <w:szCs w:val="15"/>
          <w:color w:val="auto"/>
        </w:rPr>
        <w:t>A non-Swiss holder will not be subject to Swiss income taxes on interest income (annual interest payments and any other payments that are treated like interest payments for Swiss tax purposes) in respect of the notes, unless the notes are attributable to a permanent establishment, a fixed place of business maintained in Switzerland or another taxable presence in Switzerland of such non-Swiss holder.</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Swiss Wealth Tax</w:t>
      </w:r>
    </w:p>
    <w:p>
      <w:pPr>
        <w:spacing w:after="0" w:line="194" w:lineRule="exact"/>
        <w:rPr>
          <w:sz w:val="20"/>
          <w:szCs w:val="20"/>
          <w:color w:val="auto"/>
        </w:rPr>
      </w:pPr>
    </w:p>
    <w:p>
      <w:pPr>
        <w:ind w:right="80" w:firstLine="549"/>
        <w:spacing w:after="0" w:line="284" w:lineRule="auto"/>
        <w:rPr>
          <w:sz w:val="20"/>
          <w:szCs w:val="20"/>
          <w:color w:val="auto"/>
        </w:rPr>
      </w:pPr>
      <w:r>
        <w:rPr>
          <w:rFonts w:ascii="Arial" w:cs="Arial" w:eastAsia="Arial" w:hAnsi="Arial"/>
          <w:sz w:val="15"/>
          <w:szCs w:val="15"/>
          <w:color w:val="auto"/>
        </w:rPr>
        <w:t>A non-Swiss holder will not be subject to Swiss wealth taxes (net wealth tax or annual capital tax) unless the holder’s notes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Swiss Income Tax on Capital Gains upon Disposal, Exchange or Other Disposition of the Notes</w:t>
      </w:r>
    </w:p>
    <w:p>
      <w:pPr>
        <w:spacing w:after="0" w:line="194" w:lineRule="exact"/>
        <w:rPr>
          <w:sz w:val="20"/>
          <w:szCs w:val="20"/>
          <w:color w:val="auto"/>
        </w:rPr>
      </w:pPr>
    </w:p>
    <w:p>
      <w:pPr>
        <w:ind w:right="80" w:firstLine="549"/>
        <w:spacing w:after="0" w:line="284" w:lineRule="auto"/>
        <w:rPr>
          <w:sz w:val="20"/>
          <w:szCs w:val="20"/>
          <w:color w:val="auto"/>
        </w:rPr>
      </w:pPr>
      <w:r>
        <w:rPr>
          <w:rFonts w:ascii="Arial" w:cs="Arial" w:eastAsia="Arial" w:hAnsi="Arial"/>
          <w:sz w:val="15"/>
          <w:szCs w:val="15"/>
          <w:color w:val="auto"/>
        </w:rPr>
        <w:t>A non-Swiss holder will not be subject to Swiss income tax on capital gains upon disposal, exchange or other disposition of the notes unless the holder’s notes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Swiss Income Tax upon Redemption of the Notes</w:t>
      </w:r>
    </w:p>
    <w:p>
      <w:pPr>
        <w:spacing w:after="0" w:line="194" w:lineRule="exact"/>
        <w:rPr>
          <w:sz w:val="20"/>
          <w:szCs w:val="20"/>
          <w:color w:val="auto"/>
        </w:rPr>
      </w:pPr>
    </w:p>
    <w:p>
      <w:pPr>
        <w:ind w:right="80" w:firstLine="549"/>
        <w:spacing w:after="0" w:line="284" w:lineRule="auto"/>
        <w:rPr>
          <w:sz w:val="20"/>
          <w:szCs w:val="20"/>
          <w:color w:val="auto"/>
        </w:rPr>
      </w:pPr>
      <w:r>
        <w:rPr>
          <w:rFonts w:ascii="Arial" w:cs="Arial" w:eastAsia="Arial" w:hAnsi="Arial"/>
          <w:sz w:val="15"/>
          <w:szCs w:val="15"/>
          <w:color w:val="auto"/>
        </w:rPr>
        <w:t>A non-Swiss holder will not be subject to Swiss income tax upon redemption of the notes unless the holder’s notes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Swiss Withholding Tax on Interest Payments on the Notes</w:t>
      </w:r>
    </w:p>
    <w:p>
      <w:pPr>
        <w:spacing w:after="0" w:line="194" w:lineRule="exact"/>
        <w:rPr>
          <w:sz w:val="20"/>
          <w:szCs w:val="20"/>
          <w:color w:val="auto"/>
        </w:rPr>
      </w:pPr>
    </w:p>
    <w:p>
      <w:pPr>
        <w:ind w:firstLine="549"/>
        <w:spacing w:after="0" w:line="264" w:lineRule="auto"/>
        <w:rPr>
          <w:sz w:val="20"/>
          <w:szCs w:val="20"/>
          <w:color w:val="auto"/>
        </w:rPr>
      </w:pPr>
      <w:r>
        <w:rPr>
          <w:rFonts w:ascii="Arial" w:cs="Arial" w:eastAsia="Arial" w:hAnsi="Arial"/>
          <w:sz w:val="15"/>
          <w:szCs w:val="15"/>
          <w:color w:val="auto"/>
        </w:rPr>
        <w:t>We use our best efforts to ensure that proceeds from the notes are used in a way that payments of interest (annual interest payments and any other payments that are treated like interest payments for Swiss tax purposes)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 like instruments subject to Swiss withholding tax.</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Automatic Exchange of Information in Tax Matters</w:t>
      </w:r>
    </w:p>
    <w:p>
      <w:pPr>
        <w:spacing w:after="0" w:line="194" w:lineRule="exact"/>
        <w:rPr>
          <w:sz w:val="20"/>
          <w:szCs w:val="20"/>
          <w:color w:val="auto"/>
        </w:rPr>
      </w:pPr>
    </w:p>
    <w:p>
      <w:pPr>
        <w:ind w:right="20" w:firstLine="549"/>
        <w:spacing w:after="0" w:line="264" w:lineRule="auto"/>
        <w:rPr>
          <w:sz w:val="20"/>
          <w:szCs w:val="20"/>
          <w:color w:val="auto"/>
        </w:rPr>
      </w:pPr>
      <w:r>
        <w:rPr>
          <w:rFonts w:ascii="Arial" w:cs="Arial" w:eastAsia="Arial" w:hAnsi="Arial"/>
          <w:sz w:val="15"/>
          <w:szCs w:val="15"/>
          <w:color w:val="auto"/>
        </w:rPr>
        <w:t>On November 19, 2014, Switzerland signed the Multilateral Competent Authority Agreement (the “MCAA”). The MCAA is based on article 6 of the Organisation for Economic Co-operation and Development/ 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57" w:lineRule="exact"/>
        <w:rPr>
          <w:sz w:val="20"/>
          <w:szCs w:val="20"/>
          <w:color w:val="auto"/>
        </w:rPr>
      </w:pPr>
    </w:p>
    <w:p>
      <w:pPr>
        <w:jc w:val="both"/>
        <w:ind w:right="220" w:firstLine="549"/>
        <w:spacing w:after="0" w:line="269" w:lineRule="auto"/>
        <w:rPr>
          <w:sz w:val="20"/>
          <w:szCs w:val="20"/>
          <w:color w:val="auto"/>
        </w:rPr>
      </w:pPr>
      <w:r>
        <w:rPr>
          <w:rFonts w:ascii="Arial" w:cs="Arial" w:eastAsia="Arial" w:hAnsi="Arial"/>
          <w:sz w:val="15"/>
          <w:szCs w:val="15"/>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52" w:lineRule="exact"/>
        <w:rPr>
          <w:sz w:val="20"/>
          <w:szCs w:val="20"/>
          <w:color w:val="auto"/>
        </w:rPr>
      </w:pPr>
    </w:p>
    <w:p>
      <w:pPr>
        <w:ind w:right="600" w:firstLine="549"/>
        <w:spacing w:after="0" w:line="284" w:lineRule="auto"/>
        <w:rPr>
          <w:sz w:val="20"/>
          <w:szCs w:val="20"/>
          <w:color w:val="auto"/>
        </w:rPr>
      </w:pPr>
      <w:r>
        <w:rPr>
          <w:rFonts w:ascii="Arial" w:cs="Arial" w:eastAsia="Arial" w:hAnsi="Arial"/>
          <w:sz w:val="15"/>
          <w:szCs w:val="15"/>
          <w:color w:val="auto"/>
        </w:rPr>
        <w:t>Switzerland has concluded a multilateral AEOI agreement with the European Union (“EU”) (replacing the EU savings tax agreement) and has concluded bilateral AEOI agreements with several non-EU countries.</w:t>
      </w:r>
    </w:p>
    <w:p>
      <w:pPr>
        <w:spacing w:after="0" w:line="141" w:lineRule="exact"/>
        <w:rPr>
          <w:sz w:val="20"/>
          <w:szCs w:val="20"/>
          <w:color w:val="auto"/>
        </w:rPr>
      </w:pPr>
    </w:p>
    <w:p>
      <w:pPr>
        <w:ind w:right="260" w:firstLine="549"/>
        <w:spacing w:after="0" w:line="297" w:lineRule="auto"/>
        <w:rPr>
          <w:sz w:val="20"/>
          <w:szCs w:val="20"/>
          <w:color w:val="auto"/>
        </w:rPr>
      </w:pPr>
      <w:r>
        <w:rPr>
          <w:rFonts w:ascii="Arial" w:cs="Arial" w:eastAsia="Arial" w:hAnsi="Arial"/>
          <w:sz w:val="14"/>
          <w:szCs w:val="14"/>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Swiss Federal Stamp Duties</w:t>
      </w:r>
    </w:p>
    <w:p>
      <w:pPr>
        <w:spacing w:after="0" w:line="194"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57"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EACH PROSPECTIVE NOTE HOLDER SHOULD CONSULT HIS OR HER TAX ADVISOR AS TO THE PARTICULAR CONSEQUENCES THAT MAY APPLY TO SUCH NOTE HOLDER.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98"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Based on interpretations by the staff of the SEC in no-action letters issued to third parties, we believe that you may transfer new notes issued in the exchange offer in exchange for the old notes if:</w:t>
      </w:r>
    </w:p>
    <w:p>
      <w:pPr>
        <w:spacing w:after="0" w:line="141" w:lineRule="exact"/>
        <w:rPr>
          <w:sz w:val="20"/>
          <w:szCs w:val="20"/>
          <w:color w:val="auto"/>
        </w:rPr>
      </w:pPr>
    </w:p>
    <w:p>
      <w:pPr>
        <w:ind w:left="1060" w:hanging="519"/>
        <w:spacing w:after="0"/>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you acquire the new notes in the ordinary course of your business; and</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you are not engaged in, and do not intend to engage in, and have no arrangement or understanding with any person to participate in, a distribution of such new notes.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 may not participate in the exchange offer if you are:</w:t>
      </w:r>
    </w:p>
    <w:p>
      <w:pPr>
        <w:spacing w:after="0" w:line="198" w:lineRule="exact"/>
        <w:rPr>
          <w:sz w:val="20"/>
          <w:szCs w:val="20"/>
          <w:color w:val="auto"/>
        </w:rPr>
      </w:pPr>
    </w:p>
    <w:p>
      <w:pPr>
        <w:ind w:left="1060" w:hanging="519"/>
        <w:spacing w:after="0"/>
        <w:tabs>
          <w:tab w:leader="none" w:pos="10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“affiliate” of ours within the meaning of Rule 405 under the Securities Act; or</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broker-dealer that acquired old notes directly from us.</w:t>
      </w:r>
    </w:p>
    <w:p>
      <w:pPr>
        <w:spacing w:after="0" w:line="194" w:lineRule="exact"/>
        <w:rPr>
          <w:sz w:val="20"/>
          <w:szCs w:val="20"/>
          <w:color w:val="auto"/>
        </w:rPr>
      </w:pPr>
    </w:p>
    <w:p>
      <w:pPr>
        <w:ind w:firstLine="549"/>
        <w:spacing w:after="0" w:line="281" w:lineRule="auto"/>
        <w:rPr>
          <w:sz w:val="20"/>
          <w:szCs w:val="20"/>
          <w:color w:val="auto"/>
        </w:rPr>
      </w:pPr>
      <w:r>
        <w:rPr>
          <w:rFonts w:ascii="Arial" w:cs="Arial" w:eastAsia="Arial" w:hAnsi="Arial"/>
          <w:sz w:val="14"/>
          <w:szCs w:val="14"/>
          <w:color w:val="auto"/>
        </w:rPr>
        <w:t>Each broker-dealer that receives new notes for its own account pursuant to the exchange offer must acknowledge that it will deliver this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old notes, with the prospectus contained in the registration statement relating to the exchange offer. On this basis,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In addition, until such date, all dealers effecting transactions in new notes may be required to deliver this prospectus.</w:t>
      </w:r>
    </w:p>
    <w:p>
      <w:pPr>
        <w:spacing w:after="0" w:line="145" w:lineRule="exact"/>
        <w:rPr>
          <w:sz w:val="20"/>
          <w:szCs w:val="20"/>
          <w:color w:val="auto"/>
        </w:rPr>
      </w:pPr>
    </w:p>
    <w:p>
      <w:pPr>
        <w:ind w:right="20" w:firstLine="549"/>
        <w:spacing w:after="0" w:line="317" w:lineRule="auto"/>
        <w:rPr>
          <w:sz w:val="20"/>
          <w:szCs w:val="20"/>
          <w:color w:val="auto"/>
        </w:rPr>
      </w:pPr>
      <w:r>
        <w:rPr>
          <w:rFonts w:ascii="Arial" w:cs="Arial" w:eastAsia="Arial" w:hAnsi="Arial"/>
          <w:sz w:val="13"/>
          <w:szCs w:val="13"/>
          <w:color w:val="auto"/>
        </w:rPr>
        <w:t>If you wish to exchange new notes for your old notes in the exchange offer, you will be required to make representations to us as described in “Exchange Offer—Procedures for Tendering—Your Representations to Us” in this prospectus. As indicated in the letter of transmittal, you will be deemed to have made these representations by tendering your old notes in the exchange offer. In addition, if you are a broker-dealer who receives new notes for your own account in exchange for old notes that were acquired by you as a result of market-making activities or other trading activities, you will be required to acknowledge, in the same manner, that you will deliver this prospectus in connection with any resale by you of such new notes.</w:t>
      </w:r>
    </w:p>
    <w:p>
      <w:pPr>
        <w:spacing w:after="0" w:line="126" w:lineRule="exact"/>
        <w:rPr>
          <w:sz w:val="20"/>
          <w:szCs w:val="20"/>
          <w:color w:val="auto"/>
        </w:rPr>
      </w:pPr>
    </w:p>
    <w:p>
      <w:pPr>
        <w:ind w:right="140" w:firstLine="549"/>
        <w:spacing w:after="0" w:line="284" w:lineRule="auto"/>
        <w:rPr>
          <w:sz w:val="20"/>
          <w:szCs w:val="20"/>
          <w:color w:val="auto"/>
        </w:rPr>
      </w:pPr>
      <w:r>
        <w:rPr>
          <w:rFonts w:ascii="Arial" w:cs="Arial" w:eastAsia="Arial" w:hAnsi="Arial"/>
          <w:sz w:val="15"/>
          <w:szCs w:val="15"/>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141" w:lineRule="exact"/>
        <w:rPr>
          <w:sz w:val="20"/>
          <w:szCs w:val="20"/>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 the over-the-counter market;</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 negotiated transactions;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through the writing of options on the new notes;</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 combination of such methods of resale;</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at market prices prevailing at the time of resale;</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at prices related to such prevailing market prices; or,</w:t>
      </w:r>
    </w:p>
    <w:p>
      <w:pPr>
        <w:spacing w:after="0" w:line="193" w:lineRule="exact"/>
        <w:rPr>
          <w:rFonts w:ascii="Arial" w:cs="Arial" w:eastAsia="Arial" w:hAnsi="Arial"/>
          <w:sz w:val="15"/>
          <w:szCs w:val="15"/>
          <w:color w:val="auto"/>
        </w:rPr>
      </w:pPr>
    </w:p>
    <w:p>
      <w:pPr>
        <w:ind w:left="1060" w:hanging="519"/>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at negotiated prices.</w:t>
      </w:r>
    </w:p>
    <w:p>
      <w:pPr>
        <w:spacing w:after="0" w:line="194" w:lineRule="exact"/>
        <w:rPr>
          <w:sz w:val="20"/>
          <w:szCs w:val="20"/>
          <w:color w:val="auto"/>
        </w:rPr>
      </w:pPr>
    </w:p>
    <w:p>
      <w:pPr>
        <w:ind w:right="40" w:firstLine="549"/>
        <w:spacing w:after="0" w:line="322" w:lineRule="auto"/>
        <w:rPr>
          <w:sz w:val="20"/>
          <w:szCs w:val="20"/>
          <w:color w:val="auto"/>
        </w:rPr>
      </w:pPr>
      <w:r>
        <w:rPr>
          <w:rFonts w:ascii="Arial" w:cs="Arial" w:eastAsia="Arial" w:hAnsi="Arial"/>
          <w:sz w:val="14"/>
          <w:szCs w:val="14"/>
          <w:color w:val="auto"/>
        </w:rPr>
        <w:t>Any such resale may be made directly to purchasers or to or through brokers or dealers who may receive compensation in the form of commissions or concessions from any such broker-dealer or the purchasers of any such new notes. Any broker-dealer that resells new notes of any series that were received by it for its own account pursuant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to the exchange offer and any broker or dealer that participates in a distribution of such new notes may be deemed to be an “underwriter” within the meaning of the Securities Act.</w:t>
      </w:r>
    </w:p>
    <w:p>
      <w:pPr>
        <w:spacing w:after="0" w:line="205" w:lineRule="exact"/>
        <w:rPr>
          <w:sz w:val="20"/>
          <w:szCs w:val="20"/>
          <w:color w:val="auto"/>
        </w:rPr>
      </w:pPr>
    </w:p>
    <w:p>
      <w:pPr>
        <w:ind w:firstLine="549"/>
        <w:spacing w:after="0" w:line="289" w:lineRule="auto"/>
        <w:rPr>
          <w:sz w:val="20"/>
          <w:szCs w:val="20"/>
          <w:color w:val="auto"/>
        </w:rPr>
      </w:pPr>
      <w:r>
        <w:rPr>
          <w:rFonts w:ascii="Arial" w:cs="Arial" w:eastAsia="Arial" w:hAnsi="Arial"/>
          <w:sz w:val="14"/>
          <w:szCs w:val="14"/>
          <w:color w:val="auto"/>
        </w:rPr>
        <w:t>For a period of up to 180 days after the exchange date (as such period may be extended), we will promptly send additional copies of this prospectus and any amendment or supplement to this prospectus to any broker-dealer that requests such documents in the manner indicated in the letter of transmittal. We have agreed to pay all reasonable expenses incidental to the exchange offer (including the expenses of one counsel for the holders of the old notes) other than commissions or concessions of any broker-dealers and will indemnify the holders of the old notes (including any broker-dealers) against certain liabilities, including liabilities under the Securities Act.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0"/>
          </w:cols>
          <w:pgMar w:left="240" w:top="129" w:right="41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LEGAL MATTERS</w:t>
      </w:r>
    </w:p>
    <w:p>
      <w:pPr>
        <w:spacing w:after="0" w:line="198" w:lineRule="exact"/>
        <w:rPr>
          <w:sz w:val="20"/>
          <w:szCs w:val="20"/>
          <w:color w:val="auto"/>
        </w:rPr>
      </w:pPr>
    </w:p>
    <w:p>
      <w:pPr>
        <w:ind w:right="80" w:firstLine="549"/>
        <w:spacing w:after="0" w:line="297" w:lineRule="auto"/>
        <w:rPr>
          <w:sz w:val="20"/>
          <w:szCs w:val="20"/>
          <w:color w:val="auto"/>
        </w:rPr>
      </w:pPr>
      <w:r>
        <w:rPr>
          <w:rFonts w:ascii="Arial" w:cs="Arial" w:eastAsia="Arial" w:hAnsi="Arial"/>
          <w:sz w:val="14"/>
          <w:szCs w:val="14"/>
          <w:color w:val="auto"/>
        </w:rPr>
        <w:t>Certain U.S. legal matters in connection with the validity of the new notes offered in this exchange offer will be passed upon for us by Latham &amp; Watkins LLP, Houston, Texas. Certain Bermuda legal matters in connection with the new notes offered in this exchange offer will be passed upon for us by our special Bermuda counsel, Conyers Dill &amp; Pearman Limited. Certain Irish legal matters in connection with the new notes offered in this exchange offer will be passed upon for us by our special Irish counsel, Matheson.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EXPERTS</w:t>
      </w:r>
    </w:p>
    <w:p>
      <w:pPr>
        <w:spacing w:after="0" w:line="198" w:lineRule="exact"/>
        <w:rPr>
          <w:sz w:val="20"/>
          <w:szCs w:val="20"/>
          <w:color w:val="auto"/>
        </w:rPr>
      </w:pPr>
    </w:p>
    <w:p>
      <w:pPr>
        <w:jc w:val="both"/>
        <w:ind w:firstLine="549"/>
        <w:spacing w:after="0" w:line="329" w:lineRule="auto"/>
        <w:rPr>
          <w:sz w:val="20"/>
          <w:szCs w:val="20"/>
          <w:color w:val="auto"/>
        </w:rPr>
      </w:pPr>
      <w:r>
        <w:rPr>
          <w:rFonts w:ascii="Arial" w:cs="Arial" w:eastAsia="Arial" w:hAnsi="Arial"/>
          <w:sz w:val="13"/>
          <w:szCs w:val="13"/>
          <w:color w:val="auto"/>
        </w:rPr>
        <w:t>The consolidated financial statements of Weatherford International plc as of December 31, 2017 and 2016, and for each of the years in the three-year period ended December 31, 2017, and management’s assessment of the effectiveness of internal control over financial reporting as of December 31, 2017 have been incorporated by reference herein in reliance upon the reports of KPMG LLP, independent registered public accounting firm, incorporated by reference herein, and upon the authority of said firm as experts in accounting and auditing.</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Interests of Named Experts and Counsel</w:t>
      </w:r>
    </w:p>
    <w:p>
      <w:pPr>
        <w:spacing w:after="0" w:line="198"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Certain Bermuda legal matters in connection with the debt securities or guarantees that Weatherford Bermuda may issue in connection with the exchange offer will be passed upon for Weatherford Bermuda by its special Bermuda counsel, Conyers Dill &amp; Pearman Limited. An employee of that firm’s affiliated company, Conyers Corporate Services (Bermuda) Limited, is Weatherford Bermuda’s secretary.</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129" w:right="29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ADDITIONAL INFORMATION; INCORPORATION BY REFERENCE</w:t>
      </w:r>
    </w:p>
    <w:p>
      <w:pPr>
        <w:spacing w:after="0" w:line="198" w:lineRule="exact"/>
        <w:rPr>
          <w:sz w:val="20"/>
          <w:szCs w:val="20"/>
          <w:color w:val="auto"/>
        </w:rPr>
      </w:pPr>
    </w:p>
    <w:p>
      <w:pPr>
        <w:ind w:right="140" w:firstLine="549"/>
        <w:spacing w:after="0" w:line="262" w:lineRule="auto"/>
        <w:rPr>
          <w:sz w:val="20"/>
          <w:szCs w:val="20"/>
          <w:color w:val="auto"/>
        </w:rPr>
      </w:pPr>
      <w:r>
        <w:rPr>
          <w:rFonts w:ascii="Arial" w:cs="Arial" w:eastAsia="Arial" w:hAnsi="Arial"/>
          <w:sz w:val="15"/>
          <w:szCs w:val="15"/>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NYSE at 11 Wall Street, New York, New York 10005. Our ordinary shares trade on the NYSE under the ticker symbol “WFT”.</w:t>
      </w:r>
    </w:p>
    <w:p>
      <w:pPr>
        <w:spacing w:after="0" w:line="157" w:lineRule="exact"/>
        <w:rPr>
          <w:sz w:val="20"/>
          <w:szCs w:val="20"/>
          <w:color w:val="auto"/>
        </w:rPr>
      </w:pPr>
    </w:p>
    <w:p>
      <w:pPr>
        <w:ind w:right="80" w:firstLine="549"/>
        <w:spacing w:after="0" w:line="264" w:lineRule="auto"/>
        <w:rPr>
          <w:sz w:val="20"/>
          <w:szCs w:val="20"/>
          <w:color w:val="auto"/>
        </w:rPr>
      </w:pPr>
      <w:r>
        <w:rPr>
          <w:rFonts w:ascii="Arial" w:cs="Arial" w:eastAsia="Arial" w:hAnsi="Arial"/>
          <w:sz w:val="15"/>
          <w:szCs w:val="15"/>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157" w:lineRule="exact"/>
        <w:rPr>
          <w:sz w:val="20"/>
          <w:szCs w:val="20"/>
          <w:color w:val="auto"/>
        </w:rPr>
      </w:pPr>
    </w:p>
    <w:p>
      <w:pPr>
        <w:ind w:left="1060" w:hanging="519"/>
        <w:spacing w:after="0"/>
        <w:tabs>
          <w:tab w:leader="none" w:pos="10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Weatherford Ireland’s Annual Report on Form 10-K for the fiscal year ended December 31, 2017, as filed with the SEC on February 14, 2018;</w:t>
      </w:r>
    </w:p>
    <w:p>
      <w:pPr>
        <w:spacing w:after="0" w:line="193" w:lineRule="exact"/>
        <w:rPr>
          <w:rFonts w:ascii="Arial" w:cs="Arial" w:eastAsia="Arial" w:hAnsi="Arial"/>
          <w:sz w:val="15"/>
          <w:szCs w:val="15"/>
          <w:color w:val="auto"/>
        </w:rPr>
      </w:pPr>
    </w:p>
    <w:p>
      <w:pPr>
        <w:ind w:left="1100" w:right="260" w:hanging="559"/>
        <w:spacing w:after="0" w:line="284" w:lineRule="auto"/>
        <w:tabs>
          <w:tab w:leader="none" w:pos="106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Weatherford Ireland’s Quarterly Report on Form 10-Q for the quarters ended March 31, June 30, 2018, and September 30, 2018 each as filed with the SEC on May 2, 2018, August 9, 2018 and November 2, 2018, respectively;</w:t>
      </w:r>
    </w:p>
    <w:p>
      <w:pPr>
        <w:spacing w:after="0" w:line="141" w:lineRule="exact"/>
        <w:rPr>
          <w:rFonts w:ascii="Arial" w:cs="Arial" w:eastAsia="Arial" w:hAnsi="Arial"/>
          <w:sz w:val="15"/>
          <w:szCs w:val="15"/>
          <w:color w:val="auto"/>
        </w:rPr>
      </w:pPr>
    </w:p>
    <w:p>
      <w:pPr>
        <w:ind w:left="1060" w:hanging="519"/>
        <w:spacing w:after="0"/>
        <w:tabs>
          <w:tab w:leader="none" w:pos="10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Definitive Proxy Statement on Schedule 14A, as filed with the SEC on March 13, 2018; and</w:t>
      </w:r>
    </w:p>
    <w:p>
      <w:pPr>
        <w:spacing w:after="0" w:line="193" w:lineRule="exact"/>
        <w:rPr>
          <w:rFonts w:ascii="Arial" w:cs="Arial" w:eastAsia="Arial" w:hAnsi="Arial"/>
          <w:sz w:val="15"/>
          <w:szCs w:val="15"/>
          <w:color w:val="auto"/>
        </w:rPr>
      </w:pPr>
    </w:p>
    <w:p>
      <w:pPr>
        <w:ind w:left="1100" w:right="480" w:hanging="559"/>
        <w:spacing w:after="0" w:line="284" w:lineRule="auto"/>
        <w:tabs>
          <w:tab w:leader="none" w:pos="106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Weatherford Ireland’s Current Reports on Form 8-K, as filed with the SEC on February 23, 2018, March 5, 2018, March 9, 2018, March 12, 2018, April 30, 2018, July 11, 2018, August 20, 2018, October 22, 2018 and December 7, 2018.</w:t>
      </w:r>
    </w:p>
    <w:p>
      <w:pPr>
        <w:spacing w:after="0" w:line="141" w:lineRule="exact"/>
        <w:rPr>
          <w:sz w:val="20"/>
          <w:szCs w:val="20"/>
          <w:color w:val="auto"/>
        </w:rPr>
      </w:pPr>
    </w:p>
    <w:p>
      <w:pPr>
        <w:ind w:right="60" w:firstLine="549"/>
        <w:spacing w:after="0" w:line="322" w:lineRule="auto"/>
        <w:rPr>
          <w:sz w:val="20"/>
          <w:szCs w:val="20"/>
          <w:color w:val="auto"/>
        </w:rPr>
      </w:pPr>
      <w:r>
        <w:rPr>
          <w:rFonts w:ascii="Arial" w:cs="Arial" w:eastAsia="Arial" w:hAnsi="Arial"/>
          <w:sz w:val="14"/>
          <w:szCs w:val="14"/>
          <w:color w:val="auto"/>
        </w:rPr>
        <w:t>In addition, all documents that we subsequently file with the SEC under Sections 13(a), 13(c), 14 or 15(d) of the Exchange Act (other than information furnished rather than filed and corresponding information furnished under Item 9.01 of Form 8-K or included as an exhibit thereto), shall be deemed to be incorporated by reference into this prospectus.</w:t>
      </w:r>
    </w:p>
    <w:p>
      <w:pPr>
        <w:spacing w:after="0" w:line="117"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We are also incorporating by reference all additional documents Weatherford Ireland may file with the SEC under Sections 13(a), 13(c), 14 or 15(d) of the Exchange Act, after the date hereof and prior to the effectiveness of the registration statement of which this prospectus forms a part.</w:t>
      </w:r>
    </w:p>
    <w:p>
      <w:pPr>
        <w:spacing w:after="0" w:line="141" w:lineRule="exact"/>
        <w:rPr>
          <w:sz w:val="20"/>
          <w:szCs w:val="20"/>
          <w:color w:val="auto"/>
        </w:rPr>
      </w:pPr>
    </w:p>
    <w:p>
      <w:pPr>
        <w:ind w:right="60" w:firstLine="549"/>
        <w:spacing w:after="0" w:line="284" w:lineRule="auto"/>
        <w:rPr>
          <w:sz w:val="20"/>
          <w:szCs w:val="20"/>
          <w:color w:val="auto"/>
        </w:rPr>
      </w:pPr>
      <w:r>
        <w:rPr>
          <w:rFonts w:ascii="Arial" w:cs="Arial" w:eastAsia="Arial" w:hAnsi="Arial"/>
          <w:sz w:val="15"/>
          <w:szCs w:val="15"/>
          <w:color w:val="auto"/>
        </w:rPr>
        <w:t>You may request a copy of these filings (other than an exhibit to a filing unless that exhibit is specifically incorporated by reference into that filing), at no cost, by writing to us at the following address or calling the following number: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Attention: Investor Relations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2000 St. James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Houston, Texas 77056</w:t>
      </w:r>
    </w:p>
    <w:p>
      <w:pPr>
        <w:spacing w:after="0" w:line="11" w:lineRule="exact"/>
        <w:rPr>
          <w:sz w:val="20"/>
          <w:szCs w:val="20"/>
          <w:color w:val="auto"/>
        </w:rPr>
      </w:pPr>
    </w:p>
    <w:p>
      <w:pPr>
        <w:ind w:left="5600" w:hanging="363"/>
        <w:spacing w:after="0"/>
        <w:tabs>
          <w:tab w:leader="none" w:pos="5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836-4000</w:t>
      </w:r>
    </w:p>
    <w:p>
      <w:pPr>
        <w:spacing w:after="0" w:line="182"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ANNEX A</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LETTER OF TRANSMITTAL</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TO TENDER</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9.875% SENIOR NOTES DUE 2025</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(CUSIP NOS. 94707J AA5 and U9432J AA2)</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OF</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WEATHERFORD INTERNATIONAL, LLC</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PURSUANT TO THE EXCHANGE OFFER AND PROSPECTUS</w:t>
      </w:r>
    </w:p>
    <w:p>
      <w:pPr>
        <w:spacing w:after="0" w:line="194" w:lineRule="exact"/>
        <w:rPr>
          <w:sz w:val="20"/>
          <w:szCs w:val="20"/>
          <w:color w:val="auto"/>
        </w:rPr>
      </w:pPr>
    </w:p>
    <w:p>
      <w:pPr>
        <w:ind w:left="5040"/>
        <w:spacing w:after="0"/>
        <w:tabs>
          <w:tab w:leader="none" w:pos="6000" w:val="left"/>
        </w:tabs>
        <w:rPr>
          <w:sz w:val="20"/>
          <w:szCs w:val="20"/>
          <w:color w:val="auto"/>
        </w:rPr>
      </w:pPr>
      <w:r>
        <w:rPr>
          <w:rFonts w:ascii="Arial" w:cs="Arial" w:eastAsia="Arial" w:hAnsi="Arial"/>
          <w:sz w:val="15"/>
          <w:szCs w:val="15"/>
          <w:b w:val="1"/>
          <w:bCs w:val="1"/>
          <w:color w:val="auto"/>
        </w:rPr>
        <w:t>DATED</w:t>
      </w:r>
      <w:r>
        <w:rPr>
          <w:sz w:val="20"/>
          <w:szCs w:val="20"/>
          <w:color w:val="auto"/>
        </w:rPr>
        <w:tab/>
      </w:r>
      <w:r>
        <w:rPr>
          <w:rFonts w:ascii="Arial" w:cs="Arial" w:eastAsia="Arial" w:hAnsi="Arial"/>
          <w:sz w:val="15"/>
          <w:szCs w:val="15"/>
          <w:b w:val="1"/>
          <w:bCs w:val="1"/>
          <w:color w:val="auto"/>
        </w:rPr>
        <w:t>, 2018</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THE EXCHANGE OFFER AND WITHDRAWAL RIGHTS WILL EXPIRE AT 5:00 P.M., NEW YORK</w:t>
      </w:r>
    </w:p>
    <w:p>
      <w:pPr>
        <w:spacing w:after="0" w:line="25" w:lineRule="exact"/>
        <w:rPr>
          <w:sz w:val="20"/>
          <w:szCs w:val="20"/>
          <w:color w:val="auto"/>
        </w:rPr>
      </w:pPr>
    </w:p>
    <w:p>
      <w:pPr>
        <w:ind w:left="2360"/>
        <w:spacing w:after="0"/>
        <w:tabs>
          <w:tab w:leader="none" w:pos="3920" w:val="left"/>
        </w:tabs>
        <w:rPr>
          <w:sz w:val="20"/>
          <w:szCs w:val="20"/>
          <w:color w:val="auto"/>
        </w:rPr>
      </w:pPr>
      <w:r>
        <w:rPr>
          <w:rFonts w:ascii="Arial" w:cs="Arial" w:eastAsia="Arial" w:hAnsi="Arial"/>
          <w:sz w:val="15"/>
          <w:szCs w:val="15"/>
          <w:b w:val="1"/>
          <w:bCs w:val="1"/>
          <w:color w:val="auto"/>
        </w:rPr>
        <w:t>CITY TIME, ON</w:t>
      </w:r>
      <w:r>
        <w:rPr>
          <w:sz w:val="20"/>
          <w:szCs w:val="20"/>
          <w:color w:val="auto"/>
        </w:rPr>
        <w:tab/>
      </w:r>
      <w:r>
        <w:rPr>
          <w:rFonts w:ascii="Arial" w:cs="Arial" w:eastAsia="Arial" w:hAnsi="Arial"/>
          <w:sz w:val="15"/>
          <w:szCs w:val="15"/>
          <w:b w:val="1"/>
          <w:bCs w:val="1"/>
          <w:color w:val="auto"/>
        </w:rPr>
        <w:t>, 2019 (THE “EXPIRATION DATE”), UNLESS THE EXCHANGE OFFER IS</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EXTENDED BY THE ISSUER.</w:t>
      </w:r>
    </w:p>
    <w:p>
      <w:pPr>
        <w:spacing w:after="0" w:line="183" w:lineRule="exact"/>
        <w:rPr>
          <w:sz w:val="20"/>
          <w:szCs w:val="20"/>
          <w:color w:val="auto"/>
        </w:rPr>
      </w:pPr>
    </w:p>
    <w:tbl>
      <w:tblPr>
        <w:tblLayout w:type="fixed"/>
        <w:tblInd w:w="780" w:type="dxa"/>
        <w:tblCellMar>
          <w:top w:w="0" w:type="dxa"/>
          <w:left w:w="0" w:type="dxa"/>
          <w:bottom w:w="0" w:type="dxa"/>
          <w:right w:w="0" w:type="dxa"/>
        </w:tblCellMar>
      </w:tblPr>
      <w:tr>
        <w:trPr>
          <w:trHeight w:val="194"/>
        </w:trPr>
        <w:tc>
          <w:tcPr>
            <w:tcW w:w="278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5"/>
                <w:szCs w:val="15"/>
                <w:color w:val="auto"/>
                <w:w w:val="92"/>
              </w:rPr>
              <w:t>The Exchange Agent for the Exchange Offer is:</w:t>
            </w:r>
          </w:p>
        </w:tc>
        <w:tc>
          <w:tcPr>
            <w:tcW w:w="2660" w:type="dxa"/>
            <w:vAlign w:val="bottom"/>
          </w:tcPr>
          <w:p>
            <w:pPr>
              <w:spacing w:after="0"/>
              <w:rPr>
                <w:sz w:val="16"/>
                <w:szCs w:val="16"/>
                <w:color w:val="auto"/>
              </w:rPr>
            </w:pPr>
          </w:p>
        </w:tc>
      </w:tr>
      <w:tr>
        <w:trPr>
          <w:trHeight w:val="366"/>
        </w:trPr>
        <w:tc>
          <w:tcPr>
            <w:tcW w:w="278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5"/>
                <w:szCs w:val="15"/>
                <w:color w:val="auto"/>
                <w:w w:val="92"/>
              </w:rPr>
              <w:t>Deutsche Bank Trust Company Americas</w:t>
            </w:r>
          </w:p>
        </w:tc>
        <w:tc>
          <w:tcPr>
            <w:tcW w:w="2660" w:type="dxa"/>
            <w:vAlign w:val="bottom"/>
          </w:tcPr>
          <w:p>
            <w:pPr>
              <w:spacing w:after="0"/>
              <w:rPr>
                <w:sz w:val="24"/>
                <w:szCs w:val="24"/>
                <w:color w:val="auto"/>
              </w:rPr>
            </w:pPr>
          </w:p>
        </w:tc>
      </w:tr>
      <w:tr>
        <w:trPr>
          <w:trHeight w:val="355"/>
        </w:trPr>
        <w:tc>
          <w:tcPr>
            <w:tcW w:w="2780" w:type="dxa"/>
            <w:vAlign w:val="bottom"/>
          </w:tcPr>
          <w:p>
            <w:pPr>
              <w:jc w:val="center"/>
              <w:ind w:right="624"/>
              <w:spacing w:after="0"/>
              <w:rPr>
                <w:sz w:val="20"/>
                <w:szCs w:val="20"/>
                <w:color w:val="auto"/>
              </w:rPr>
            </w:pPr>
            <w:r>
              <w:rPr>
                <w:rFonts w:ascii="Arial" w:cs="Arial" w:eastAsia="Arial" w:hAnsi="Arial"/>
                <w:sz w:val="15"/>
                <w:szCs w:val="15"/>
                <w:b w:val="1"/>
                <w:bCs w:val="1"/>
                <w:color w:val="auto"/>
                <w:w w:val="94"/>
              </w:rPr>
              <w:t>By Registered &amp; Certified Mail:</w:t>
            </w:r>
          </w:p>
        </w:tc>
        <w:tc>
          <w:tcPr>
            <w:tcW w:w="4340" w:type="dxa"/>
            <w:vAlign w:val="bottom"/>
          </w:tcPr>
          <w:p>
            <w:pPr>
              <w:jc w:val="center"/>
              <w:spacing w:after="0"/>
              <w:rPr>
                <w:sz w:val="20"/>
                <w:szCs w:val="20"/>
                <w:color w:val="auto"/>
              </w:rPr>
            </w:pPr>
            <w:r>
              <w:rPr>
                <w:rFonts w:ascii="Arial" w:cs="Arial" w:eastAsia="Arial" w:hAnsi="Arial"/>
                <w:sz w:val="15"/>
                <w:szCs w:val="15"/>
                <w:b w:val="1"/>
                <w:bCs w:val="1"/>
                <w:color w:val="auto"/>
                <w:w w:val="96"/>
              </w:rPr>
              <w:t>By Regular Mail or Courier:</w:t>
            </w:r>
          </w:p>
        </w:tc>
        <w:tc>
          <w:tcPr>
            <w:tcW w:w="2660" w:type="dxa"/>
            <w:vAlign w:val="bottom"/>
          </w:tcPr>
          <w:p>
            <w:pPr>
              <w:jc w:val="center"/>
              <w:ind w:left="664"/>
              <w:spacing w:after="0"/>
              <w:rPr>
                <w:sz w:val="20"/>
                <w:szCs w:val="20"/>
                <w:color w:val="auto"/>
              </w:rPr>
            </w:pPr>
            <w:r>
              <w:rPr>
                <w:rFonts w:ascii="Arial" w:cs="Arial" w:eastAsia="Arial" w:hAnsi="Arial"/>
                <w:sz w:val="15"/>
                <w:szCs w:val="15"/>
                <w:b w:val="1"/>
                <w:bCs w:val="1"/>
                <w:color w:val="auto"/>
                <w:w w:val="94"/>
              </w:rPr>
              <w:t>In Person by Hand Only:</w:t>
            </w:r>
          </w:p>
        </w:tc>
      </w:tr>
      <w:tr>
        <w:trPr>
          <w:trHeight w:val="183"/>
        </w:trPr>
        <w:tc>
          <w:tcPr>
            <w:tcW w:w="2780" w:type="dxa"/>
            <w:vAlign w:val="bottom"/>
          </w:tcPr>
          <w:p>
            <w:pPr>
              <w:jc w:val="center"/>
              <w:ind w:right="624"/>
              <w:spacing w:after="0"/>
              <w:rPr>
                <w:sz w:val="20"/>
                <w:szCs w:val="20"/>
                <w:color w:val="auto"/>
              </w:rPr>
            </w:pPr>
            <w:r>
              <w:rPr>
                <w:rFonts w:ascii="Arial" w:cs="Arial" w:eastAsia="Arial" w:hAnsi="Arial"/>
                <w:sz w:val="15"/>
                <w:szCs w:val="15"/>
                <w:color w:val="auto"/>
                <w:w w:val="92"/>
              </w:rPr>
              <w:t>Deutsche Bank Trust Company</w:t>
            </w:r>
          </w:p>
        </w:tc>
        <w:tc>
          <w:tcPr>
            <w:tcW w:w="4340" w:type="dxa"/>
            <w:vAlign w:val="bottom"/>
          </w:tcPr>
          <w:p>
            <w:pPr>
              <w:jc w:val="center"/>
              <w:spacing w:after="0"/>
              <w:rPr>
                <w:sz w:val="20"/>
                <w:szCs w:val="20"/>
                <w:color w:val="auto"/>
              </w:rPr>
            </w:pPr>
            <w:r>
              <w:rPr>
                <w:rFonts w:ascii="Arial" w:cs="Arial" w:eastAsia="Arial" w:hAnsi="Arial"/>
                <w:sz w:val="15"/>
                <w:szCs w:val="15"/>
                <w:color w:val="auto"/>
                <w:w w:val="92"/>
              </w:rPr>
              <w:t>Deutsche Bank Trust Company</w:t>
            </w:r>
          </w:p>
        </w:tc>
        <w:tc>
          <w:tcPr>
            <w:tcW w:w="2660" w:type="dxa"/>
            <w:vAlign w:val="bottom"/>
          </w:tcPr>
          <w:p>
            <w:pPr>
              <w:jc w:val="center"/>
              <w:ind w:left="664"/>
              <w:spacing w:after="0"/>
              <w:rPr>
                <w:sz w:val="20"/>
                <w:szCs w:val="20"/>
                <w:color w:val="auto"/>
              </w:rPr>
            </w:pPr>
            <w:r>
              <w:rPr>
                <w:rFonts w:ascii="Arial" w:cs="Arial" w:eastAsia="Arial" w:hAnsi="Arial"/>
                <w:sz w:val="15"/>
                <w:szCs w:val="15"/>
                <w:color w:val="auto"/>
                <w:w w:val="92"/>
              </w:rPr>
              <w:t>Deutsche Bank Trust Company</w:t>
            </w:r>
          </w:p>
        </w:tc>
      </w:tr>
      <w:tr>
        <w:trPr>
          <w:trHeight w:val="183"/>
        </w:trPr>
        <w:tc>
          <w:tcPr>
            <w:tcW w:w="2780" w:type="dxa"/>
            <w:vAlign w:val="bottom"/>
          </w:tcPr>
          <w:p>
            <w:pPr>
              <w:jc w:val="center"/>
              <w:ind w:right="604"/>
              <w:spacing w:after="0"/>
              <w:rPr>
                <w:sz w:val="20"/>
                <w:szCs w:val="20"/>
                <w:color w:val="auto"/>
              </w:rPr>
            </w:pPr>
            <w:r>
              <w:rPr>
                <w:rFonts w:ascii="Arial" w:cs="Arial" w:eastAsia="Arial" w:hAnsi="Arial"/>
                <w:sz w:val="15"/>
                <w:szCs w:val="15"/>
                <w:color w:val="auto"/>
                <w:w w:val="92"/>
              </w:rPr>
              <w:t>Americas</w:t>
            </w:r>
          </w:p>
        </w:tc>
        <w:tc>
          <w:tcPr>
            <w:tcW w:w="4340" w:type="dxa"/>
            <w:vAlign w:val="bottom"/>
          </w:tcPr>
          <w:p>
            <w:pPr>
              <w:jc w:val="center"/>
              <w:spacing w:after="0"/>
              <w:rPr>
                <w:sz w:val="20"/>
                <w:szCs w:val="20"/>
                <w:color w:val="auto"/>
              </w:rPr>
            </w:pPr>
            <w:r>
              <w:rPr>
                <w:rFonts w:ascii="Arial" w:cs="Arial" w:eastAsia="Arial" w:hAnsi="Arial"/>
                <w:sz w:val="15"/>
                <w:szCs w:val="15"/>
                <w:color w:val="auto"/>
                <w:w w:val="92"/>
              </w:rPr>
              <w:t>Americas</w:t>
            </w:r>
          </w:p>
        </w:tc>
        <w:tc>
          <w:tcPr>
            <w:tcW w:w="2660" w:type="dxa"/>
            <w:vAlign w:val="bottom"/>
          </w:tcPr>
          <w:p>
            <w:pPr>
              <w:jc w:val="center"/>
              <w:ind w:left="684"/>
              <w:spacing w:after="0"/>
              <w:rPr>
                <w:sz w:val="20"/>
                <w:szCs w:val="20"/>
                <w:color w:val="auto"/>
              </w:rPr>
            </w:pPr>
            <w:r>
              <w:rPr>
                <w:rFonts w:ascii="Arial" w:cs="Arial" w:eastAsia="Arial" w:hAnsi="Arial"/>
                <w:sz w:val="15"/>
                <w:szCs w:val="15"/>
                <w:color w:val="auto"/>
                <w:w w:val="92"/>
              </w:rPr>
              <w:t>Americas</w:t>
            </w:r>
          </w:p>
        </w:tc>
      </w:tr>
      <w:tr>
        <w:trPr>
          <w:trHeight w:val="183"/>
        </w:trPr>
        <w:tc>
          <w:tcPr>
            <w:tcW w:w="2780" w:type="dxa"/>
            <w:vAlign w:val="bottom"/>
          </w:tcPr>
          <w:p>
            <w:pPr>
              <w:jc w:val="center"/>
              <w:ind w:right="624"/>
              <w:spacing w:after="0"/>
              <w:rPr>
                <w:sz w:val="20"/>
                <w:szCs w:val="20"/>
                <w:color w:val="auto"/>
              </w:rPr>
            </w:pPr>
            <w:r>
              <w:rPr>
                <w:rFonts w:ascii="Arial" w:cs="Arial" w:eastAsia="Arial" w:hAnsi="Arial"/>
                <w:sz w:val="15"/>
                <w:szCs w:val="15"/>
                <w:color w:val="auto"/>
                <w:w w:val="93"/>
              </w:rPr>
              <w:t>c/o DB Services Americas, Inc.</w:t>
            </w:r>
          </w:p>
        </w:tc>
        <w:tc>
          <w:tcPr>
            <w:tcW w:w="4340" w:type="dxa"/>
            <w:vAlign w:val="bottom"/>
          </w:tcPr>
          <w:p>
            <w:pPr>
              <w:jc w:val="center"/>
              <w:spacing w:after="0"/>
              <w:rPr>
                <w:sz w:val="20"/>
                <w:szCs w:val="20"/>
                <w:color w:val="auto"/>
              </w:rPr>
            </w:pPr>
            <w:r>
              <w:rPr>
                <w:rFonts w:ascii="Arial" w:cs="Arial" w:eastAsia="Arial" w:hAnsi="Arial"/>
                <w:sz w:val="15"/>
                <w:szCs w:val="15"/>
                <w:color w:val="auto"/>
                <w:w w:val="93"/>
              </w:rPr>
              <w:t>c/o DB Services Americas, Inc.</w:t>
            </w:r>
          </w:p>
        </w:tc>
        <w:tc>
          <w:tcPr>
            <w:tcW w:w="2660" w:type="dxa"/>
            <w:vAlign w:val="bottom"/>
          </w:tcPr>
          <w:p>
            <w:pPr>
              <w:jc w:val="center"/>
              <w:ind w:left="664"/>
              <w:spacing w:after="0"/>
              <w:rPr>
                <w:sz w:val="20"/>
                <w:szCs w:val="20"/>
                <w:color w:val="auto"/>
              </w:rPr>
            </w:pPr>
            <w:r>
              <w:rPr>
                <w:rFonts w:ascii="Arial" w:cs="Arial" w:eastAsia="Arial" w:hAnsi="Arial"/>
                <w:sz w:val="15"/>
                <w:szCs w:val="15"/>
                <w:color w:val="auto"/>
                <w:w w:val="93"/>
              </w:rPr>
              <w:t>c/o DB Services Americas, Inc.</w:t>
            </w:r>
          </w:p>
        </w:tc>
      </w:tr>
      <w:tr>
        <w:trPr>
          <w:trHeight w:val="183"/>
        </w:trPr>
        <w:tc>
          <w:tcPr>
            <w:tcW w:w="2780" w:type="dxa"/>
            <w:vAlign w:val="bottom"/>
          </w:tcPr>
          <w:p>
            <w:pPr>
              <w:jc w:val="center"/>
              <w:ind w:right="624"/>
              <w:spacing w:after="0"/>
              <w:rPr>
                <w:sz w:val="20"/>
                <w:szCs w:val="20"/>
                <w:color w:val="auto"/>
              </w:rPr>
            </w:pPr>
            <w:r>
              <w:rPr>
                <w:rFonts w:ascii="Arial" w:cs="Arial" w:eastAsia="Arial" w:hAnsi="Arial"/>
                <w:sz w:val="15"/>
                <w:szCs w:val="15"/>
                <w:color w:val="auto"/>
                <w:w w:val="94"/>
              </w:rPr>
              <w:t>MS: JCK01-0218</w:t>
            </w:r>
          </w:p>
        </w:tc>
        <w:tc>
          <w:tcPr>
            <w:tcW w:w="4340" w:type="dxa"/>
            <w:vAlign w:val="bottom"/>
          </w:tcPr>
          <w:p>
            <w:pPr>
              <w:jc w:val="center"/>
              <w:spacing w:after="0"/>
              <w:rPr>
                <w:sz w:val="20"/>
                <w:szCs w:val="20"/>
                <w:color w:val="auto"/>
              </w:rPr>
            </w:pPr>
            <w:r>
              <w:rPr>
                <w:rFonts w:ascii="Arial" w:cs="Arial" w:eastAsia="Arial" w:hAnsi="Arial"/>
                <w:sz w:val="15"/>
                <w:szCs w:val="15"/>
                <w:color w:val="auto"/>
                <w:w w:val="94"/>
              </w:rPr>
              <w:t>MS: JCK01-0218</w:t>
            </w:r>
          </w:p>
        </w:tc>
        <w:tc>
          <w:tcPr>
            <w:tcW w:w="2660" w:type="dxa"/>
            <w:vAlign w:val="bottom"/>
          </w:tcPr>
          <w:p>
            <w:pPr>
              <w:jc w:val="center"/>
              <w:ind w:left="664"/>
              <w:spacing w:after="0"/>
              <w:rPr>
                <w:sz w:val="20"/>
                <w:szCs w:val="20"/>
                <w:color w:val="auto"/>
              </w:rPr>
            </w:pPr>
            <w:r>
              <w:rPr>
                <w:rFonts w:ascii="Arial" w:cs="Arial" w:eastAsia="Arial" w:hAnsi="Arial"/>
                <w:sz w:val="15"/>
                <w:szCs w:val="15"/>
                <w:color w:val="auto"/>
                <w:w w:val="94"/>
              </w:rPr>
              <w:t>MS: JCK01-0218</w:t>
            </w:r>
          </w:p>
        </w:tc>
      </w:tr>
      <w:tr>
        <w:trPr>
          <w:trHeight w:val="183"/>
        </w:trPr>
        <w:tc>
          <w:tcPr>
            <w:tcW w:w="2780" w:type="dxa"/>
            <w:vAlign w:val="bottom"/>
          </w:tcPr>
          <w:p>
            <w:pPr>
              <w:jc w:val="center"/>
              <w:ind w:right="604"/>
              <w:spacing w:after="0"/>
              <w:rPr>
                <w:sz w:val="20"/>
                <w:szCs w:val="20"/>
                <w:color w:val="auto"/>
              </w:rPr>
            </w:pPr>
            <w:r>
              <w:rPr>
                <w:rFonts w:ascii="Arial" w:cs="Arial" w:eastAsia="Arial" w:hAnsi="Arial"/>
                <w:sz w:val="15"/>
                <w:szCs w:val="15"/>
                <w:color w:val="auto"/>
                <w:w w:val="93"/>
              </w:rPr>
              <w:t>Attention: Reorg. Department</w:t>
            </w:r>
          </w:p>
        </w:tc>
        <w:tc>
          <w:tcPr>
            <w:tcW w:w="4340" w:type="dxa"/>
            <w:vAlign w:val="bottom"/>
          </w:tcPr>
          <w:p>
            <w:pPr>
              <w:jc w:val="center"/>
              <w:spacing w:after="0"/>
              <w:rPr>
                <w:sz w:val="20"/>
                <w:szCs w:val="20"/>
                <w:color w:val="auto"/>
              </w:rPr>
            </w:pPr>
            <w:r>
              <w:rPr>
                <w:rFonts w:ascii="Arial" w:cs="Arial" w:eastAsia="Arial" w:hAnsi="Arial"/>
                <w:sz w:val="15"/>
                <w:szCs w:val="15"/>
                <w:color w:val="auto"/>
                <w:w w:val="93"/>
              </w:rPr>
              <w:t>Attention: Reorg. Department</w:t>
            </w:r>
          </w:p>
        </w:tc>
        <w:tc>
          <w:tcPr>
            <w:tcW w:w="2660" w:type="dxa"/>
            <w:vAlign w:val="bottom"/>
          </w:tcPr>
          <w:p>
            <w:pPr>
              <w:jc w:val="center"/>
              <w:ind w:left="684"/>
              <w:spacing w:after="0"/>
              <w:rPr>
                <w:sz w:val="20"/>
                <w:szCs w:val="20"/>
                <w:color w:val="auto"/>
              </w:rPr>
            </w:pPr>
            <w:r>
              <w:rPr>
                <w:rFonts w:ascii="Arial" w:cs="Arial" w:eastAsia="Arial" w:hAnsi="Arial"/>
                <w:sz w:val="15"/>
                <w:szCs w:val="15"/>
                <w:color w:val="auto"/>
                <w:w w:val="93"/>
              </w:rPr>
              <w:t>Attention: Reorg. Department</w:t>
            </w:r>
          </w:p>
        </w:tc>
      </w:tr>
      <w:tr>
        <w:trPr>
          <w:trHeight w:val="183"/>
        </w:trPr>
        <w:tc>
          <w:tcPr>
            <w:tcW w:w="2780" w:type="dxa"/>
            <w:vAlign w:val="bottom"/>
          </w:tcPr>
          <w:p>
            <w:pPr>
              <w:jc w:val="center"/>
              <w:ind w:right="624"/>
              <w:spacing w:after="0"/>
              <w:rPr>
                <w:sz w:val="20"/>
                <w:szCs w:val="20"/>
                <w:color w:val="auto"/>
              </w:rPr>
            </w:pPr>
            <w:r>
              <w:rPr>
                <w:rFonts w:ascii="Arial" w:cs="Arial" w:eastAsia="Arial" w:hAnsi="Arial"/>
                <w:sz w:val="15"/>
                <w:szCs w:val="15"/>
                <w:color w:val="auto"/>
                <w:w w:val="90"/>
              </w:rPr>
              <w:t>5022 Gate Parkway, Suite 200</w:t>
            </w:r>
          </w:p>
        </w:tc>
        <w:tc>
          <w:tcPr>
            <w:tcW w:w="4340" w:type="dxa"/>
            <w:vAlign w:val="bottom"/>
          </w:tcPr>
          <w:p>
            <w:pPr>
              <w:jc w:val="center"/>
              <w:spacing w:after="0"/>
              <w:rPr>
                <w:sz w:val="20"/>
                <w:szCs w:val="20"/>
                <w:color w:val="auto"/>
              </w:rPr>
            </w:pPr>
            <w:r>
              <w:rPr>
                <w:rFonts w:ascii="Arial" w:cs="Arial" w:eastAsia="Arial" w:hAnsi="Arial"/>
                <w:sz w:val="15"/>
                <w:szCs w:val="15"/>
                <w:color w:val="auto"/>
                <w:w w:val="91"/>
              </w:rPr>
              <w:t>5022 Gate Parkway, Suite 200</w:t>
            </w:r>
          </w:p>
        </w:tc>
        <w:tc>
          <w:tcPr>
            <w:tcW w:w="2660" w:type="dxa"/>
            <w:vAlign w:val="bottom"/>
          </w:tcPr>
          <w:p>
            <w:pPr>
              <w:jc w:val="center"/>
              <w:ind w:left="684"/>
              <w:spacing w:after="0"/>
              <w:rPr>
                <w:sz w:val="20"/>
                <w:szCs w:val="20"/>
                <w:color w:val="auto"/>
              </w:rPr>
            </w:pPr>
            <w:r>
              <w:rPr>
                <w:rFonts w:ascii="Arial" w:cs="Arial" w:eastAsia="Arial" w:hAnsi="Arial"/>
                <w:sz w:val="15"/>
                <w:szCs w:val="15"/>
                <w:color w:val="auto"/>
                <w:w w:val="91"/>
              </w:rPr>
              <w:t>5022 Gate Parkway, Suite 200</w:t>
            </w:r>
          </w:p>
        </w:tc>
      </w:tr>
      <w:tr>
        <w:trPr>
          <w:trHeight w:val="194"/>
        </w:trPr>
        <w:tc>
          <w:tcPr>
            <w:tcW w:w="2780" w:type="dxa"/>
            <w:vAlign w:val="bottom"/>
          </w:tcPr>
          <w:p>
            <w:pPr>
              <w:jc w:val="center"/>
              <w:ind w:right="604"/>
              <w:spacing w:after="0"/>
              <w:rPr>
                <w:sz w:val="20"/>
                <w:szCs w:val="20"/>
                <w:color w:val="auto"/>
              </w:rPr>
            </w:pPr>
            <w:r>
              <w:rPr>
                <w:rFonts w:ascii="Arial" w:cs="Arial" w:eastAsia="Arial" w:hAnsi="Arial"/>
                <w:sz w:val="15"/>
                <w:szCs w:val="15"/>
                <w:color w:val="auto"/>
                <w:w w:val="93"/>
              </w:rPr>
              <w:t>Jacksonville, FL 32256</w:t>
            </w:r>
          </w:p>
        </w:tc>
        <w:tc>
          <w:tcPr>
            <w:tcW w:w="4340" w:type="dxa"/>
            <w:vAlign w:val="bottom"/>
          </w:tcPr>
          <w:p>
            <w:pPr>
              <w:jc w:val="center"/>
              <w:spacing w:after="0"/>
              <w:rPr>
                <w:sz w:val="20"/>
                <w:szCs w:val="20"/>
                <w:color w:val="auto"/>
              </w:rPr>
            </w:pPr>
            <w:r>
              <w:rPr>
                <w:rFonts w:ascii="Arial" w:cs="Arial" w:eastAsia="Arial" w:hAnsi="Arial"/>
                <w:sz w:val="15"/>
                <w:szCs w:val="15"/>
                <w:color w:val="auto"/>
                <w:w w:val="93"/>
              </w:rPr>
              <w:t>Jacksonville, FL 32256</w:t>
            </w:r>
          </w:p>
        </w:tc>
        <w:tc>
          <w:tcPr>
            <w:tcW w:w="2660" w:type="dxa"/>
            <w:vAlign w:val="bottom"/>
          </w:tcPr>
          <w:p>
            <w:pPr>
              <w:jc w:val="center"/>
              <w:ind w:left="684"/>
              <w:spacing w:after="0"/>
              <w:rPr>
                <w:sz w:val="20"/>
                <w:szCs w:val="20"/>
                <w:color w:val="auto"/>
              </w:rPr>
            </w:pPr>
            <w:r>
              <w:rPr>
                <w:rFonts w:ascii="Arial" w:cs="Arial" w:eastAsia="Arial" w:hAnsi="Arial"/>
                <w:sz w:val="15"/>
                <w:szCs w:val="15"/>
                <w:color w:val="auto"/>
                <w:w w:val="93"/>
              </w:rPr>
              <w:t>Jacksonville, FL 32256</w:t>
            </w:r>
          </w:p>
        </w:tc>
      </w:tr>
    </w:tbl>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For Facsimile Transmission (eligible institutions only)</w:t>
      </w:r>
      <w:r>
        <w:rPr>
          <w:rFonts w:ascii="Arial" w:cs="Arial" w:eastAsia="Arial" w:hAnsi="Arial"/>
          <w:sz w:val="15"/>
          <w:szCs w:val="15"/>
          <w:b w:val="1"/>
          <w:bCs w:val="1"/>
          <w:color w:val="auto"/>
        </w:rPr>
        <w:t>:</w:t>
      </w:r>
    </w:p>
    <w:p>
      <w:pPr>
        <w:spacing w:after="0" w:line="25" w:lineRule="exact"/>
        <w:rPr>
          <w:sz w:val="20"/>
          <w:szCs w:val="20"/>
          <w:color w:val="auto"/>
        </w:rPr>
      </w:pPr>
    </w:p>
    <w:p>
      <w:pPr>
        <w:ind w:left="5600" w:hanging="363"/>
        <w:spacing w:after="0"/>
        <w:tabs>
          <w:tab w:leader="none" w:pos="56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866-3889</w:t>
      </w:r>
    </w:p>
    <w:p>
      <w:pPr>
        <w:spacing w:after="0" w:line="10" w:lineRule="exact"/>
        <w:rPr>
          <w:rFonts w:ascii="Arial" w:cs="Arial" w:eastAsia="Arial" w:hAnsi="Arial"/>
          <w:sz w:val="15"/>
          <w:szCs w:val="15"/>
          <w:color w:val="auto"/>
        </w:rPr>
      </w:pPr>
    </w:p>
    <w:p>
      <w:pPr>
        <w:ind w:left="4960"/>
        <w:spacing w:after="0"/>
        <w:rPr>
          <w:rFonts w:ascii="Arial" w:cs="Arial" w:eastAsia="Arial" w:hAnsi="Arial"/>
          <w:sz w:val="15"/>
          <w:szCs w:val="15"/>
          <w:color w:val="auto"/>
        </w:rPr>
      </w:pPr>
      <w:r>
        <w:rPr>
          <w:rFonts w:ascii="Arial" w:cs="Arial" w:eastAsia="Arial" w:hAnsi="Arial"/>
          <w:sz w:val="15"/>
          <w:szCs w:val="15"/>
          <w:color w:val="auto"/>
        </w:rPr>
        <w:t>Attn: Reorg. Department</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For additional questions please call:</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(877) 843-9767</w:t>
      </w:r>
    </w:p>
    <w:p>
      <w:pPr>
        <w:spacing w:after="0" w:line="179" w:lineRule="exact"/>
        <w:rPr>
          <w:sz w:val="20"/>
          <w:szCs w:val="20"/>
          <w:color w:val="auto"/>
        </w:rPr>
      </w:pPr>
    </w:p>
    <w:p>
      <w:pPr>
        <w:ind w:firstLine="549"/>
        <w:spacing w:after="0" w:line="266" w:lineRule="auto"/>
        <w:rPr>
          <w:sz w:val="20"/>
          <w:szCs w:val="20"/>
          <w:color w:val="auto"/>
        </w:rPr>
      </w:pPr>
      <w:r>
        <w:rPr>
          <w:rFonts w:ascii="Arial" w:cs="Arial" w:eastAsia="Arial" w:hAnsi="Arial"/>
          <w:sz w:val="15"/>
          <w:szCs w:val="15"/>
          <w:color w:val="auto"/>
        </w:rPr>
        <w:t>If you wish to exchange your issued and outstanding 9.875% Senior Notes due 2025 (the “</w:t>
      </w:r>
      <w:r>
        <w:rPr>
          <w:rFonts w:ascii="Arial" w:cs="Arial" w:eastAsia="Arial" w:hAnsi="Arial"/>
          <w:sz w:val="15"/>
          <w:szCs w:val="15"/>
          <w:b w:val="1"/>
          <w:bCs w:val="1"/>
          <w:color w:val="auto"/>
        </w:rPr>
        <w:t>Old Notes</w:t>
      </w:r>
      <w:r>
        <w:rPr>
          <w:rFonts w:ascii="Arial" w:cs="Arial" w:eastAsia="Arial" w:hAnsi="Arial"/>
          <w:sz w:val="15"/>
          <w:szCs w:val="15"/>
          <w:color w:val="auto"/>
        </w:rPr>
        <w:t>”) for an equal aggregate principal amount of newly issued 9.875% Senior Notes due 2025 with materially identical terms that have been registered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pursuant to the exchange offer (the “</w:t>
      </w:r>
      <w:r>
        <w:rPr>
          <w:rFonts w:ascii="Arial" w:cs="Arial" w:eastAsia="Arial" w:hAnsi="Arial"/>
          <w:sz w:val="15"/>
          <w:szCs w:val="15"/>
          <w:b w:val="1"/>
          <w:bCs w:val="1"/>
          <w:color w:val="auto"/>
        </w:rPr>
        <w:t>New</w:t>
      </w:r>
      <w:r>
        <w:rPr>
          <w:rFonts w:ascii="Arial" w:cs="Arial" w:eastAsia="Arial" w:hAnsi="Arial"/>
          <w:sz w:val="15"/>
          <w:szCs w:val="15"/>
          <w:color w:val="auto"/>
        </w:rPr>
        <w:t xml:space="preserve"> </w:t>
      </w:r>
      <w:r>
        <w:rPr>
          <w:rFonts w:ascii="Arial" w:cs="Arial" w:eastAsia="Arial" w:hAnsi="Arial"/>
          <w:sz w:val="15"/>
          <w:szCs w:val="15"/>
          <w:b w:val="1"/>
          <w:bCs w:val="1"/>
          <w:color w:val="auto"/>
        </w:rPr>
        <w:t>Notes</w:t>
      </w:r>
      <w:r>
        <w:rPr>
          <w:rFonts w:ascii="Arial" w:cs="Arial" w:eastAsia="Arial" w:hAnsi="Arial"/>
          <w:sz w:val="15"/>
          <w:szCs w:val="15"/>
          <w:color w:val="auto"/>
        </w:rPr>
        <w:t>”), you must validly tender (and not withdraw) your Old Notes to the Exchange Agent prior to the Expiration Date by causing an agent’s message (as defined below) to be received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Exchange Agent prior to such time.</w:t>
      </w:r>
    </w:p>
    <w:p>
      <w:pPr>
        <w:spacing w:after="0" w:line="151" w:lineRule="exact"/>
        <w:rPr>
          <w:sz w:val="20"/>
          <w:szCs w:val="20"/>
          <w:color w:val="auto"/>
        </w:rPr>
      </w:pPr>
    </w:p>
    <w:p>
      <w:pPr>
        <w:ind w:left="540"/>
        <w:spacing w:after="0"/>
        <w:tabs>
          <w:tab w:leader="none" w:pos="3260" w:val="left"/>
        </w:tabs>
        <w:rPr>
          <w:sz w:val="20"/>
          <w:szCs w:val="20"/>
          <w:color w:val="auto"/>
        </w:rPr>
      </w:pPr>
      <w:r>
        <w:rPr>
          <w:rFonts w:ascii="Arial" w:cs="Arial" w:eastAsia="Arial" w:hAnsi="Arial"/>
          <w:sz w:val="15"/>
          <w:szCs w:val="15"/>
          <w:color w:val="auto"/>
        </w:rPr>
        <w:t>We refer you to the Prospectus, dated</w:t>
      </w:r>
      <w:r>
        <w:rPr>
          <w:sz w:val="20"/>
          <w:szCs w:val="20"/>
          <w:color w:val="auto"/>
        </w:rPr>
        <w:tab/>
      </w:r>
      <w:r>
        <w:rPr>
          <w:rFonts w:ascii="Arial" w:cs="Arial" w:eastAsia="Arial" w:hAnsi="Arial"/>
          <w:sz w:val="14"/>
          <w:szCs w:val="14"/>
          <w:color w:val="auto"/>
        </w:rPr>
        <w:t>, 2018 (the “</w:t>
      </w:r>
      <w:r>
        <w:rPr>
          <w:rFonts w:ascii="Arial" w:cs="Arial" w:eastAsia="Arial" w:hAnsi="Arial"/>
          <w:sz w:val="14"/>
          <w:szCs w:val="14"/>
          <w:b w:val="1"/>
          <w:bCs w:val="1"/>
          <w:color w:val="auto"/>
        </w:rPr>
        <w:t>Prospectus</w:t>
      </w:r>
      <w:r>
        <w:rPr>
          <w:rFonts w:ascii="Arial" w:cs="Arial" w:eastAsia="Arial" w:hAnsi="Arial"/>
          <w:sz w:val="14"/>
          <w:szCs w:val="14"/>
          <w:color w:val="auto"/>
        </w:rPr>
        <w:t>”) of Weatherford International, LLC (the “</w:t>
      </w:r>
      <w:r>
        <w:rPr>
          <w:rFonts w:ascii="Arial" w:cs="Arial" w:eastAsia="Arial" w:hAnsi="Arial"/>
          <w:sz w:val="14"/>
          <w:szCs w:val="14"/>
          <w:b w:val="1"/>
          <w:bCs w:val="1"/>
          <w:color w:val="auto"/>
        </w:rPr>
        <w:t>Issuer</w:t>
      </w:r>
      <w:r>
        <w:rPr>
          <w:rFonts w:ascii="Arial" w:cs="Arial" w:eastAsia="Arial" w:hAnsi="Arial"/>
          <w:sz w:val="14"/>
          <w:szCs w:val="14"/>
          <w:color w:val="auto"/>
        </w:rPr>
        <w:t>”), and this Letter of Transmittal (the “</w:t>
      </w:r>
      <w:r>
        <w:rPr>
          <w:rFonts w:ascii="Arial" w:cs="Arial" w:eastAsia="Arial" w:hAnsi="Arial"/>
          <w:sz w:val="14"/>
          <w:szCs w:val="14"/>
          <w:b w:val="1"/>
          <w:bCs w:val="1"/>
          <w:color w:val="auto"/>
        </w:rPr>
        <w:t>Letter of</w:t>
      </w:r>
    </w:p>
    <w:p>
      <w:pPr>
        <w:spacing w:after="0" w:line="25"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b w:val="1"/>
          <w:bCs w:val="1"/>
          <w:color w:val="auto"/>
        </w:rPr>
        <w:t>Transmittal</w:t>
      </w:r>
      <w:r>
        <w:rPr>
          <w:rFonts w:ascii="Arial" w:cs="Arial" w:eastAsia="Arial" w:hAnsi="Arial"/>
          <w:sz w:val="15"/>
          <w:szCs w:val="15"/>
          <w:color w:val="auto"/>
        </w:rPr>
        <w:t>”), which together describe the Issuer’s offer to exchange its Old Notes for a like aggregate principal amount of New Notes (the “</w:t>
      </w:r>
      <w:r>
        <w:rPr>
          <w:rFonts w:ascii="Arial" w:cs="Arial" w:eastAsia="Arial" w:hAnsi="Arial"/>
          <w:sz w:val="15"/>
          <w:szCs w:val="15"/>
          <w:b w:val="1"/>
          <w:bCs w:val="1"/>
          <w:color w:val="auto"/>
        </w:rPr>
        <w:t>Exchange Offer</w:t>
      </w:r>
      <w:r>
        <w:rPr>
          <w:rFonts w:ascii="Arial" w:cs="Arial" w:eastAsia="Arial" w:hAnsi="Arial"/>
          <w:sz w:val="15"/>
          <w:szCs w:val="15"/>
          <w:color w:val="auto"/>
        </w:rPr>
        <w:t>”). Capitalized terms used</w:t>
      </w:r>
      <w:r>
        <w:rPr>
          <w:rFonts w:ascii="Arial" w:cs="Arial" w:eastAsia="Arial" w:hAnsi="Arial"/>
          <w:sz w:val="15"/>
          <w:szCs w:val="15"/>
          <w:b w:val="1"/>
          <w:bCs w:val="1"/>
          <w:color w:val="auto"/>
        </w:rPr>
        <w:t xml:space="preserve"> </w:t>
      </w:r>
      <w:r>
        <w:rPr>
          <w:rFonts w:ascii="Arial" w:cs="Arial" w:eastAsia="Arial" w:hAnsi="Arial"/>
          <w:sz w:val="15"/>
          <w:szCs w:val="15"/>
          <w:color w:val="auto"/>
        </w:rPr>
        <w:t>but not defined herein have the respective meanings given to them in the Prospectus.</w:t>
      </w:r>
    </w:p>
    <w:p>
      <w:pPr>
        <w:spacing w:after="0" w:line="148" w:lineRule="exact"/>
        <w:rPr>
          <w:sz w:val="20"/>
          <w:szCs w:val="20"/>
          <w:color w:val="auto"/>
        </w:rPr>
      </w:pPr>
    </w:p>
    <w:p>
      <w:pPr>
        <w:ind w:right="140" w:firstLine="549"/>
        <w:spacing w:after="0" w:line="328" w:lineRule="auto"/>
        <w:rPr>
          <w:sz w:val="20"/>
          <w:szCs w:val="20"/>
          <w:color w:val="auto"/>
        </w:rPr>
      </w:pPr>
      <w:r>
        <w:rPr>
          <w:rFonts w:ascii="Arial" w:cs="Arial" w:eastAsia="Arial" w:hAnsi="Arial"/>
          <w:sz w:val="14"/>
          <w:szCs w:val="14"/>
          <w:color w:val="auto"/>
        </w:rPr>
        <w:t>The Issuer reserves the right, at any time or from time to time, to extend the Exchange Offer at its discretion, in which event the term “</w:t>
      </w:r>
      <w:r>
        <w:rPr>
          <w:rFonts w:ascii="Arial" w:cs="Arial" w:eastAsia="Arial" w:hAnsi="Arial"/>
          <w:sz w:val="14"/>
          <w:szCs w:val="14"/>
          <w:b w:val="1"/>
          <w:bCs w:val="1"/>
          <w:color w:val="auto"/>
        </w:rPr>
        <w:t>Expiration Date</w:t>
      </w:r>
      <w:r>
        <w:rPr>
          <w:rFonts w:ascii="Arial" w:cs="Arial" w:eastAsia="Arial" w:hAnsi="Arial"/>
          <w:sz w:val="14"/>
          <w:szCs w:val="14"/>
          <w:color w:val="auto"/>
        </w:rPr>
        <w:t>” shall mean the latest date to which the Exchange Offer is extended. The Issuer shall notify the Exchange Agent and each registered holder of Old Notes of any extension by oral (promptly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00"/>
          </w:cols>
          <w:pgMar w:left="240" w:top="129" w:right="359" w:bottom="1440" w:gutter="0" w:footer="0" w:header="0"/>
        </w:sectPr>
      </w:pPr>
    </w:p>
    <w:bookmarkStart w:id="93" w:name="page94"/>
    <w:bookmarkEnd w:id="93"/>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followed in writing) or written notice prior to 9:00 a.m., New York City time, on the next business day after the previously scheduled Expiration Date.</w:t>
      </w:r>
    </w:p>
    <w:p>
      <w:pPr>
        <w:spacing w:after="0" w:line="190" w:lineRule="exact"/>
        <w:rPr>
          <w:sz w:val="20"/>
          <w:szCs w:val="20"/>
          <w:color w:val="auto"/>
        </w:rPr>
      </w:pPr>
    </w:p>
    <w:p>
      <w:pPr>
        <w:ind w:left="8" w:right="20" w:firstLine="549"/>
        <w:spacing w:after="0" w:line="286" w:lineRule="auto"/>
        <w:rPr>
          <w:sz w:val="20"/>
          <w:szCs w:val="20"/>
          <w:color w:val="auto"/>
        </w:rPr>
      </w:pPr>
      <w:r>
        <w:rPr>
          <w:rFonts w:ascii="Arial" w:cs="Arial" w:eastAsia="Arial" w:hAnsi="Arial"/>
          <w:sz w:val="14"/>
          <w:szCs w:val="14"/>
          <w:color w:val="auto"/>
        </w:rPr>
        <w:t>This Letter of Transmittal is to be used by holders of the Old Notes. Tender of Old Notes is to be made according to the Automated Tender Offer Program (“</w:t>
      </w:r>
      <w:r>
        <w:rPr>
          <w:rFonts w:ascii="Arial" w:cs="Arial" w:eastAsia="Arial" w:hAnsi="Arial"/>
          <w:sz w:val="14"/>
          <w:szCs w:val="14"/>
          <w:b w:val="1"/>
          <w:bCs w:val="1"/>
          <w:color w:val="auto"/>
        </w:rPr>
        <w:t>ATOP</w:t>
      </w:r>
      <w:r>
        <w:rPr>
          <w:rFonts w:ascii="Arial" w:cs="Arial" w:eastAsia="Arial" w:hAnsi="Arial"/>
          <w:sz w:val="14"/>
          <w:szCs w:val="14"/>
          <w:color w:val="auto"/>
        </w:rPr>
        <w:t>”) of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pursuant to the procedures set forth in the Prospectus under the caption “Exchange Offer—Procedures for Tendering.” DTC participants that are accepting the Exchange Offer must transmit their acceptance to DTC, which will verify the acceptance and execute a book-entry delivery to the Exchange Agent’s DTC account. DTC will then send a computer generated message known as an “agent’s message” to the Exchange Agent for its acceptance. For you to validly tender your Old Notes in the Exchange Offer, the Exchange Agent must receive, prior to the Expiration Date, an agent’s message under the ATOP procedures that confirms that:</w:t>
      </w:r>
    </w:p>
    <w:p>
      <w:pPr>
        <w:spacing w:after="0" w:line="143" w:lineRule="exact"/>
        <w:rPr>
          <w:sz w:val="20"/>
          <w:szCs w:val="20"/>
          <w:color w:val="auto"/>
        </w:rPr>
      </w:pPr>
    </w:p>
    <w:p>
      <w:pPr>
        <w:ind w:left="1068" w:hanging="519"/>
        <w:spacing w:after="0"/>
        <w:tabs>
          <w:tab w:leader="none" w:pos="106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DTC has received your instructions to tender your Old Notes; and</w:t>
      </w:r>
    </w:p>
    <w:p>
      <w:pPr>
        <w:spacing w:after="0" w:line="193" w:lineRule="exact"/>
        <w:rPr>
          <w:rFonts w:ascii="Arial" w:cs="Arial" w:eastAsia="Arial" w:hAnsi="Arial"/>
          <w:sz w:val="15"/>
          <w:szCs w:val="15"/>
          <w:color w:val="auto"/>
        </w:rPr>
      </w:pPr>
    </w:p>
    <w:p>
      <w:pPr>
        <w:ind w:left="1068" w:hanging="519"/>
        <w:spacing w:after="0"/>
        <w:tabs>
          <w:tab w:leader="none" w:pos="106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you agree to be bound by the terms of this Letter of Transmittal.</w:t>
      </w:r>
    </w:p>
    <w:p>
      <w:pPr>
        <w:spacing w:after="0" w:line="190" w:lineRule="exact"/>
        <w:rPr>
          <w:sz w:val="20"/>
          <w:szCs w:val="20"/>
          <w:color w:val="auto"/>
        </w:rPr>
      </w:pPr>
    </w:p>
    <w:p>
      <w:pPr>
        <w:jc w:val="both"/>
        <w:ind w:left="8" w:right="740" w:firstLine="549"/>
        <w:spacing w:after="0" w:line="272" w:lineRule="auto"/>
        <w:rPr>
          <w:sz w:val="20"/>
          <w:szCs w:val="20"/>
          <w:color w:val="auto"/>
        </w:rPr>
      </w:pPr>
      <w:r>
        <w:rPr>
          <w:rFonts w:ascii="Arial" w:cs="Arial" w:eastAsia="Arial" w:hAnsi="Arial"/>
          <w:sz w:val="15"/>
          <w:szCs w:val="15"/>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PLEASE READ THE ACCOMPANYING INSTRUCTIONS CAREFULLY.</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Ladies and Gentlemen:</w:t>
      </w:r>
    </w:p>
    <w:p>
      <w:pPr>
        <w:spacing w:after="0" w:line="194" w:lineRule="exact"/>
        <w:rPr>
          <w:sz w:val="20"/>
          <w:szCs w:val="20"/>
          <w:color w:val="auto"/>
        </w:rPr>
      </w:pPr>
    </w:p>
    <w:p>
      <w:pPr>
        <w:ind w:left="548" w:hanging="548"/>
        <w:spacing w:after="0"/>
        <w:tabs>
          <w:tab w:leader="none" w:pos="5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By tendering Old Notes in the Exchange Offer, you acknowledge receipt of the Prospectus and this Letter of Transmittal.</w:t>
      </w:r>
    </w:p>
    <w:p>
      <w:pPr>
        <w:spacing w:after="0" w:line="193" w:lineRule="exact"/>
        <w:rPr>
          <w:rFonts w:ascii="Arial" w:cs="Arial" w:eastAsia="Arial" w:hAnsi="Arial"/>
          <w:sz w:val="15"/>
          <w:szCs w:val="15"/>
          <w:color w:val="auto"/>
        </w:rPr>
      </w:pPr>
    </w:p>
    <w:p>
      <w:pPr>
        <w:ind w:left="548" w:right="20" w:hanging="548"/>
        <w:spacing w:after="0" w:line="284" w:lineRule="auto"/>
        <w:tabs>
          <w:tab w:leader="none" w:pos="55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By tendering Old Notes in the Exchange Offer, you represent and warrant that you have full authority to tender the Old Notes described above and will, upon request, execute and deliver any additional documents deemed by the Issuer to be necessary or desirable to complete the tender of Old Notes.</w:t>
      </w:r>
    </w:p>
    <w:p>
      <w:pPr>
        <w:spacing w:after="0" w:line="141" w:lineRule="exact"/>
        <w:rPr>
          <w:rFonts w:ascii="Arial" w:cs="Arial" w:eastAsia="Arial" w:hAnsi="Arial"/>
          <w:sz w:val="15"/>
          <w:szCs w:val="15"/>
          <w:color w:val="auto"/>
        </w:rPr>
      </w:pPr>
    </w:p>
    <w:p>
      <w:pPr>
        <w:ind w:left="548" w:right="340" w:hanging="548"/>
        <w:spacing w:after="0" w:line="284" w:lineRule="auto"/>
        <w:tabs>
          <w:tab w:leader="none" w:pos="55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You understand that the tender of the Old Notes pursuant to all of the procedures set forth in the Prospectus will constitute an agreement between you and the Issuer as to the terms and conditions set forth in the Prospectus.</w:t>
      </w:r>
    </w:p>
    <w:p>
      <w:pPr>
        <w:spacing w:after="0" w:line="141" w:lineRule="exact"/>
        <w:rPr>
          <w:rFonts w:ascii="Arial" w:cs="Arial" w:eastAsia="Arial" w:hAnsi="Arial"/>
          <w:sz w:val="15"/>
          <w:szCs w:val="15"/>
          <w:color w:val="auto"/>
        </w:rPr>
      </w:pPr>
    </w:p>
    <w:p>
      <w:pPr>
        <w:ind w:left="548" w:hanging="548"/>
        <w:spacing w:after="0" w:line="279" w:lineRule="auto"/>
        <w:tabs>
          <w:tab w:leader="none" w:pos="55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By tendering Old Notes in the Exchange Offer, you acknowledge that the Exchange Offer is being made in reliance upon interpretations contained in no-action letters issued to third parties by the staff of the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including Exxon Capital Holdings Corp., SEC No-Action Letter (May 13, 1988), Morgan Stanley &amp; Co., Inc., SEC No-Action Letter (June 5, 1991) and Shearman &amp; Sterling, SEC No-Action Letter (July 2, 1993), that the New Notes issued in exchange for the Old Notes pursuant to the Exchange Offer may be offered for resale, resold and otherwise transferred by holders thereof without compliance with the registration and prospectus delivery provisions of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(other than a broker-dealer who purchased Old Notes exchanged for such New Notes directly from the Issuer to resell pursuant to Rule 144A or any other available exemption under the Securities Act and any such holder that is an “affiliate” of the Issuer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spacing w:after="0" w:line="150" w:lineRule="exact"/>
        <w:rPr>
          <w:rFonts w:ascii="Arial" w:cs="Arial" w:eastAsia="Arial" w:hAnsi="Arial"/>
          <w:sz w:val="14"/>
          <w:szCs w:val="14"/>
          <w:color w:val="auto"/>
        </w:rPr>
      </w:pPr>
    </w:p>
    <w:p>
      <w:pPr>
        <w:ind w:left="548" w:hanging="548"/>
        <w:spacing w:after="0"/>
        <w:tabs>
          <w:tab w:leader="none" w:pos="5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By tendering Old Notes in the Exchange Offer, you hereby represent and warrant that:</w:t>
      </w:r>
    </w:p>
    <w:p>
      <w:pPr>
        <w:spacing w:after="0" w:line="193" w:lineRule="exact"/>
        <w:rPr>
          <w:rFonts w:ascii="Arial" w:cs="Arial" w:eastAsia="Arial" w:hAnsi="Arial"/>
          <w:sz w:val="15"/>
          <w:szCs w:val="15"/>
          <w:color w:val="auto"/>
        </w:rPr>
      </w:pPr>
    </w:p>
    <w:p>
      <w:pPr>
        <w:ind w:left="1088" w:hanging="539"/>
        <w:spacing w:after="0"/>
        <w:tabs>
          <w:tab w:leader="none" w:pos="1088"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New Notes acquired pursuant to the Exchange Offer are being obtained in the ordinary course of your business, whether or not you are the holder;</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0" w:gutter="0" w:footer="0" w:header="0"/>
        </w:sectPr>
      </w:pPr>
    </w:p>
    <w:bookmarkStart w:id="94" w:name="page95"/>
    <w:bookmarkEnd w:id="94"/>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1108" w:right="180" w:hanging="559"/>
        <w:spacing w:after="0" w:line="284" w:lineRule="auto"/>
        <w:tabs>
          <w:tab w:leader="none" w:pos="111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you are not engaging, do not intend to engage and have no arrangement or understanding with any person to participate in the distribution of Old Notes or New Notes within the meaning of the Securities Act;</w:t>
      </w:r>
    </w:p>
    <w:p>
      <w:pPr>
        <w:spacing w:after="0" w:line="141" w:lineRule="exact"/>
        <w:rPr>
          <w:rFonts w:ascii="Arial" w:cs="Arial" w:eastAsia="Arial" w:hAnsi="Arial"/>
          <w:sz w:val="15"/>
          <w:szCs w:val="15"/>
          <w:color w:val="auto"/>
        </w:rPr>
      </w:pPr>
    </w:p>
    <w:p>
      <w:pPr>
        <w:ind w:left="1108" w:hanging="559"/>
        <w:spacing w:after="0"/>
        <w:tabs>
          <w:tab w:leader="none" w:pos="1108" w:val="left"/>
        </w:tabs>
        <w:numPr>
          <w:ilvl w:val="0"/>
          <w:numId w:val="105"/>
        </w:numPr>
        <w:rPr>
          <w:rFonts w:ascii="Arial" w:cs="Arial" w:eastAsia="Arial" w:hAnsi="Arial"/>
          <w:sz w:val="15"/>
          <w:szCs w:val="15"/>
          <w:color w:val="auto"/>
        </w:rPr>
      </w:pPr>
      <w:r>
        <w:rPr>
          <w:rFonts w:ascii="Arial" w:cs="Arial" w:eastAsia="Arial" w:hAnsi="Arial"/>
          <w:sz w:val="15"/>
          <w:szCs w:val="15"/>
          <w:color w:val="auto"/>
        </w:rPr>
        <w:t>you are not an “affiliate,” as such term is defined under Rule 405 promulgated under the Securities Act, of the Issuer or the Guarantors (as defined below);</w:t>
      </w:r>
    </w:p>
    <w:p>
      <w:pPr>
        <w:spacing w:after="0" w:line="193" w:lineRule="exact"/>
        <w:rPr>
          <w:rFonts w:ascii="Arial" w:cs="Arial" w:eastAsia="Arial" w:hAnsi="Arial"/>
          <w:sz w:val="15"/>
          <w:szCs w:val="15"/>
          <w:color w:val="auto"/>
        </w:rPr>
      </w:pPr>
    </w:p>
    <w:p>
      <w:pPr>
        <w:ind w:left="1108" w:right="380" w:hanging="559"/>
        <w:spacing w:after="0" w:line="297" w:lineRule="auto"/>
        <w:tabs>
          <w:tab w:leader="none" w:pos="1115"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if you are a broker-dealer, that you will receive the New Notes for your own account in exchange for Old Notes that were acquired as a result of market-making activities or other trading activities and that you acknowledge that you will deliver a prospectus (or, to the extent permitted by law, make available a prospectus) in connection with any resale of such New Notes and that you cannot rely on the position of the staff of the SEC set forth in certain no-action letters; and</w:t>
      </w:r>
    </w:p>
    <w:p>
      <w:pPr>
        <w:spacing w:after="0" w:line="134" w:lineRule="exact"/>
        <w:rPr>
          <w:rFonts w:ascii="Arial" w:cs="Arial" w:eastAsia="Arial" w:hAnsi="Arial"/>
          <w:sz w:val="14"/>
          <w:szCs w:val="14"/>
          <w:color w:val="auto"/>
        </w:rPr>
      </w:pPr>
    </w:p>
    <w:p>
      <w:pPr>
        <w:ind w:left="1108" w:right="200" w:hanging="559"/>
        <w:spacing w:after="0" w:line="259" w:lineRule="auto"/>
        <w:tabs>
          <w:tab w:leader="none" w:pos="111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you understand that a secondary resale transaction described in clause 5(d) above and any resales of the New Notes obtained in exchange for the Old Notes originally acquired from the Issuer should be covered by an effective registration statement containing the selling noteholder information required by Item 507 or Item 508, as applicable, of Regulation</w:t>
      </w:r>
    </w:p>
    <w:p>
      <w:pPr>
        <w:spacing w:after="0" w:line="1" w:lineRule="exact"/>
        <w:rPr>
          <w:rFonts w:ascii="Arial" w:cs="Arial" w:eastAsia="Arial" w:hAnsi="Arial"/>
          <w:sz w:val="15"/>
          <w:szCs w:val="15"/>
          <w:color w:val="auto"/>
        </w:rPr>
      </w:pPr>
    </w:p>
    <w:p>
      <w:pPr>
        <w:ind w:left="1108"/>
        <w:spacing w:after="0"/>
        <w:rPr>
          <w:rFonts w:ascii="Arial" w:cs="Arial" w:eastAsia="Arial" w:hAnsi="Arial"/>
          <w:sz w:val="15"/>
          <w:szCs w:val="15"/>
          <w:color w:val="auto"/>
        </w:rPr>
      </w:pPr>
      <w:r>
        <w:rPr>
          <w:rFonts w:ascii="Arial" w:cs="Arial" w:eastAsia="Arial" w:hAnsi="Arial"/>
          <w:sz w:val="15"/>
          <w:szCs w:val="15"/>
          <w:color w:val="auto"/>
        </w:rPr>
        <w:t>S-K.</w:t>
      </w:r>
    </w:p>
    <w:p>
      <w:pPr>
        <w:spacing w:after="0" w:line="183" w:lineRule="exact"/>
        <w:rPr>
          <w:sz w:val="20"/>
          <w:szCs w:val="20"/>
          <w:color w:val="auto"/>
        </w:rPr>
      </w:pPr>
    </w:p>
    <w:p>
      <w:pPr>
        <w:ind w:left="548"/>
        <w:spacing w:after="0" w:line="276" w:lineRule="auto"/>
        <w:rPr>
          <w:sz w:val="20"/>
          <w:szCs w:val="20"/>
          <w:color w:val="auto"/>
        </w:rPr>
      </w:pPr>
      <w:r>
        <w:rPr>
          <w:rFonts w:ascii="Arial" w:cs="Arial" w:eastAsia="Arial" w:hAnsi="Arial"/>
          <w:sz w:val="14"/>
          <w:szCs w:val="14"/>
          <w:color w:val="auto"/>
        </w:rPr>
        <w:t>You may, if you are unable to make all of the representations and warranties contained in Item 5 above and as otherwise permitted in the Registration Rights Agreement (as defined below), elect to have your Old Notes registered in a shelf registration statement as described in that certain registration rights agreement, dated February 28, 2018 (the “</w:t>
      </w:r>
      <w:r>
        <w:rPr>
          <w:rFonts w:ascii="Arial" w:cs="Arial" w:eastAsia="Arial" w:hAnsi="Arial"/>
          <w:sz w:val="14"/>
          <w:szCs w:val="14"/>
          <w:b w:val="1"/>
          <w:bCs w:val="1"/>
          <w:color w:val="auto"/>
        </w:rPr>
        <w:t>Registration Rights Agreement</w:t>
      </w:r>
      <w:r>
        <w:rPr>
          <w:rFonts w:ascii="Arial" w:cs="Arial" w:eastAsia="Arial" w:hAnsi="Arial"/>
          <w:sz w:val="14"/>
          <w:szCs w:val="14"/>
          <w:color w:val="auto"/>
        </w:rPr>
        <w:t>”) by and among the Issuer, the Guarantors named therein (the “</w:t>
      </w:r>
      <w:r>
        <w:rPr>
          <w:rFonts w:ascii="Arial" w:cs="Arial" w:eastAsia="Arial" w:hAnsi="Arial"/>
          <w:sz w:val="14"/>
          <w:szCs w:val="14"/>
          <w:b w:val="1"/>
          <w:bCs w:val="1"/>
          <w:color w:val="auto"/>
        </w:rPr>
        <w:t>Guarantors</w:t>
      </w:r>
      <w:r>
        <w:rPr>
          <w:rFonts w:ascii="Arial" w:cs="Arial" w:eastAsia="Arial" w:hAnsi="Arial"/>
          <w:sz w:val="14"/>
          <w:szCs w:val="14"/>
          <w:color w:val="auto"/>
        </w:rPr>
        <w:t>”) and Deutsche Bank Securities Inc. as representative of the several initial purchasers named therein (the “</w:t>
      </w:r>
      <w:r>
        <w:rPr>
          <w:rFonts w:ascii="Arial" w:cs="Arial" w:eastAsia="Arial" w:hAnsi="Arial"/>
          <w:sz w:val="14"/>
          <w:szCs w:val="14"/>
          <w:b w:val="1"/>
          <w:bCs w:val="1"/>
          <w:color w:val="auto"/>
        </w:rPr>
        <w:t>Initial Purchasers</w:t>
      </w:r>
      <w:r>
        <w:rPr>
          <w:rFonts w:ascii="Arial" w:cs="Arial" w:eastAsia="Arial" w:hAnsi="Arial"/>
          <w:sz w:val="14"/>
          <w:szCs w:val="14"/>
          <w:color w:val="auto"/>
        </w:rPr>
        <w:t>”). Such election may be made by notifying the Issuer in writing at Weatherford International, LLC, 2000 St. James Place, Houston, Texas 77056, Attention: Investor Relations. By making such election, you agree, as a holder of Old Notes participating in a shelf registration, to indemnify and hold harmless the Issuer, the Guarantors and the respective directors and officers of the Issuer and the Guarantors who sign such registration statement, and any person controlling (within the meaning of Section 15 of the Securities Act or Section 20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the Issuer or any of the Guarantors, and the respective officers, directors, partners, employees, representatives and agents of each such person,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fees and expenses of counsel to any such indemnified holder of Old Notes),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not misleading, but only with respect to claims and actions based on information relating to you furnished in writing by you expressly for use in any registration statement or prospectus.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full text of the Registration Rights Agreement.</w:t>
      </w:r>
    </w:p>
    <w:p>
      <w:pPr>
        <w:spacing w:after="0" w:line="149" w:lineRule="exact"/>
        <w:rPr>
          <w:sz w:val="20"/>
          <w:szCs w:val="20"/>
          <w:color w:val="auto"/>
        </w:rPr>
      </w:pPr>
    </w:p>
    <w:p>
      <w:pPr>
        <w:ind w:left="548" w:right="40" w:hanging="548"/>
        <w:spacing w:after="0" w:line="264" w:lineRule="auto"/>
        <w:tabs>
          <w:tab w:leader="none" w:pos="55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If you are a broker-dealer that will receive New Notes for your own account in exchange for Old Notes that were acquired as a result of market-making activities or other trading activities, you acknowledge by tendering Old Notes in any Exchange Offer that you will deliver a prospectus meeting the requirements of the Securities Act in connection with any resale of such New Notes; however, by so acknowledging and by delivering a prospectus, you will not be deemed to admit that you are an “underwriter” within the meaning of the Securities Act.</w:t>
      </w:r>
    </w:p>
    <w:p>
      <w:pPr>
        <w:spacing w:after="0" w:line="156" w:lineRule="exact"/>
        <w:rPr>
          <w:rFonts w:ascii="Arial" w:cs="Arial" w:eastAsia="Arial" w:hAnsi="Arial"/>
          <w:sz w:val="15"/>
          <w:szCs w:val="15"/>
          <w:color w:val="auto"/>
        </w:rPr>
      </w:pPr>
    </w:p>
    <w:p>
      <w:pPr>
        <w:ind w:left="548" w:right="600" w:hanging="548"/>
        <w:spacing w:after="0" w:line="284" w:lineRule="auto"/>
        <w:tabs>
          <w:tab w:leader="none" w:pos="55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If you are a broker-dealer and Old Notes held for your own account were not acquired as a result of market-making or other trading activities, such Old Notes cannot be exchanged pursuant to any Exchange Offer.</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95" w:name="page96"/>
    <w:bookmarkEnd w:id="95"/>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hanging="548"/>
        <w:spacing w:after="0"/>
        <w:tabs>
          <w:tab w:leader="none" w:pos="54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of your obligations hereunder shall be binding upon your successors, assigns, executors, administrators, trustees in bankruptcy and legal and personal representatives.</w:t>
      </w: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INSTRUCTIONS FORMING PART OF THE TERMS AND CONDITIONS OF THE EXCHANGE OFFER</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1. Book-Entry Confirmations.</w:t>
      </w:r>
    </w:p>
    <w:p>
      <w:pPr>
        <w:spacing w:after="0" w:line="194" w:lineRule="exact"/>
        <w:rPr>
          <w:sz w:val="20"/>
          <w:szCs w:val="20"/>
          <w:color w:val="auto"/>
        </w:rPr>
      </w:pPr>
    </w:p>
    <w:p>
      <w:pPr>
        <w:ind w:left="8" w:right="20"/>
        <w:spacing w:after="0" w:line="272" w:lineRule="auto"/>
        <w:rPr>
          <w:sz w:val="20"/>
          <w:szCs w:val="20"/>
          <w:color w:val="auto"/>
        </w:rPr>
      </w:pPr>
      <w:r>
        <w:rPr>
          <w:rFonts w:ascii="Arial" w:cs="Arial" w:eastAsia="Arial" w:hAnsi="Arial"/>
          <w:sz w:val="15"/>
          <w:szCs w:val="15"/>
          <w:color w:val="auto"/>
        </w:rPr>
        <w:t>Any confirmation of a book-entry transfer to the Exchange Agent’s account at DTC of Old Notes tendered by book-entry transfer (a “</w:t>
      </w:r>
      <w:r>
        <w:rPr>
          <w:rFonts w:ascii="Arial" w:cs="Arial" w:eastAsia="Arial" w:hAnsi="Arial"/>
          <w:sz w:val="15"/>
          <w:szCs w:val="15"/>
          <w:b w:val="1"/>
          <w:bCs w:val="1"/>
          <w:color w:val="auto"/>
        </w:rPr>
        <w:t>Book-Entry Confirmation</w:t>
      </w:r>
      <w:r>
        <w:rPr>
          <w:rFonts w:ascii="Arial" w:cs="Arial" w:eastAsia="Arial" w:hAnsi="Arial"/>
          <w:sz w:val="15"/>
          <w:szCs w:val="15"/>
          <w:color w:val="auto"/>
        </w:rPr>
        <w:t>”), as well as Agent’s Message and any other documents required by this Letter of Transmittal, must be received by the Exchange Agent at its address set forth herein prior to 5:00 p.m., New York City time, on the Expiration Date.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2. Partial Tenders.</w:t>
      </w:r>
    </w:p>
    <w:p>
      <w:pPr>
        <w:spacing w:after="0" w:line="198" w:lineRule="exact"/>
        <w:rPr>
          <w:sz w:val="20"/>
          <w:szCs w:val="20"/>
          <w:color w:val="auto"/>
        </w:rPr>
      </w:pPr>
    </w:p>
    <w:p>
      <w:pPr>
        <w:jc w:val="both"/>
        <w:ind w:left="8"/>
        <w:spacing w:after="0" w:line="264" w:lineRule="auto"/>
        <w:rPr>
          <w:sz w:val="20"/>
          <w:szCs w:val="20"/>
          <w:color w:val="auto"/>
        </w:rPr>
      </w:pPr>
      <w:r>
        <w:rPr>
          <w:rFonts w:ascii="Arial" w:cs="Arial" w:eastAsia="Arial" w:hAnsi="Arial"/>
          <w:sz w:val="15"/>
          <w:szCs w:val="15"/>
          <w:color w:val="auto"/>
        </w:rPr>
        <w:t>Tenders of Old Notes will be accepted only in minimum denominations of $2,000 and integral multiples of $1,000 in excess thereof. The entire principal amount of Old Notes delivered to the Exchange Agent will be deemed to have been tendered unless otherwise communicated to the Exchange Agent. If the entire principal amount of all Old Notes is not tendered, then Old Notes for the principal amount of Old Notes not tendered and New Notes issued in exchange for any Old Notes accepted will be delivered to the holder via the facilities of DTC promptly after the Old Notes are accepted for exchange.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3. Validity of Tenders.</w:t>
      </w:r>
    </w:p>
    <w:p>
      <w:pPr>
        <w:spacing w:after="0" w:line="198" w:lineRule="exact"/>
        <w:rPr>
          <w:sz w:val="20"/>
          <w:szCs w:val="20"/>
          <w:color w:val="auto"/>
        </w:rPr>
      </w:pPr>
    </w:p>
    <w:p>
      <w:pPr>
        <w:ind w:left="8"/>
        <w:spacing w:after="0" w:line="279" w:lineRule="auto"/>
        <w:rPr>
          <w:sz w:val="20"/>
          <w:szCs w:val="20"/>
          <w:color w:val="auto"/>
        </w:rPr>
      </w:pPr>
      <w:r>
        <w:rPr>
          <w:rFonts w:ascii="Arial" w:cs="Arial" w:eastAsia="Arial" w:hAnsi="Arial"/>
          <w:sz w:val="14"/>
          <w:szCs w:val="14"/>
          <w:color w:val="auto"/>
        </w:rPr>
        <w:t>All questions as to the validity, form, eligibility (including time of receipt), acceptance, and withdrawal of tendered Old Notes will be determined by the Issuer, in its sole discretion, which determination will be final and binding. The Issuer reserves the absolute right to reject any or all tenders not in proper form or the acceptance for exchange of which may, in the opinion of counsel for the Issuer, be unlawful. The Issuer also reserves the absolute right to waive any of the conditions of the Exchange Offer or any defect or irregularity in the tender of any Old Notes. The Issuer’s interpretation of the terms and conditions of the Exchange Offer (including the instructions on the Letter of Transmittal) will be final and binding on all parties. Unless waived, any defects or irregularities in connection with tenders of Old Notes must be cured within such time as the Issuer shall determine. Although the Issuer intends to notify holders of defects or irregularities with respect to tenders of Old Notes, none of the Issuer, the Exchange Agent, or any other person shall be under any duty to give notification of any defects or irregularities in tenders or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holders, unless otherwise provided in the Letter of Transmittal, promptly following the Expiration Date.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4. Waiver of Conditions.</w:t>
      </w:r>
    </w:p>
    <w:p>
      <w:pPr>
        <w:spacing w:after="0" w:line="198" w:lineRule="exact"/>
        <w:rPr>
          <w:sz w:val="20"/>
          <w:szCs w:val="20"/>
          <w:color w:val="auto"/>
        </w:rPr>
      </w:pPr>
    </w:p>
    <w:p>
      <w:pPr>
        <w:ind w:left="8" w:right="200"/>
        <w:spacing w:after="0" w:line="284" w:lineRule="auto"/>
        <w:rPr>
          <w:sz w:val="20"/>
          <w:szCs w:val="20"/>
          <w:color w:val="auto"/>
        </w:rPr>
      </w:pPr>
      <w:r>
        <w:rPr>
          <w:rFonts w:ascii="Arial" w:cs="Arial" w:eastAsia="Arial" w:hAnsi="Arial"/>
          <w:sz w:val="15"/>
          <w:szCs w:val="15"/>
          <w:color w:val="auto"/>
        </w:rPr>
        <w:t>The Issuer reserves the absolute right to waive, in whole or part, up to the expiration of the Exchange Offer, any of the conditions to the Exchange Offer set forth in the Prospectus or in this Letter of Transmittal.</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5. No Conditional Tender.</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No alternative, conditional, irregular or contingent tender of Old Notes will be accepted.</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6. Request for Assistance or Additional Copies.</w:t>
      </w:r>
    </w:p>
    <w:p>
      <w:pPr>
        <w:spacing w:after="0" w:line="198" w:lineRule="exact"/>
        <w:rPr>
          <w:sz w:val="20"/>
          <w:szCs w:val="20"/>
          <w:color w:val="auto"/>
        </w:rPr>
      </w:pPr>
    </w:p>
    <w:p>
      <w:pPr>
        <w:ind w:left="8" w:right="180"/>
        <w:spacing w:after="0" w:line="365" w:lineRule="auto"/>
        <w:rPr>
          <w:sz w:val="20"/>
          <w:szCs w:val="20"/>
          <w:color w:val="auto"/>
        </w:rPr>
      </w:pPr>
      <w:r>
        <w:rPr>
          <w:rFonts w:ascii="Arial" w:cs="Arial" w:eastAsia="Arial" w:hAnsi="Arial"/>
          <w:sz w:val="13"/>
          <w:szCs w:val="13"/>
          <w:color w:val="auto"/>
        </w:rPr>
        <w:t>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7. Withdrawal.</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Tenders may be withdrawn only pursuant to the limited withdrawal rights set forth in the Prospectus under the caption “Exchange Offer—Withdrawal of Tenders.”</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No Guarantee of Late Delivery.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There is no procedure for guarantee of late delivery in the Exchange Offer.</w:t>
      </w:r>
    </w:p>
    <w:p>
      <w:pPr>
        <w:spacing w:after="0" w:line="190" w:lineRule="exact"/>
        <w:rPr>
          <w:sz w:val="20"/>
          <w:szCs w:val="20"/>
          <w:color w:val="auto"/>
        </w:rPr>
      </w:pPr>
    </w:p>
    <w:p>
      <w:pPr>
        <w:ind w:firstLine="374"/>
        <w:spacing w:after="0" w:line="272" w:lineRule="auto"/>
        <w:rPr>
          <w:sz w:val="20"/>
          <w:szCs w:val="20"/>
          <w:color w:val="auto"/>
        </w:rPr>
      </w:pPr>
      <w:r>
        <w:rPr>
          <w:rFonts w:ascii="Arial" w:cs="Arial" w:eastAsia="Arial" w:hAnsi="Arial"/>
          <w:sz w:val="15"/>
          <w:szCs w:val="15"/>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5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700"/>
          </w:cols>
          <w:pgMar w:left="240" w:top="129" w:right="959" w:bottom="1440" w:gutter="0" w:footer="0" w:header="0"/>
        </w:sectPr>
      </w:pPr>
    </w:p>
    <w:bookmarkStart w:id="97" w:name="page98"/>
    <w:bookmarkEnd w:id="97"/>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2675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274955</wp:posOffset>
            </wp:positionV>
            <wp:extent cx="726440" cy="3340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440" cy="334010"/>
                    </a:xfrm>
                    <a:prstGeom prst="rect">
                      <a:avLst/>
                    </a:prstGeom>
                    <a:noFill/>
                  </pic:spPr>
                </pic:pic>
              </a:graphicData>
            </a:graphic>
          </wp:anchor>
        </w:drawing>
      </w:r>
    </w:p>
    <w:p>
      <w:pPr>
        <w:sectPr>
          <w:pgSz w:w="11900" w:h="16838" w:orient="portrait"/>
          <w:cols w:equalWidth="0" w:num="1">
            <w:col w:w="11320"/>
          </w:cols>
          <w:pgMar w:left="24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Weatherford International, LLC</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(a Delaware limited liability company)</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Offer to Exchange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up to</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$600,000,000 of 9.875% Senior Notes due 2025</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that have been registered under the Securities Act of 1933</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for</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$600,000,000 of 9.875% Senior Notes due 2025</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that have not been registered under the Securities Act of 1933</w:t>
      </w:r>
    </w:p>
    <w:p>
      <w:pPr>
        <w:spacing w:after="0" w:line="183" w:lineRule="exact"/>
        <w:rPr>
          <w:sz w:val="20"/>
          <w:szCs w:val="20"/>
          <w:color w:val="auto"/>
        </w:rPr>
      </w:pPr>
    </w:p>
    <w:p>
      <w:pPr>
        <w:ind w:firstLine="374"/>
        <w:spacing w:after="0" w:line="284" w:lineRule="auto"/>
        <w:rPr>
          <w:sz w:val="20"/>
          <w:szCs w:val="20"/>
          <w:color w:val="auto"/>
        </w:rPr>
      </w:pPr>
      <w:r>
        <w:rPr>
          <w:rFonts w:ascii="Arial" w:cs="Arial" w:eastAsia="Arial" w:hAnsi="Arial"/>
          <w:sz w:val="15"/>
          <w:szCs w:val="15"/>
          <w:color w:val="auto"/>
        </w:rPr>
        <w:t>Until , 2019, all dealers that effect transactions in the new notes, whether or not participating in this offering, may be required to deliver a prospectus. This is in addition to the dealers’ obligation to deliver a prospectus when acting as underwriters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6757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282575</wp:posOffset>
            </wp:positionV>
            <wp:extent cx="7287260" cy="27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20"/>
          </w:cols>
          <w:pgMar w:left="240" w:top="129" w:right="339" w:bottom="1440" w:gutter="0" w:footer="0" w:header="0"/>
          <w:type w:val="continuous"/>
        </w:sectPr>
      </w:pPr>
    </w:p>
    <w:bookmarkStart w:id="98" w:name="page99"/>
    <w:bookmarkEnd w:id="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PART II.</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 Indemnification of Directors and Officers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Weatherford Ireland</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Weatherford Ireland’s memorandum and articles of association confer an indemnity on its directors and officers, which is limited by the Irish Companies Act 2014, as amended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Weatherford Ireland’s articles of association also contain indemnification and expense advancement provisions for persons who are not directors or the secretary of Weatherford Ireland.</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Irish companies may take out directors and officers liability insurance as well as other types of insurance, for their directors and officers.</w:t>
      </w:r>
    </w:p>
    <w:p>
      <w:pPr>
        <w:spacing w:after="0" w:line="194"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57" w:lineRule="exact"/>
        <w:rPr>
          <w:sz w:val="20"/>
          <w:szCs w:val="20"/>
          <w:color w:val="auto"/>
        </w:rPr>
      </w:pPr>
    </w:p>
    <w:p>
      <w:pPr>
        <w:ind w:right="400"/>
        <w:spacing w:after="0" w:line="297" w:lineRule="auto"/>
        <w:rPr>
          <w:sz w:val="20"/>
          <w:szCs w:val="20"/>
          <w:color w:val="auto"/>
        </w:rPr>
      </w:pPr>
      <w:r>
        <w:rPr>
          <w:rFonts w:ascii="Arial" w:cs="Arial" w:eastAsia="Arial" w:hAnsi="Arial"/>
          <w:sz w:val="14"/>
          <w:szCs w:val="14"/>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Weatherford Bermuda</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62" w:lineRule="exact"/>
        <w:rPr>
          <w:sz w:val="20"/>
          <w:szCs w:val="20"/>
          <w:color w:val="auto"/>
        </w:rPr>
      </w:pPr>
    </w:p>
    <w:p>
      <w:pPr>
        <w:jc w:val="both"/>
        <w:ind w:right="140"/>
        <w:spacing w:after="0" w:line="269" w:lineRule="auto"/>
        <w:rPr>
          <w:sz w:val="20"/>
          <w:szCs w:val="20"/>
          <w:color w:val="auto"/>
        </w:rPr>
      </w:pPr>
      <w:r>
        <w:rPr>
          <w:rFonts w:ascii="Arial" w:cs="Arial" w:eastAsia="Arial" w:hAnsi="Arial"/>
          <w:sz w:val="15"/>
          <w:szCs w:val="15"/>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129" w:right="299" w:bottom="1440" w:gutter="0" w:footer="0" w:header="0"/>
        </w:sectPr>
      </w:pPr>
    </w:p>
    <w:bookmarkStart w:id="99" w:name="page100"/>
    <w:bookmarkEnd w:id="99"/>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 act in the performance of such director’s or officer’s duties, except in respect of any fraud or dishonesty of such director or officer.</w:t>
      </w:r>
    </w:p>
    <w:p>
      <w:pPr>
        <w:spacing w:after="0" w:line="194" w:lineRule="exact"/>
        <w:rPr>
          <w:sz w:val="20"/>
          <w:szCs w:val="20"/>
          <w:color w:val="auto"/>
        </w:rPr>
      </w:pPr>
    </w:p>
    <w:p>
      <w:pPr>
        <w:ind w:left="20" w:right="160"/>
        <w:spacing w:after="0" w:line="262" w:lineRule="auto"/>
        <w:rPr>
          <w:sz w:val="20"/>
          <w:szCs w:val="20"/>
          <w:color w:val="auto"/>
        </w:rPr>
      </w:pPr>
      <w:r>
        <w:rPr>
          <w:rFonts w:ascii="Arial" w:cs="Arial" w:eastAsia="Arial" w:hAnsi="Arial"/>
          <w:sz w:val="15"/>
          <w:szCs w:val="15"/>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57" w:lineRule="exact"/>
        <w:rPr>
          <w:sz w:val="20"/>
          <w:szCs w:val="20"/>
          <w:color w:val="auto"/>
        </w:rPr>
      </w:pPr>
    </w:p>
    <w:p>
      <w:pPr>
        <w:ind w:left="20" w:right="460"/>
        <w:spacing w:after="0" w:line="269" w:lineRule="auto"/>
        <w:rPr>
          <w:sz w:val="20"/>
          <w:szCs w:val="20"/>
          <w:color w:val="auto"/>
        </w:rPr>
      </w:pPr>
      <w:r>
        <w:rPr>
          <w:rFonts w:ascii="Arial" w:cs="Arial" w:eastAsia="Arial" w:hAnsi="Arial"/>
          <w:sz w:val="15"/>
          <w:szCs w:val="15"/>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Weatherford Delaware</w:t>
      </w:r>
    </w:p>
    <w:p>
      <w:pPr>
        <w:spacing w:after="0" w:line="198" w:lineRule="exact"/>
        <w:rPr>
          <w:sz w:val="20"/>
          <w:szCs w:val="20"/>
          <w:color w:val="auto"/>
        </w:rPr>
      </w:pPr>
    </w:p>
    <w:p>
      <w:pPr>
        <w:ind w:left="20" w:right="100"/>
        <w:spacing w:after="0" w:line="262" w:lineRule="auto"/>
        <w:rPr>
          <w:sz w:val="20"/>
          <w:szCs w:val="20"/>
          <w:color w:val="auto"/>
        </w:rPr>
      </w:pPr>
      <w:r>
        <w:rPr>
          <w:rFonts w:ascii="Arial" w:cs="Arial" w:eastAsia="Arial" w:hAnsi="Arial"/>
          <w:sz w:val="15"/>
          <w:szCs w:val="15"/>
          <w:color w:val="auto"/>
        </w:rPr>
        <w:t>Weatherford International, LLC (“Weatherford Delaware”) is a Delaware limited liability company. 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57" w:lineRule="exact"/>
        <w:rPr>
          <w:sz w:val="20"/>
          <w:szCs w:val="20"/>
          <w:color w:val="auto"/>
        </w:rPr>
      </w:pPr>
    </w:p>
    <w:p>
      <w:pPr>
        <w:ind w:left="20" w:right="40"/>
        <w:spacing w:after="0" w:line="259" w:lineRule="auto"/>
        <w:rPr>
          <w:sz w:val="20"/>
          <w:szCs w:val="20"/>
          <w:color w:val="auto"/>
        </w:rPr>
      </w:pPr>
      <w:r>
        <w:rPr>
          <w:rFonts w:ascii="Arial" w:cs="Arial" w:eastAsia="Arial" w:hAnsi="Arial"/>
          <w:sz w:val="15"/>
          <w:szCs w:val="15"/>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59" w:lineRule="exact"/>
        <w:rPr>
          <w:sz w:val="20"/>
          <w:szCs w:val="20"/>
          <w:color w:val="auto"/>
        </w:rPr>
      </w:pPr>
    </w:p>
    <w:p>
      <w:pPr>
        <w:ind w:left="20" w:right="440"/>
        <w:spacing w:after="0" w:line="269" w:lineRule="auto"/>
        <w:rPr>
          <w:sz w:val="20"/>
          <w:szCs w:val="20"/>
          <w:color w:val="auto"/>
        </w:rPr>
      </w:pPr>
      <w:r>
        <w:rPr>
          <w:rFonts w:ascii="Arial" w:cs="Arial" w:eastAsia="Arial" w:hAnsi="Arial"/>
          <w:sz w:val="15"/>
          <w:szCs w:val="15"/>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21. Exhibits and Financial Statement Schedules.</w:t>
      </w:r>
    </w:p>
    <w:p>
      <w:pPr>
        <w:spacing w:after="0" w:line="198" w:lineRule="exact"/>
        <w:rPr>
          <w:sz w:val="20"/>
          <w:szCs w:val="20"/>
          <w:color w:val="auto"/>
        </w:rPr>
      </w:pPr>
    </w:p>
    <w:p>
      <w:pPr>
        <w:ind w:left="1100" w:hanging="539"/>
        <w:spacing w:after="0"/>
        <w:tabs>
          <w:tab w:leader="none" w:pos="11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2"/>
                <w:szCs w:val="12"/>
                <w:b w:val="1"/>
                <w:bCs w:val="1"/>
                <w:color w:val="auto"/>
                <w:w w:val="92"/>
              </w:rPr>
              <w:t>Exhibit Number</w:t>
            </w:r>
          </w:p>
        </w:tc>
        <w:tc>
          <w:tcPr>
            <w:tcW w:w="340" w:type="dxa"/>
            <w:vAlign w:val="bottom"/>
          </w:tcPr>
          <w:p>
            <w:pPr>
              <w:spacing w:after="0"/>
              <w:rPr>
                <w:sz w:val="12"/>
                <w:szCs w:val="12"/>
                <w:color w:val="auto"/>
              </w:rPr>
            </w:pPr>
          </w:p>
        </w:tc>
        <w:tc>
          <w:tcPr>
            <w:tcW w:w="9740" w:type="dxa"/>
            <w:vAlign w:val="bottom"/>
            <w:tcBorders>
              <w:bottom w:val="single" w:sz="8" w:color="auto"/>
            </w:tcBorders>
            <w:gridSpan w:val="5"/>
          </w:tcPr>
          <w:p>
            <w:pPr>
              <w:ind w:left="458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2"/>
                <w:szCs w:val="12"/>
                <w:color w:val="auto"/>
              </w:rPr>
            </w:pPr>
          </w:p>
        </w:tc>
      </w:tr>
      <w:tr>
        <w:trPr>
          <w:trHeight w:val="323"/>
        </w:trPr>
        <w:tc>
          <w:tcPr>
            <w:tcW w:w="20" w:type="dxa"/>
            <w:vAlign w:val="bottom"/>
          </w:tcPr>
          <w:p>
            <w:pPr>
              <w:spacing w:after="0"/>
              <w:rPr>
                <w:sz w:val="24"/>
                <w:szCs w:val="24"/>
                <w:color w:val="auto"/>
              </w:rPr>
            </w:pPr>
          </w:p>
        </w:tc>
        <w:tc>
          <w:tcPr>
            <w:tcW w:w="1360" w:type="dxa"/>
            <w:vAlign w:val="bottom"/>
          </w:tcPr>
          <w:p>
            <w:pPr>
              <w:jc w:val="right"/>
              <w:ind w:right="871"/>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24"/>
                <w:szCs w:val="24"/>
                <w:color w:val="auto"/>
              </w:rPr>
            </w:pPr>
          </w:p>
        </w:tc>
        <w:tc>
          <w:tcPr>
            <w:tcW w:w="8940" w:type="dxa"/>
            <w:vAlign w:val="bottom"/>
            <w:tcBorders>
              <w:bottom w:val="single" w:sz="8" w:color="0000EE"/>
            </w:tcBorders>
            <w:gridSpan w:val="2"/>
          </w:tcPr>
          <w:p>
            <w:pPr>
              <w:spacing w:after="0"/>
              <w:rPr>
                <w:rFonts w:ascii="Arial" w:cs="Arial" w:eastAsia="Arial" w:hAnsi="Arial"/>
                <w:sz w:val="15"/>
                <w:szCs w:val="15"/>
                <w:color w:val="0000EE"/>
                <w:w w:val="92"/>
              </w:rPr>
            </w:pPr>
            <w:hyperlink r:id="rId124">
              <w:r>
                <w:rPr>
                  <w:rFonts w:ascii="Arial" w:cs="Arial" w:eastAsia="Arial" w:hAnsi="Arial"/>
                  <w:sz w:val="15"/>
                  <w:szCs w:val="15"/>
                  <w:color w:val="0000EE"/>
                  <w:w w:val="92"/>
                </w:rPr>
                <w:t>Purchase Agreement, dated February 21, 2018, by and among Weatherford International, LLC, a Delaware limited liability company, Weatherford</w:t>
              </w:r>
            </w:hyperlink>
          </w:p>
        </w:tc>
        <w:tc>
          <w:tcPr>
            <w:tcW w:w="8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740" w:type="dxa"/>
            <w:vAlign w:val="bottom"/>
            <w:gridSpan w:val="5"/>
          </w:tcPr>
          <w:p>
            <w:pPr>
              <w:spacing w:after="0" w:line="163" w:lineRule="exact"/>
              <w:rPr>
                <w:rFonts w:ascii="Arial" w:cs="Arial" w:eastAsia="Arial" w:hAnsi="Arial"/>
                <w:sz w:val="15"/>
                <w:szCs w:val="15"/>
                <w:color w:val="0000EE"/>
                <w:w w:val="96"/>
              </w:rPr>
            </w:pPr>
            <w:hyperlink r:id="rId124">
              <w:r>
                <w:rPr>
                  <w:rFonts w:ascii="Arial" w:cs="Arial" w:eastAsia="Arial" w:hAnsi="Arial"/>
                  <w:sz w:val="15"/>
                  <w:szCs w:val="15"/>
                  <w:color w:val="0000EE"/>
                  <w:w w:val="96"/>
                </w:rPr>
                <w:t>International plc, an Irish public limited company, Weatherford International Ltd., a Bermuda exempted company, and Deutsche Bank Securities Inc., on</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20" w:type="dxa"/>
            <w:vAlign w:val="bottom"/>
            <w:tcBorders>
              <w:bottom w:val="single" w:sz="8" w:color="0000EE"/>
            </w:tcBorders>
            <w:gridSpan w:val="4"/>
          </w:tcPr>
          <w:p>
            <w:pPr>
              <w:spacing w:after="0" w:line="163" w:lineRule="exact"/>
              <w:rPr>
                <w:rFonts w:ascii="Arial" w:cs="Arial" w:eastAsia="Arial" w:hAnsi="Arial"/>
                <w:sz w:val="15"/>
                <w:szCs w:val="15"/>
                <w:color w:val="0000EE"/>
                <w:w w:val="92"/>
              </w:rPr>
            </w:pPr>
            <w:hyperlink r:id="rId124">
              <w:r>
                <w:rPr>
                  <w:rFonts w:ascii="Arial" w:cs="Arial" w:eastAsia="Arial" w:hAnsi="Arial"/>
                  <w:sz w:val="15"/>
                  <w:szCs w:val="15"/>
                  <w:color w:val="0000EE"/>
                  <w:w w:val="92"/>
                </w:rPr>
                <w:t>behalf of itself and the several Initial Purchasers named in Schedule I of the Purchase Agreement (incorporated by reference to Exhibit 1.1 to Weatherford</w:t>
              </w:r>
            </w:hyperlink>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tcBorders>
              <w:bottom w:val="single" w:sz="8" w:color="0000EE"/>
            </w:tcBorders>
          </w:tcPr>
          <w:p>
            <w:pPr>
              <w:spacing w:after="0" w:line="163" w:lineRule="exact"/>
              <w:rPr>
                <w:rFonts w:ascii="Arial" w:cs="Arial" w:eastAsia="Arial" w:hAnsi="Arial"/>
                <w:sz w:val="15"/>
                <w:szCs w:val="15"/>
                <w:color w:val="0000EE"/>
                <w:w w:val="94"/>
              </w:rPr>
            </w:pPr>
            <w:hyperlink r:id="rId124">
              <w:r>
                <w:rPr>
                  <w:rFonts w:ascii="Arial" w:cs="Arial" w:eastAsia="Arial" w:hAnsi="Arial"/>
                  <w:sz w:val="15"/>
                  <w:szCs w:val="15"/>
                  <w:color w:val="0000EE"/>
                  <w:w w:val="94"/>
                </w:rPr>
                <w:t>International plc’s Current Report on Form 8-K (File No. 1-36504) filed on February 23, 2018)</w:t>
              </w:r>
            </w:hyperlink>
          </w:p>
        </w:tc>
        <w:tc>
          <w:tcPr>
            <w:tcW w:w="39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81"/>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40" w:type="dxa"/>
            <w:vAlign w:val="bottom"/>
            <w:gridSpan w:val="5"/>
          </w:tcPr>
          <w:p>
            <w:pPr>
              <w:ind w:left="3900"/>
              <w:spacing w:after="0"/>
              <w:rPr>
                <w:sz w:val="20"/>
                <w:szCs w:val="20"/>
                <w:color w:val="auto"/>
              </w:rPr>
            </w:pPr>
            <w:r>
              <w:rPr>
                <w:rFonts w:ascii="Arial" w:cs="Arial" w:eastAsia="Arial" w:hAnsi="Arial"/>
                <w:sz w:val="15"/>
                <w:szCs w:val="15"/>
                <w:color w:val="auto"/>
              </w:rPr>
              <w:t>II-2</w:t>
            </w:r>
          </w:p>
        </w:tc>
        <w:tc>
          <w:tcPr>
            <w:tcW w:w="20" w:type="dxa"/>
            <w:vAlign w:val="bottom"/>
          </w:tcPr>
          <w:p>
            <w:pPr>
              <w:spacing w:after="0"/>
              <w:rPr>
                <w:sz w:val="24"/>
                <w:szCs w:val="24"/>
                <w:color w:val="auto"/>
              </w:rPr>
            </w:pPr>
          </w:p>
        </w:tc>
      </w:tr>
      <w:tr>
        <w:trPr>
          <w:trHeight w:val="110"/>
        </w:trPr>
        <w:tc>
          <w:tcPr>
            <w:tcW w:w="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jc w:val="right"/>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2.1**</w:t>
            </w:r>
          </w:p>
        </w:tc>
        <w:tc>
          <w:tcPr>
            <w:tcW w:w="620" w:type="dxa"/>
            <w:vAlign w:val="bottom"/>
          </w:tcPr>
          <w:p>
            <w:pPr>
              <w:spacing w:after="0"/>
              <w:rPr>
                <w:sz w:val="24"/>
                <w:szCs w:val="24"/>
                <w:color w:val="auto"/>
              </w:rPr>
            </w:pPr>
          </w:p>
        </w:tc>
        <w:tc>
          <w:tcPr>
            <w:tcW w:w="9700" w:type="dxa"/>
            <w:vAlign w:val="bottom"/>
            <w:gridSpan w:val="25"/>
          </w:tcPr>
          <w:p>
            <w:pPr>
              <w:spacing w:after="0"/>
              <w:rPr>
                <w:rFonts w:ascii="Arial" w:cs="Arial" w:eastAsia="Arial" w:hAnsi="Arial"/>
                <w:sz w:val="15"/>
                <w:szCs w:val="15"/>
                <w:color w:val="0000EE"/>
                <w:w w:val="94"/>
              </w:rPr>
            </w:pPr>
            <w:hyperlink r:id="rId127">
              <w:r>
                <w:rPr>
                  <w:rFonts w:ascii="Arial" w:cs="Arial" w:eastAsia="Arial" w:hAnsi="Arial"/>
                  <w:sz w:val="15"/>
                  <w:szCs w:val="15"/>
                  <w:color w:val="0000EE"/>
                  <w:w w:val="94"/>
                </w:rPr>
                <w:t>Merger Agreement, dated April 2, 2014, between Weatherford International Ltd., a Swiss joint-stock corporation, and Weatherford International plc, an Irish</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80" w:type="dxa"/>
            <w:vAlign w:val="bottom"/>
            <w:tcBorders>
              <w:top w:val="single" w:sz="8" w:color="0000EE"/>
              <w:bottom w:val="single" w:sz="8" w:color="0000EE"/>
            </w:tcBorders>
            <w:gridSpan w:val="16"/>
          </w:tcPr>
          <w:p>
            <w:pPr>
              <w:spacing w:after="0" w:line="163" w:lineRule="exact"/>
              <w:rPr>
                <w:rFonts w:ascii="Arial" w:cs="Arial" w:eastAsia="Arial" w:hAnsi="Arial"/>
                <w:sz w:val="15"/>
                <w:szCs w:val="15"/>
                <w:color w:val="0000EE"/>
                <w:w w:val="94"/>
              </w:rPr>
            </w:pPr>
            <w:hyperlink r:id="rId127">
              <w:r>
                <w:rPr>
                  <w:rFonts w:ascii="Arial" w:cs="Arial" w:eastAsia="Arial" w:hAnsi="Arial"/>
                  <w:sz w:val="15"/>
                  <w:szCs w:val="15"/>
                  <w:color w:val="0000EE"/>
                  <w:w w:val="94"/>
                </w:rPr>
                <w:t>public limited company (incorporated by reference to Exhibit 2.1 to Weatherford International plc’s Current Report on Form 8-K (File No. 1-34258) filed</w:t>
              </w:r>
            </w:hyperlink>
          </w:p>
        </w:tc>
        <w:tc>
          <w:tcPr>
            <w:tcW w:w="180" w:type="dxa"/>
            <w:vAlign w:val="bottom"/>
            <w:tcBorders>
              <w:top w:val="single" w:sz="8" w:color="0000EE"/>
            </w:tcBorders>
            <w:gridSpan w:val="5"/>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Borders>
              <w:bottom w:val="single" w:sz="8" w:color="0000EE"/>
            </w:tcBorders>
          </w:tcPr>
          <w:p>
            <w:pPr>
              <w:spacing w:after="0" w:line="163" w:lineRule="exact"/>
              <w:rPr>
                <w:rFonts w:ascii="Arial" w:cs="Arial" w:eastAsia="Arial" w:hAnsi="Arial"/>
                <w:sz w:val="15"/>
                <w:szCs w:val="15"/>
                <w:color w:val="0000EE"/>
                <w:w w:val="96"/>
              </w:rPr>
            </w:pPr>
            <w:hyperlink r:id="rId127">
              <w:r>
                <w:rPr>
                  <w:rFonts w:ascii="Arial" w:cs="Arial" w:eastAsia="Arial" w:hAnsi="Arial"/>
                  <w:sz w:val="15"/>
                  <w:szCs w:val="15"/>
                  <w:color w:val="0000EE"/>
                  <w:w w:val="96"/>
                </w:rPr>
                <w:t>April 2, 2014)</w:t>
              </w:r>
            </w:hyperlink>
          </w:p>
        </w:tc>
        <w:tc>
          <w:tcPr>
            <w:tcW w:w="8820" w:type="dxa"/>
            <w:vAlign w:val="bottom"/>
            <w:gridSpan w:val="24"/>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3.1**</w:t>
            </w:r>
          </w:p>
        </w:tc>
        <w:tc>
          <w:tcPr>
            <w:tcW w:w="620" w:type="dxa"/>
            <w:vAlign w:val="bottom"/>
          </w:tcPr>
          <w:p>
            <w:pPr>
              <w:spacing w:after="0"/>
              <w:rPr>
                <w:sz w:val="24"/>
                <w:szCs w:val="24"/>
                <w:color w:val="auto"/>
              </w:rPr>
            </w:pPr>
          </w:p>
        </w:tc>
        <w:tc>
          <w:tcPr>
            <w:tcW w:w="9700" w:type="dxa"/>
            <w:vAlign w:val="bottom"/>
            <w:gridSpan w:val="25"/>
          </w:tcPr>
          <w:p>
            <w:pPr>
              <w:spacing w:after="0"/>
              <w:rPr>
                <w:rFonts w:ascii="Arial" w:cs="Arial" w:eastAsia="Arial" w:hAnsi="Arial"/>
                <w:sz w:val="15"/>
                <w:szCs w:val="15"/>
                <w:color w:val="0000EE"/>
                <w:w w:val="98"/>
              </w:rPr>
            </w:pPr>
            <w:hyperlink r:id="rId128">
              <w:r>
                <w:rPr>
                  <w:rFonts w:ascii="Arial" w:cs="Arial" w:eastAsia="Arial" w:hAnsi="Arial"/>
                  <w:sz w:val="15"/>
                  <w:szCs w:val="15"/>
                  <w:color w:val="0000EE"/>
                  <w:w w:val="98"/>
                </w:rPr>
                <w:t>Memorandum and Articles of Association of Weatherford International plc, an Irish public limited company (incorporated by reference to Exhibit 3.1 to</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80" w:type="dxa"/>
            <w:vAlign w:val="bottom"/>
            <w:tcBorders>
              <w:top w:val="single" w:sz="8" w:color="0000EE"/>
            </w:tcBorders>
            <w:gridSpan w:val="14"/>
          </w:tcPr>
          <w:p>
            <w:pPr>
              <w:spacing w:after="0" w:line="163" w:lineRule="exact"/>
              <w:rPr>
                <w:rFonts w:ascii="Arial" w:cs="Arial" w:eastAsia="Arial" w:hAnsi="Arial"/>
                <w:sz w:val="15"/>
                <w:szCs w:val="15"/>
                <w:color w:val="0000EE"/>
              </w:rPr>
            </w:pPr>
            <w:hyperlink r:id="rId128">
              <w:r>
                <w:rPr>
                  <w:rFonts w:ascii="Arial" w:cs="Arial" w:eastAsia="Arial" w:hAnsi="Arial"/>
                  <w:sz w:val="15"/>
                  <w:szCs w:val="15"/>
                  <w:color w:val="0000EE"/>
                </w:rPr>
                <w:t>Weatherford International plc’s Current Report on Form 8-K12B (File No. 1-36504) filed June 17, 2014)</w:t>
              </w:r>
            </w:hyperlink>
          </w:p>
        </w:tc>
        <w:tc>
          <w:tcPr>
            <w:tcW w:w="420" w:type="dxa"/>
            <w:vAlign w:val="bottom"/>
            <w:gridSpan w:val="11"/>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3.2**</w:t>
            </w:r>
          </w:p>
        </w:tc>
        <w:tc>
          <w:tcPr>
            <w:tcW w:w="620" w:type="dxa"/>
            <w:vAlign w:val="bottom"/>
          </w:tcPr>
          <w:p>
            <w:pPr>
              <w:spacing w:after="0"/>
              <w:rPr>
                <w:sz w:val="24"/>
                <w:szCs w:val="24"/>
                <w:color w:val="auto"/>
              </w:rPr>
            </w:pPr>
          </w:p>
        </w:tc>
        <w:tc>
          <w:tcPr>
            <w:tcW w:w="9700" w:type="dxa"/>
            <w:vAlign w:val="bottom"/>
            <w:gridSpan w:val="25"/>
          </w:tcPr>
          <w:p>
            <w:pPr>
              <w:spacing w:after="0"/>
              <w:rPr>
                <w:rFonts w:ascii="Arial" w:cs="Arial" w:eastAsia="Arial" w:hAnsi="Arial"/>
                <w:sz w:val="15"/>
                <w:szCs w:val="15"/>
                <w:color w:val="0000EE"/>
              </w:rPr>
            </w:pPr>
            <w:hyperlink r:id="rId129">
              <w:r>
                <w:rPr>
                  <w:rFonts w:ascii="Arial" w:cs="Arial" w:eastAsia="Arial" w:hAnsi="Arial"/>
                  <w:sz w:val="15"/>
                  <w:szCs w:val="15"/>
                  <w:color w:val="0000EE"/>
                </w:rPr>
                <w:t>Memorandum of Association of Weatherford International Ltd., a Bermuda exempted company (incorporated by reference to Annex II to the proxy</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60" w:type="dxa"/>
            <w:vAlign w:val="bottom"/>
            <w:tcBorders>
              <w:bottom w:val="single" w:sz="8" w:color="0000EE"/>
            </w:tcBorders>
            <w:gridSpan w:val="13"/>
          </w:tcPr>
          <w:p>
            <w:pPr>
              <w:spacing w:after="0" w:line="163" w:lineRule="exact"/>
              <w:rPr>
                <w:rFonts w:ascii="Arial" w:cs="Arial" w:eastAsia="Arial" w:hAnsi="Arial"/>
                <w:sz w:val="15"/>
                <w:szCs w:val="15"/>
                <w:color w:val="0000EE"/>
                <w:w w:val="92"/>
              </w:rPr>
            </w:pPr>
            <w:hyperlink r:id="rId129">
              <w:r>
                <w:rPr>
                  <w:rFonts w:ascii="Arial" w:cs="Arial" w:eastAsia="Arial" w:hAnsi="Arial"/>
                  <w:sz w:val="15"/>
                  <w:szCs w:val="15"/>
                  <w:color w:val="0000EE"/>
                  <w:w w:val="92"/>
                </w:rPr>
                <w:t>statement/prospectus included in Amendment No. 1 to the Registration Statement on Form S-4 of Weatherford International Ltd., a Bermuda exempted</w:t>
              </w:r>
            </w:hyperlink>
          </w:p>
        </w:tc>
        <w:tc>
          <w:tcPr>
            <w:tcW w:w="440" w:type="dxa"/>
            <w:vAlign w:val="bottom"/>
            <w:gridSpan w:val="1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25"/>
          </w:tcPr>
          <w:p>
            <w:pPr>
              <w:spacing w:after="0" w:line="163" w:lineRule="exact"/>
              <w:rPr>
                <w:rFonts w:ascii="Arial" w:cs="Arial" w:eastAsia="Arial" w:hAnsi="Arial"/>
                <w:sz w:val="15"/>
                <w:szCs w:val="15"/>
                <w:color w:val="0000EE"/>
              </w:rPr>
            </w:pPr>
            <w:hyperlink r:id="rId129">
              <w:r>
                <w:rPr>
                  <w:rFonts w:ascii="Arial" w:cs="Arial" w:eastAsia="Arial" w:hAnsi="Arial"/>
                  <w:sz w:val="15"/>
                  <w:szCs w:val="15"/>
                  <w:color w:val="0000EE"/>
                </w:rPr>
                <w:t>company (File No. 333-85644) filed May 22, 2002)</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3.3**</w:t>
            </w:r>
          </w:p>
        </w:tc>
        <w:tc>
          <w:tcPr>
            <w:tcW w:w="620" w:type="dxa"/>
            <w:vAlign w:val="bottom"/>
          </w:tcPr>
          <w:p>
            <w:pPr>
              <w:spacing w:after="0"/>
              <w:rPr>
                <w:sz w:val="24"/>
                <w:szCs w:val="24"/>
                <w:color w:val="auto"/>
              </w:rPr>
            </w:pPr>
          </w:p>
        </w:tc>
        <w:tc>
          <w:tcPr>
            <w:tcW w:w="9700" w:type="dxa"/>
            <w:vAlign w:val="bottom"/>
            <w:gridSpan w:val="25"/>
          </w:tcPr>
          <w:p>
            <w:pPr>
              <w:spacing w:after="0"/>
              <w:rPr>
                <w:rFonts w:ascii="Arial" w:cs="Arial" w:eastAsia="Arial" w:hAnsi="Arial"/>
                <w:sz w:val="15"/>
                <w:szCs w:val="15"/>
                <w:color w:val="0000EE"/>
                <w:w w:val="97"/>
              </w:rPr>
            </w:pPr>
            <w:hyperlink r:id="rId129">
              <w:r>
                <w:rPr>
                  <w:rFonts w:ascii="Arial" w:cs="Arial" w:eastAsia="Arial" w:hAnsi="Arial"/>
                  <w:sz w:val="15"/>
                  <w:szCs w:val="15"/>
                  <w:color w:val="0000EE"/>
                  <w:w w:val="97"/>
                </w:rPr>
                <w:t>Certificate of Deposit of Memorandum of Increase of Share Capital of Weatherford International Ltd., a Bermuda exempted company (incorporated by</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tcBorders>
              <w:bottom w:val="single" w:sz="8" w:color="0000EE"/>
            </w:tcBorders>
            <w:gridSpan w:val="25"/>
          </w:tcPr>
          <w:p>
            <w:pPr>
              <w:spacing w:after="0" w:line="163" w:lineRule="exact"/>
              <w:rPr>
                <w:rFonts w:ascii="Arial" w:cs="Arial" w:eastAsia="Arial" w:hAnsi="Arial"/>
                <w:sz w:val="15"/>
                <w:szCs w:val="15"/>
                <w:color w:val="0000EE"/>
                <w:w w:val="92"/>
              </w:rPr>
            </w:pPr>
            <w:hyperlink r:id="rId129">
              <w:r>
                <w:rPr>
                  <w:rFonts w:ascii="Arial" w:cs="Arial" w:eastAsia="Arial" w:hAnsi="Arial"/>
                  <w:sz w:val="15"/>
                  <w:szCs w:val="15"/>
                  <w:color w:val="0000EE"/>
                  <w:w w:val="92"/>
                </w:rPr>
                <w:t>reference to Annex II to the proxy statement/prospectus included in Amendment No. 1 to the Registration Statement on Form S-4 of Weatherford International</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25"/>
          </w:tcPr>
          <w:p>
            <w:pPr>
              <w:spacing w:after="0" w:line="163" w:lineRule="exact"/>
              <w:rPr>
                <w:rFonts w:ascii="Arial" w:cs="Arial" w:eastAsia="Arial" w:hAnsi="Arial"/>
                <w:sz w:val="15"/>
                <w:szCs w:val="15"/>
                <w:color w:val="0000EE"/>
              </w:rPr>
            </w:pPr>
            <w:hyperlink r:id="rId129">
              <w:r>
                <w:rPr>
                  <w:rFonts w:ascii="Arial" w:cs="Arial" w:eastAsia="Arial" w:hAnsi="Arial"/>
                  <w:sz w:val="15"/>
                  <w:szCs w:val="15"/>
                  <w:color w:val="0000EE"/>
                </w:rPr>
                <w:t>Ltd., a Bermuda exempted company (File No. 333-85644), filed May 22, 2002)</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3.4**</w:t>
            </w:r>
          </w:p>
        </w:tc>
        <w:tc>
          <w:tcPr>
            <w:tcW w:w="620" w:type="dxa"/>
            <w:vAlign w:val="bottom"/>
          </w:tcPr>
          <w:p>
            <w:pPr>
              <w:spacing w:after="0"/>
              <w:rPr>
                <w:sz w:val="24"/>
                <w:szCs w:val="24"/>
                <w:color w:val="auto"/>
              </w:rPr>
            </w:pPr>
          </w:p>
        </w:tc>
        <w:tc>
          <w:tcPr>
            <w:tcW w:w="9700" w:type="dxa"/>
            <w:vAlign w:val="bottom"/>
            <w:gridSpan w:val="25"/>
          </w:tcPr>
          <w:p>
            <w:pPr>
              <w:spacing w:after="0"/>
              <w:rPr>
                <w:rFonts w:ascii="Arial" w:cs="Arial" w:eastAsia="Arial" w:hAnsi="Arial"/>
                <w:sz w:val="15"/>
                <w:szCs w:val="15"/>
                <w:color w:val="0000EE"/>
                <w:w w:val="94"/>
              </w:rPr>
            </w:pPr>
            <w:hyperlink r:id="rId130">
              <w:r>
                <w:rPr>
                  <w:rFonts w:ascii="Arial" w:cs="Arial" w:eastAsia="Arial" w:hAnsi="Arial"/>
                  <w:sz w:val="15"/>
                  <w:szCs w:val="15"/>
                  <w:color w:val="0000EE"/>
                  <w:w w:val="94"/>
                </w:rPr>
                <w:t>Bye-Laws of Weatherford International Ltd., a Bermuda exempted company, as amended on May 10, 2016 (incorporated by reference to Exhibit 3.4 to the</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160" w:type="dxa"/>
            <w:vAlign w:val="bottom"/>
            <w:tcBorders>
              <w:top w:val="single" w:sz="8" w:color="0000EE"/>
              <w:bottom w:val="single" w:sz="8" w:color="0000EE"/>
            </w:tcBorders>
            <w:gridSpan w:val="8"/>
          </w:tcPr>
          <w:p>
            <w:pPr>
              <w:spacing w:after="0" w:line="163" w:lineRule="exact"/>
              <w:rPr>
                <w:rFonts w:ascii="Arial" w:cs="Arial" w:eastAsia="Arial" w:hAnsi="Arial"/>
                <w:sz w:val="15"/>
                <w:szCs w:val="15"/>
                <w:color w:val="0000EE"/>
                <w:w w:val="93"/>
              </w:rPr>
            </w:pPr>
            <w:hyperlink r:id="rId130">
              <w:r>
                <w:rPr>
                  <w:rFonts w:ascii="Arial" w:cs="Arial" w:eastAsia="Arial" w:hAnsi="Arial"/>
                  <w:sz w:val="15"/>
                  <w:szCs w:val="15"/>
                  <w:color w:val="0000EE"/>
                  <w:w w:val="93"/>
                </w:rPr>
                <w:t>Registration Statement on Form S-3 of Weatherford International plc (File No. 333-216034) filed February 13, 2017)</w:t>
              </w:r>
            </w:hyperlink>
          </w:p>
        </w:tc>
        <w:tc>
          <w:tcPr>
            <w:tcW w:w="2280" w:type="dxa"/>
            <w:vAlign w:val="bottom"/>
            <w:tcBorders>
              <w:top w:val="single" w:sz="8" w:color="0000EE"/>
            </w:tcBorders>
            <w:gridSpan w:val="9"/>
          </w:tcPr>
          <w:p>
            <w:pPr>
              <w:spacing w:after="0"/>
              <w:rPr>
                <w:sz w:val="14"/>
                <w:szCs w:val="14"/>
                <w:color w:val="auto"/>
              </w:rPr>
            </w:pPr>
          </w:p>
        </w:tc>
        <w:tc>
          <w:tcPr>
            <w:tcW w:w="260" w:type="dxa"/>
            <w:vAlign w:val="bottom"/>
            <w:gridSpan w:val="8"/>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3.5**</w:t>
            </w:r>
          </w:p>
        </w:tc>
        <w:tc>
          <w:tcPr>
            <w:tcW w:w="620" w:type="dxa"/>
            <w:vAlign w:val="bottom"/>
          </w:tcPr>
          <w:p>
            <w:pPr>
              <w:spacing w:after="0"/>
              <w:rPr>
                <w:sz w:val="24"/>
                <w:szCs w:val="24"/>
                <w:color w:val="auto"/>
              </w:rPr>
            </w:pPr>
          </w:p>
        </w:tc>
        <w:tc>
          <w:tcPr>
            <w:tcW w:w="9480" w:type="dxa"/>
            <w:vAlign w:val="bottom"/>
            <w:tcBorders>
              <w:bottom w:val="single" w:sz="8" w:color="0000EE"/>
            </w:tcBorders>
            <w:gridSpan w:val="18"/>
          </w:tcPr>
          <w:p>
            <w:pPr>
              <w:spacing w:after="0"/>
              <w:rPr>
                <w:rFonts w:ascii="Arial" w:cs="Arial" w:eastAsia="Arial" w:hAnsi="Arial"/>
                <w:sz w:val="15"/>
                <w:szCs w:val="15"/>
                <w:color w:val="0000EE"/>
                <w:w w:val="92"/>
              </w:rPr>
            </w:pPr>
            <w:hyperlink r:id="rId131">
              <w:r>
                <w:rPr>
                  <w:rFonts w:ascii="Arial" w:cs="Arial" w:eastAsia="Arial" w:hAnsi="Arial"/>
                  <w:sz w:val="15"/>
                  <w:szCs w:val="15"/>
                  <w:color w:val="0000EE"/>
                  <w:w w:val="92"/>
                </w:rPr>
                <w:t>Certificate of Assistant Secretary of Weatherford International Ltd., a Bermuda exempted company, as to the adoption of a resolution increasing authorized</w:t>
              </w:r>
            </w:hyperlink>
          </w:p>
        </w:tc>
        <w:tc>
          <w:tcPr>
            <w:tcW w:w="220" w:type="dxa"/>
            <w:vAlign w:val="bottom"/>
            <w:gridSpan w:val="7"/>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20" w:type="dxa"/>
            <w:vAlign w:val="bottom"/>
            <w:tcBorders>
              <w:bottom w:val="single" w:sz="8" w:color="0000EE"/>
            </w:tcBorders>
            <w:gridSpan w:val="20"/>
          </w:tcPr>
          <w:p>
            <w:pPr>
              <w:spacing w:after="0" w:line="163" w:lineRule="exact"/>
              <w:rPr>
                <w:rFonts w:ascii="Arial" w:cs="Arial" w:eastAsia="Arial" w:hAnsi="Arial"/>
                <w:sz w:val="15"/>
                <w:szCs w:val="15"/>
                <w:color w:val="0000EE"/>
                <w:w w:val="92"/>
              </w:rPr>
            </w:pPr>
            <w:hyperlink r:id="rId131">
              <w:r>
                <w:rPr>
                  <w:rFonts w:ascii="Arial" w:cs="Arial" w:eastAsia="Arial" w:hAnsi="Arial"/>
                  <w:sz w:val="15"/>
                  <w:szCs w:val="15"/>
                  <w:color w:val="0000EE"/>
                  <w:w w:val="92"/>
                </w:rPr>
                <w:t>share capital (incorporated by reference to Exhibit 4.1 to the Current Report on Form 8-K of Weatherford International Ltd., a Bermuda exempted company</w:t>
              </w:r>
            </w:hyperlink>
          </w:p>
        </w:tc>
        <w:tc>
          <w:tcPr>
            <w:tcW w:w="180" w:type="dxa"/>
            <w:vAlign w:val="bottom"/>
            <w:gridSpan w:val="5"/>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60" w:type="dxa"/>
            <w:vAlign w:val="bottom"/>
            <w:tcBorders>
              <w:bottom w:val="single" w:sz="8" w:color="0000EE"/>
            </w:tcBorders>
            <w:gridSpan w:val="2"/>
          </w:tcPr>
          <w:p>
            <w:pPr>
              <w:spacing w:after="0" w:line="163" w:lineRule="exact"/>
              <w:rPr>
                <w:rFonts w:ascii="Arial" w:cs="Arial" w:eastAsia="Arial" w:hAnsi="Arial"/>
                <w:sz w:val="15"/>
                <w:szCs w:val="15"/>
                <w:color w:val="0000EE"/>
                <w:w w:val="95"/>
              </w:rPr>
            </w:pPr>
            <w:hyperlink r:id="rId131">
              <w:r>
                <w:rPr>
                  <w:rFonts w:ascii="Arial" w:cs="Arial" w:eastAsia="Arial" w:hAnsi="Arial"/>
                  <w:sz w:val="15"/>
                  <w:szCs w:val="15"/>
                  <w:color w:val="0000EE"/>
                  <w:w w:val="95"/>
                </w:rPr>
                <w:t>(File No. 1-31339), filed May 15, 2006)</w:t>
              </w:r>
            </w:hyperlink>
          </w:p>
        </w:tc>
        <w:tc>
          <w:tcPr>
            <w:tcW w:w="7240" w:type="dxa"/>
            <w:vAlign w:val="bottom"/>
            <w:gridSpan w:val="23"/>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3.6**</w:t>
            </w:r>
          </w:p>
        </w:tc>
        <w:tc>
          <w:tcPr>
            <w:tcW w:w="62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5"/>
                <w:szCs w:val="15"/>
                <w:color w:val="0000EE"/>
                <w:w w:val="94"/>
              </w:rPr>
            </w:pPr>
            <w:hyperlink r:id="rId132">
              <w:r>
                <w:rPr>
                  <w:rFonts w:ascii="Arial" w:cs="Arial" w:eastAsia="Arial" w:hAnsi="Arial"/>
                  <w:sz w:val="15"/>
                  <w:szCs w:val="15"/>
                  <w:color w:val="0000EE"/>
                  <w:w w:val="94"/>
                </w:rPr>
                <w:t>Certificate of Formation of Weatherford International, LLC, a Delaware limited liability company (incorporated by reference to Exhibit 4.7 to the Registration</w:t>
              </w:r>
            </w:hyperlink>
          </w:p>
        </w:tc>
        <w:tc>
          <w:tcPr>
            <w:tcW w:w="20" w:type="dxa"/>
            <w:vAlign w:val="bottom"/>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20" w:type="dxa"/>
            <w:vAlign w:val="bottom"/>
            <w:tcBorders>
              <w:bottom w:val="single" w:sz="8" w:color="0000EE"/>
            </w:tcBorders>
            <w:gridSpan w:val="9"/>
          </w:tcPr>
          <w:p>
            <w:pPr>
              <w:spacing w:after="0" w:line="163" w:lineRule="exact"/>
              <w:rPr>
                <w:rFonts w:ascii="Arial" w:cs="Arial" w:eastAsia="Arial" w:hAnsi="Arial"/>
                <w:sz w:val="15"/>
                <w:szCs w:val="15"/>
                <w:color w:val="0000EE"/>
                <w:w w:val="93"/>
              </w:rPr>
            </w:pPr>
            <w:hyperlink r:id="rId132">
              <w:r>
                <w:rPr>
                  <w:rFonts w:ascii="Arial" w:cs="Arial" w:eastAsia="Arial" w:hAnsi="Arial"/>
                  <w:sz w:val="15"/>
                  <w:szCs w:val="15"/>
                  <w:color w:val="0000EE"/>
                  <w:w w:val="93"/>
                </w:rPr>
                <w:t>Statement on Form S-3 of Weatherford International Ltd., a Swiss joint-stock corporation (File No. 333-194431), filed March 7, 2014)</w:t>
              </w:r>
            </w:hyperlink>
          </w:p>
        </w:tc>
        <w:tc>
          <w:tcPr>
            <w:tcW w:w="1480" w:type="dxa"/>
            <w:vAlign w:val="bottom"/>
            <w:gridSpan w:val="16"/>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3.7**</w:t>
            </w:r>
          </w:p>
        </w:tc>
        <w:tc>
          <w:tcPr>
            <w:tcW w:w="620" w:type="dxa"/>
            <w:vAlign w:val="bottom"/>
          </w:tcPr>
          <w:p>
            <w:pPr>
              <w:spacing w:after="0"/>
              <w:rPr>
                <w:sz w:val="24"/>
                <w:szCs w:val="24"/>
                <w:color w:val="auto"/>
              </w:rPr>
            </w:pPr>
          </w:p>
        </w:tc>
        <w:tc>
          <w:tcPr>
            <w:tcW w:w="9580" w:type="dxa"/>
            <w:vAlign w:val="bottom"/>
            <w:tcBorders>
              <w:bottom w:val="single" w:sz="8" w:color="0000EE"/>
            </w:tcBorders>
            <w:gridSpan w:val="22"/>
          </w:tcPr>
          <w:p>
            <w:pPr>
              <w:spacing w:after="0"/>
              <w:rPr>
                <w:rFonts w:ascii="Arial" w:cs="Arial" w:eastAsia="Arial" w:hAnsi="Arial"/>
                <w:sz w:val="15"/>
                <w:szCs w:val="15"/>
                <w:color w:val="0000EE"/>
                <w:w w:val="94"/>
              </w:rPr>
            </w:pPr>
            <w:hyperlink r:id="rId133">
              <w:r>
                <w:rPr>
                  <w:rFonts w:ascii="Arial" w:cs="Arial" w:eastAsia="Arial" w:hAnsi="Arial"/>
                  <w:sz w:val="15"/>
                  <w:szCs w:val="15"/>
                  <w:color w:val="0000EE"/>
                  <w:w w:val="94"/>
                </w:rPr>
                <w:t>Limited Liability Company Agreement of Weatherford International, LLC, a Delaware limited liability company (incorporated by reference to Exhibit 4.8 to</w:t>
              </w:r>
            </w:hyperlink>
          </w:p>
        </w:tc>
        <w:tc>
          <w:tcPr>
            <w:tcW w:w="120" w:type="dxa"/>
            <w:vAlign w:val="bottom"/>
            <w:gridSpan w:val="3"/>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25"/>
          </w:tcPr>
          <w:p>
            <w:pPr>
              <w:spacing w:after="0" w:line="163" w:lineRule="exact"/>
              <w:rPr>
                <w:rFonts w:ascii="Arial" w:cs="Arial" w:eastAsia="Arial" w:hAnsi="Arial"/>
                <w:sz w:val="15"/>
                <w:szCs w:val="15"/>
                <w:color w:val="0000EE"/>
                <w:w w:val="98"/>
              </w:rPr>
            </w:pPr>
            <w:hyperlink r:id="rId133">
              <w:r>
                <w:rPr>
                  <w:rFonts w:ascii="Arial" w:cs="Arial" w:eastAsia="Arial" w:hAnsi="Arial"/>
                  <w:sz w:val="15"/>
                  <w:szCs w:val="15"/>
                  <w:color w:val="0000EE"/>
                  <w:w w:val="98"/>
                </w:rPr>
                <w:t>the Registration Statement on Form S-3 of Weatherford International Ltd., a Swiss joint-stock corporation (File No. 333-194431), filed March 7, 2014)</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4.1**</w:t>
            </w:r>
          </w:p>
        </w:tc>
        <w:tc>
          <w:tcPr>
            <w:tcW w:w="620" w:type="dxa"/>
            <w:vAlign w:val="bottom"/>
          </w:tcPr>
          <w:p>
            <w:pPr>
              <w:spacing w:after="0"/>
              <w:rPr>
                <w:sz w:val="24"/>
                <w:szCs w:val="24"/>
                <w:color w:val="auto"/>
              </w:rPr>
            </w:pPr>
          </w:p>
        </w:tc>
        <w:tc>
          <w:tcPr>
            <w:tcW w:w="9600" w:type="dxa"/>
            <w:vAlign w:val="bottom"/>
            <w:tcBorders>
              <w:bottom w:val="single" w:sz="8" w:color="0000EE"/>
            </w:tcBorders>
            <w:gridSpan w:val="23"/>
          </w:tcPr>
          <w:p>
            <w:pPr>
              <w:spacing w:after="0"/>
              <w:rPr>
                <w:rFonts w:ascii="Arial" w:cs="Arial" w:eastAsia="Arial" w:hAnsi="Arial"/>
                <w:sz w:val="15"/>
                <w:szCs w:val="15"/>
                <w:color w:val="0000EE"/>
                <w:w w:val="92"/>
              </w:rPr>
            </w:pPr>
            <w:hyperlink r:id="rId134">
              <w:r>
                <w:rPr>
                  <w:rFonts w:ascii="Arial" w:cs="Arial" w:eastAsia="Arial" w:hAnsi="Arial"/>
                  <w:sz w:val="15"/>
                  <w:szCs w:val="15"/>
                  <w:color w:val="0000EE"/>
                  <w:w w:val="92"/>
                </w:rPr>
                <w:t>Indenture dated October 1, 2003, among Weatherford International Ltd., a Bermuda exempted company, Weatherford International, LLC, a Delaware limited</w:t>
              </w:r>
            </w:hyperlink>
          </w:p>
        </w:tc>
        <w:tc>
          <w:tcPr>
            <w:tcW w:w="100" w:type="dxa"/>
            <w:vAlign w:val="bottom"/>
            <w:gridSpan w:val="2"/>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40" w:type="dxa"/>
            <w:vAlign w:val="bottom"/>
            <w:tcBorders>
              <w:bottom w:val="single" w:sz="8" w:color="0000EE"/>
            </w:tcBorders>
            <w:gridSpan w:val="12"/>
          </w:tcPr>
          <w:p>
            <w:pPr>
              <w:spacing w:after="0" w:line="163" w:lineRule="exact"/>
              <w:rPr>
                <w:rFonts w:ascii="Arial" w:cs="Arial" w:eastAsia="Arial" w:hAnsi="Arial"/>
                <w:sz w:val="15"/>
                <w:szCs w:val="15"/>
                <w:color w:val="0000EE"/>
                <w:w w:val="92"/>
              </w:rPr>
            </w:pPr>
            <w:hyperlink r:id="rId134">
              <w:r>
                <w:rPr>
                  <w:rFonts w:ascii="Arial" w:cs="Arial" w:eastAsia="Arial" w:hAnsi="Arial"/>
                  <w:sz w:val="15"/>
                  <w:szCs w:val="15"/>
                  <w:color w:val="0000EE"/>
                  <w:w w:val="92"/>
                </w:rPr>
                <w:t>liability company, and Deutsche Bank Trust Company Americas, as trustee (incorporated by reference to Exhibit 4.1 to Current Report on Form 8-K of</w:t>
              </w:r>
            </w:hyperlink>
          </w:p>
        </w:tc>
        <w:tc>
          <w:tcPr>
            <w:tcW w:w="460" w:type="dxa"/>
            <w:vAlign w:val="bottom"/>
            <w:gridSpan w:val="13"/>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60" w:type="dxa"/>
            <w:vAlign w:val="bottom"/>
            <w:tcBorders>
              <w:bottom w:val="single" w:sz="8" w:color="0000EE"/>
            </w:tcBorders>
            <w:gridSpan w:val="7"/>
          </w:tcPr>
          <w:p>
            <w:pPr>
              <w:spacing w:after="0" w:line="163" w:lineRule="exact"/>
              <w:rPr>
                <w:rFonts w:ascii="Arial" w:cs="Arial" w:eastAsia="Arial" w:hAnsi="Arial"/>
                <w:sz w:val="15"/>
                <w:szCs w:val="15"/>
                <w:color w:val="0000EE"/>
                <w:w w:val="92"/>
              </w:rPr>
            </w:pPr>
            <w:hyperlink r:id="rId134">
              <w:r>
                <w:rPr>
                  <w:rFonts w:ascii="Arial" w:cs="Arial" w:eastAsia="Arial" w:hAnsi="Arial"/>
                  <w:sz w:val="15"/>
                  <w:szCs w:val="15"/>
                  <w:color w:val="0000EE"/>
                  <w:w w:val="92"/>
                </w:rPr>
                <w:t>Weatherford International Ltd., a Bermuda exempted company (File No. 1-31339), filed October 2, 2003)</w:t>
              </w:r>
            </w:hyperlink>
          </w:p>
        </w:tc>
        <w:tc>
          <w:tcPr>
            <w:tcW w:w="3240" w:type="dxa"/>
            <w:vAlign w:val="bottom"/>
            <w:gridSpan w:val="18"/>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4.2**</w:t>
            </w:r>
          </w:p>
        </w:tc>
        <w:tc>
          <w:tcPr>
            <w:tcW w:w="62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5"/>
                <w:szCs w:val="15"/>
                <w:color w:val="0000EE"/>
                <w:w w:val="92"/>
              </w:rPr>
            </w:pPr>
            <w:hyperlink r:id="rId135">
              <w:r>
                <w:rPr>
                  <w:rFonts w:ascii="Arial" w:cs="Arial" w:eastAsia="Arial" w:hAnsi="Arial"/>
                  <w:sz w:val="15"/>
                  <w:szCs w:val="15"/>
                  <w:color w:val="0000EE"/>
                  <w:w w:val="92"/>
                </w:rPr>
                <w:t>First Supplemental Indenture dated March 25, 2008, among Weatherford International Ltd., a Bermuda exempted company, Weatherford International, LLC, a</w:t>
              </w:r>
            </w:hyperlink>
          </w:p>
        </w:tc>
        <w:tc>
          <w:tcPr>
            <w:tcW w:w="20" w:type="dxa"/>
            <w:vAlign w:val="bottom"/>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25"/>
          </w:tcPr>
          <w:p>
            <w:pPr>
              <w:spacing w:after="0" w:line="163" w:lineRule="exact"/>
              <w:rPr>
                <w:rFonts w:ascii="Arial" w:cs="Arial" w:eastAsia="Arial" w:hAnsi="Arial"/>
                <w:sz w:val="15"/>
                <w:szCs w:val="15"/>
                <w:color w:val="0000EE"/>
                <w:w w:val="94"/>
              </w:rPr>
            </w:pPr>
            <w:hyperlink r:id="rId135">
              <w:r>
                <w:rPr>
                  <w:rFonts w:ascii="Arial" w:cs="Arial" w:eastAsia="Arial" w:hAnsi="Arial"/>
                  <w:sz w:val="15"/>
                  <w:szCs w:val="15"/>
                  <w:color w:val="0000EE"/>
                  <w:w w:val="94"/>
                </w:rPr>
                <w:t>Delaware limited liability company, and Deutsche Bank Trust Company Americas, as trustee, to the Indenture dated October 1, 2003 (including the form of</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40" w:type="dxa"/>
            <w:vAlign w:val="bottom"/>
            <w:tcBorders>
              <w:top w:val="single" w:sz="8" w:color="0000EE"/>
              <w:bottom w:val="single" w:sz="8" w:color="0000EE"/>
            </w:tcBorders>
            <w:gridSpan w:val="15"/>
          </w:tcPr>
          <w:p>
            <w:pPr>
              <w:spacing w:after="0" w:line="163" w:lineRule="exact"/>
              <w:rPr>
                <w:rFonts w:ascii="Arial" w:cs="Arial" w:eastAsia="Arial" w:hAnsi="Arial"/>
                <w:sz w:val="15"/>
                <w:szCs w:val="15"/>
                <w:color w:val="0000EE"/>
                <w:w w:val="92"/>
              </w:rPr>
            </w:pPr>
            <w:hyperlink r:id="rId135">
              <w:r>
                <w:rPr>
                  <w:rFonts w:ascii="Arial" w:cs="Arial" w:eastAsia="Arial" w:hAnsi="Arial"/>
                  <w:sz w:val="15"/>
                  <w:szCs w:val="15"/>
                  <w:color w:val="0000EE"/>
                  <w:w w:val="92"/>
                </w:rPr>
                <w:t>notes issued pursuant thereto) (incorporated by reference to Exhibit 4.1 to the Current Report on Form 8-K of Weatherford International Ltd., a Bermuda</w:t>
              </w:r>
            </w:hyperlink>
          </w:p>
        </w:tc>
        <w:tc>
          <w:tcPr>
            <w:tcW w:w="160" w:type="dxa"/>
            <w:vAlign w:val="bottom"/>
            <w:tcBorders>
              <w:top w:val="single" w:sz="8" w:color="0000EE"/>
            </w:tcBorders>
            <w:gridSpan w:val="4"/>
          </w:tcPr>
          <w:p>
            <w:pPr>
              <w:spacing w:after="0"/>
              <w:rPr>
                <w:sz w:val="14"/>
                <w:szCs w:val="14"/>
                <w:color w:val="auto"/>
              </w:rPr>
            </w:pPr>
          </w:p>
        </w:tc>
        <w:tc>
          <w:tcPr>
            <w:tcW w:w="200" w:type="dxa"/>
            <w:vAlign w:val="bottom"/>
            <w:gridSpan w:val="6"/>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0" w:type="dxa"/>
            <w:vAlign w:val="bottom"/>
            <w:tcBorders>
              <w:bottom w:val="single" w:sz="8" w:color="0000EE"/>
            </w:tcBorders>
            <w:gridSpan w:val="4"/>
          </w:tcPr>
          <w:p>
            <w:pPr>
              <w:spacing w:after="0" w:line="163" w:lineRule="exact"/>
              <w:rPr>
                <w:rFonts w:ascii="Arial" w:cs="Arial" w:eastAsia="Arial" w:hAnsi="Arial"/>
                <w:sz w:val="15"/>
                <w:szCs w:val="15"/>
                <w:color w:val="0000EE"/>
                <w:w w:val="93"/>
              </w:rPr>
            </w:pPr>
            <w:hyperlink r:id="rId135">
              <w:r>
                <w:rPr>
                  <w:rFonts w:ascii="Arial" w:cs="Arial" w:eastAsia="Arial" w:hAnsi="Arial"/>
                  <w:sz w:val="15"/>
                  <w:szCs w:val="15"/>
                  <w:color w:val="0000EE"/>
                  <w:w w:val="93"/>
                </w:rPr>
                <w:t>exempted company (File No. 1-31339), filed March 25, 2008)</w:t>
              </w:r>
            </w:hyperlink>
          </w:p>
        </w:tc>
        <w:tc>
          <w:tcPr>
            <w:tcW w:w="5900" w:type="dxa"/>
            <w:vAlign w:val="bottom"/>
            <w:gridSpan w:val="21"/>
          </w:tcPr>
          <w:p>
            <w:pPr>
              <w:spacing w:after="0"/>
              <w:rPr>
                <w:sz w:val="14"/>
                <w:szCs w:val="14"/>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jc w:val="right"/>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4.3**</w:t>
            </w:r>
          </w:p>
        </w:tc>
        <w:tc>
          <w:tcPr>
            <w:tcW w:w="62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rFonts w:ascii="Arial" w:cs="Arial" w:eastAsia="Arial" w:hAnsi="Arial"/>
                <w:sz w:val="15"/>
                <w:szCs w:val="15"/>
                <w:color w:val="0000EE"/>
                <w:w w:val="91"/>
              </w:rPr>
            </w:pPr>
            <w:hyperlink r:id="rId137">
              <w:r>
                <w:rPr>
                  <w:rFonts w:ascii="Arial" w:cs="Arial" w:eastAsia="Arial" w:hAnsi="Arial"/>
                  <w:sz w:val="15"/>
                  <w:szCs w:val="15"/>
                  <w:color w:val="0000EE"/>
                  <w:w w:val="91"/>
                </w:rPr>
                <w:t>Second Supplemental Indenture dated January 8, 2009, among Weatherford International Ltd., a Bermuda exempted company, Weatherford International,</w:t>
              </w:r>
            </w:hyperlink>
          </w:p>
        </w:tc>
        <w:tc>
          <w:tcPr>
            <w:tcW w:w="340" w:type="dxa"/>
            <w:vAlign w:val="bottom"/>
            <w:gridSpan w:val="9"/>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80" w:type="dxa"/>
            <w:vAlign w:val="bottom"/>
            <w:tcBorders>
              <w:bottom w:val="single" w:sz="8" w:color="0000EE"/>
            </w:tcBorders>
            <w:gridSpan w:val="16"/>
          </w:tcPr>
          <w:p>
            <w:pPr>
              <w:spacing w:after="0" w:line="163" w:lineRule="exact"/>
              <w:rPr>
                <w:rFonts w:ascii="Arial" w:cs="Arial" w:eastAsia="Arial" w:hAnsi="Arial"/>
                <w:sz w:val="15"/>
                <w:szCs w:val="15"/>
                <w:color w:val="0000EE"/>
                <w:w w:val="92"/>
              </w:rPr>
            </w:pPr>
            <w:hyperlink r:id="rId137">
              <w:r>
                <w:rPr>
                  <w:rFonts w:ascii="Arial" w:cs="Arial" w:eastAsia="Arial" w:hAnsi="Arial"/>
                  <w:sz w:val="15"/>
                  <w:szCs w:val="15"/>
                  <w:color w:val="0000EE"/>
                  <w:w w:val="92"/>
                </w:rPr>
                <w:t>LLC, a Delaware limited liability company, and Deutsche Bank Trust Company Americas, as trustee, to the Indenture dated October 1, 2003 (including the</w:t>
              </w:r>
            </w:hyperlink>
          </w:p>
        </w:tc>
        <w:tc>
          <w:tcPr>
            <w:tcW w:w="240" w:type="dxa"/>
            <w:vAlign w:val="bottom"/>
            <w:gridSpan w:val="5"/>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40" w:type="dxa"/>
            <w:vAlign w:val="bottom"/>
            <w:tcBorders>
              <w:bottom w:val="single" w:sz="8" w:color="0000EE"/>
            </w:tcBorders>
            <w:gridSpan w:val="11"/>
          </w:tcPr>
          <w:p>
            <w:pPr>
              <w:spacing w:after="0" w:line="163" w:lineRule="exact"/>
              <w:rPr>
                <w:rFonts w:ascii="Arial" w:cs="Arial" w:eastAsia="Arial" w:hAnsi="Arial"/>
                <w:sz w:val="15"/>
                <w:szCs w:val="15"/>
                <w:color w:val="0000EE"/>
                <w:w w:val="92"/>
              </w:rPr>
            </w:pPr>
            <w:hyperlink r:id="rId137">
              <w:r>
                <w:rPr>
                  <w:rFonts w:ascii="Arial" w:cs="Arial" w:eastAsia="Arial" w:hAnsi="Arial"/>
                  <w:sz w:val="15"/>
                  <w:szCs w:val="15"/>
                  <w:color w:val="0000EE"/>
                  <w:w w:val="92"/>
                </w:rPr>
                <w:t>form of notes issued pursuant thereto) (incorporated by reference to Exhibit 4.1 to the Current Report on Form 8-K of Weatherford International Ltd., a</w:t>
              </w:r>
            </w:hyperlink>
          </w:p>
        </w:tc>
        <w:tc>
          <w:tcPr>
            <w:tcW w:w="480" w:type="dxa"/>
            <w:vAlign w:val="bottom"/>
            <w:gridSpan w:val="10"/>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0" w:type="dxa"/>
            <w:vAlign w:val="bottom"/>
            <w:tcBorders>
              <w:bottom w:val="single" w:sz="8" w:color="0000EE"/>
            </w:tcBorders>
            <w:gridSpan w:val="2"/>
          </w:tcPr>
          <w:p>
            <w:pPr>
              <w:spacing w:after="0" w:line="163" w:lineRule="exact"/>
              <w:rPr>
                <w:rFonts w:ascii="Arial" w:cs="Arial" w:eastAsia="Arial" w:hAnsi="Arial"/>
                <w:sz w:val="15"/>
                <w:szCs w:val="15"/>
                <w:color w:val="0000EE"/>
                <w:w w:val="92"/>
              </w:rPr>
            </w:pPr>
            <w:hyperlink r:id="rId137">
              <w:r>
                <w:rPr>
                  <w:rFonts w:ascii="Arial" w:cs="Arial" w:eastAsia="Arial" w:hAnsi="Arial"/>
                  <w:sz w:val="15"/>
                  <w:szCs w:val="15"/>
                  <w:color w:val="0000EE"/>
                  <w:w w:val="92"/>
                </w:rPr>
                <w:t>Bermuda exempted company (File No. 1-31339), filed January 8, 2009)</w:t>
              </w:r>
            </w:hyperlink>
          </w:p>
        </w:tc>
        <w:tc>
          <w:tcPr>
            <w:tcW w:w="5320" w:type="dxa"/>
            <w:vAlign w:val="bottom"/>
            <w:gridSpan w:val="19"/>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4.4**</w:t>
            </w:r>
          </w:p>
        </w:tc>
        <w:tc>
          <w:tcPr>
            <w:tcW w:w="62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5"/>
                <w:szCs w:val="15"/>
                <w:color w:val="0000EE"/>
                <w:w w:val="92"/>
              </w:rPr>
            </w:pPr>
            <w:hyperlink r:id="rId138">
              <w:r>
                <w:rPr>
                  <w:rFonts w:ascii="Arial" w:cs="Arial" w:eastAsia="Arial" w:hAnsi="Arial"/>
                  <w:sz w:val="15"/>
                  <w:szCs w:val="15"/>
                  <w:color w:val="0000EE"/>
                  <w:w w:val="92"/>
                </w:rPr>
                <w:t>Third Supplemental Indenture dated February 26, 2009, among Weatherford International Ltd., a Bermuda exempted company, Weatherford International,</w:t>
              </w:r>
            </w:hyperlink>
          </w:p>
        </w:tc>
        <w:tc>
          <w:tcPr>
            <w:tcW w:w="300" w:type="dxa"/>
            <w:vAlign w:val="bottom"/>
            <w:gridSpan w:val="7"/>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bottom w:val="single" w:sz="8" w:color="0000EE"/>
            </w:tcBorders>
            <w:gridSpan w:val="18"/>
          </w:tcPr>
          <w:p>
            <w:pPr>
              <w:spacing w:after="0" w:line="163" w:lineRule="exact"/>
              <w:rPr>
                <w:rFonts w:ascii="Arial" w:cs="Arial" w:eastAsia="Arial" w:hAnsi="Arial"/>
                <w:sz w:val="15"/>
                <w:szCs w:val="15"/>
                <w:color w:val="0000EE"/>
                <w:w w:val="93"/>
              </w:rPr>
            </w:pPr>
            <w:hyperlink r:id="rId138">
              <w:r>
                <w:rPr>
                  <w:rFonts w:ascii="Arial" w:cs="Arial" w:eastAsia="Arial" w:hAnsi="Arial"/>
                  <w:sz w:val="15"/>
                  <w:szCs w:val="15"/>
                  <w:color w:val="0000EE"/>
                  <w:w w:val="93"/>
                </w:rPr>
                <w:t>LLC, a Delaware limited liability company, Weatherford International Ltd., a Swiss joint-stock corporation, and Deutsche Bank Trust Company Americas, as</w:t>
              </w:r>
            </w:hyperlink>
          </w:p>
        </w:tc>
        <w:tc>
          <w:tcPr>
            <w:tcW w:w="100" w:type="dxa"/>
            <w:vAlign w:val="bottom"/>
            <w:gridSpan w:val="3"/>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00" w:type="dxa"/>
            <w:vAlign w:val="bottom"/>
            <w:tcBorders>
              <w:bottom w:val="single" w:sz="8" w:color="0000EE"/>
            </w:tcBorders>
            <w:gridSpan w:val="9"/>
          </w:tcPr>
          <w:p>
            <w:pPr>
              <w:spacing w:after="0" w:line="163" w:lineRule="exact"/>
              <w:rPr>
                <w:rFonts w:ascii="Arial" w:cs="Arial" w:eastAsia="Arial" w:hAnsi="Arial"/>
                <w:sz w:val="15"/>
                <w:szCs w:val="15"/>
                <w:color w:val="0000EE"/>
                <w:w w:val="92"/>
              </w:rPr>
            </w:pPr>
            <w:hyperlink r:id="rId138">
              <w:r>
                <w:rPr>
                  <w:rFonts w:ascii="Arial" w:cs="Arial" w:eastAsia="Arial" w:hAnsi="Arial"/>
                  <w:sz w:val="15"/>
                  <w:szCs w:val="15"/>
                  <w:color w:val="0000EE"/>
                  <w:w w:val="92"/>
                </w:rPr>
                <w:t>trustee, to the Indenture dated as of October 1, 2003 (incorporated by reference to Exhibit 4.2 to the Current Report on Form 8-K12B of Weatherford</w:t>
              </w:r>
            </w:hyperlink>
          </w:p>
        </w:tc>
        <w:tc>
          <w:tcPr>
            <w:tcW w:w="620" w:type="dxa"/>
            <w:vAlign w:val="bottom"/>
            <w:gridSpan w:val="1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0" w:type="dxa"/>
            <w:vAlign w:val="bottom"/>
            <w:tcBorders>
              <w:bottom w:val="single" w:sz="8" w:color="0000EE"/>
            </w:tcBorders>
            <w:gridSpan w:val="5"/>
          </w:tcPr>
          <w:p>
            <w:pPr>
              <w:spacing w:after="0" w:line="163" w:lineRule="exact"/>
              <w:rPr>
                <w:rFonts w:ascii="Arial" w:cs="Arial" w:eastAsia="Arial" w:hAnsi="Arial"/>
                <w:sz w:val="15"/>
                <w:szCs w:val="15"/>
                <w:color w:val="0000EE"/>
                <w:w w:val="93"/>
              </w:rPr>
            </w:pPr>
            <w:hyperlink r:id="rId138">
              <w:r>
                <w:rPr>
                  <w:rFonts w:ascii="Arial" w:cs="Arial" w:eastAsia="Arial" w:hAnsi="Arial"/>
                  <w:sz w:val="15"/>
                  <w:szCs w:val="15"/>
                  <w:color w:val="0000EE"/>
                  <w:w w:val="93"/>
                </w:rPr>
                <w:t>International Ltd., a Swiss joint-stock corporation (File No. 1-34258), filed February 26, 2009)</w:t>
              </w:r>
            </w:hyperlink>
          </w:p>
        </w:tc>
        <w:tc>
          <w:tcPr>
            <w:tcW w:w="3920" w:type="dxa"/>
            <w:vAlign w:val="bottom"/>
            <w:gridSpan w:val="16"/>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4.5**</w:t>
            </w:r>
          </w:p>
        </w:tc>
        <w:tc>
          <w:tcPr>
            <w:tcW w:w="62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5"/>
                <w:szCs w:val="15"/>
                <w:color w:val="0000EE"/>
                <w:w w:val="98"/>
              </w:rPr>
            </w:pPr>
            <w:hyperlink r:id="rId139">
              <w:r>
                <w:rPr>
                  <w:rFonts w:ascii="Arial" w:cs="Arial" w:eastAsia="Arial" w:hAnsi="Arial"/>
                  <w:sz w:val="15"/>
                  <w:szCs w:val="15"/>
                  <w:color w:val="0000EE"/>
                  <w:w w:val="98"/>
                </w:rPr>
                <w:t>Fourth Supplemental Indenture dated as of September 23, 2010, among Weatherford International Ltd., a Bermuda exempted company, Weatherford</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1"/>
          </w:tcPr>
          <w:p>
            <w:pPr>
              <w:spacing w:after="0" w:line="163" w:lineRule="exact"/>
              <w:rPr>
                <w:rFonts w:ascii="Arial" w:cs="Arial" w:eastAsia="Arial" w:hAnsi="Arial"/>
                <w:sz w:val="15"/>
                <w:szCs w:val="15"/>
                <w:color w:val="0000EE"/>
                <w:w w:val="94"/>
              </w:rPr>
            </w:pPr>
            <w:hyperlink r:id="rId139">
              <w:r>
                <w:rPr>
                  <w:rFonts w:ascii="Arial" w:cs="Arial" w:eastAsia="Arial" w:hAnsi="Arial"/>
                  <w:sz w:val="15"/>
                  <w:szCs w:val="15"/>
                  <w:color w:val="0000EE"/>
                  <w:w w:val="94"/>
                </w:rPr>
                <w:t>International, LLC, a Delaware limited liability company, Weatherford International Ltd., a Swiss joint-stock corporation, and Deutsche Bank Trust Company</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80" w:type="dxa"/>
            <w:vAlign w:val="bottom"/>
            <w:tcBorders>
              <w:top w:val="single" w:sz="8" w:color="0000EE"/>
              <w:bottom w:val="single" w:sz="8" w:color="0000EE"/>
            </w:tcBorders>
            <w:gridSpan w:val="10"/>
          </w:tcPr>
          <w:p>
            <w:pPr>
              <w:spacing w:after="0" w:line="163" w:lineRule="exact"/>
              <w:rPr>
                <w:rFonts w:ascii="Arial" w:cs="Arial" w:eastAsia="Arial" w:hAnsi="Arial"/>
                <w:sz w:val="15"/>
                <w:szCs w:val="15"/>
                <w:color w:val="0000EE"/>
                <w:w w:val="91"/>
              </w:rPr>
            </w:pPr>
            <w:hyperlink r:id="rId139">
              <w:r>
                <w:rPr>
                  <w:rFonts w:ascii="Arial" w:cs="Arial" w:eastAsia="Arial" w:hAnsi="Arial"/>
                  <w:sz w:val="15"/>
                  <w:szCs w:val="15"/>
                  <w:color w:val="0000EE"/>
                  <w:w w:val="91"/>
                </w:rPr>
                <w:t>Americas, as trustee, to the Indenture dated as of October 1, 2003 (including the form of notes issued pursuant thereto and form of guarantee notation)</w:t>
              </w:r>
            </w:hyperlink>
          </w:p>
        </w:tc>
        <w:tc>
          <w:tcPr>
            <w:tcW w:w="460" w:type="dxa"/>
            <w:vAlign w:val="bottom"/>
            <w:tcBorders>
              <w:top w:val="single" w:sz="8" w:color="0000EE"/>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60" w:type="dxa"/>
            <w:vAlign w:val="bottom"/>
            <w:tcBorders>
              <w:bottom w:val="single" w:sz="8" w:color="0000EE"/>
            </w:tcBorders>
            <w:gridSpan w:val="20"/>
          </w:tcPr>
          <w:p>
            <w:pPr>
              <w:spacing w:after="0" w:line="163" w:lineRule="exact"/>
              <w:rPr>
                <w:rFonts w:ascii="Arial" w:cs="Arial" w:eastAsia="Arial" w:hAnsi="Arial"/>
                <w:sz w:val="15"/>
                <w:szCs w:val="15"/>
                <w:color w:val="0000EE"/>
                <w:w w:val="93"/>
              </w:rPr>
            </w:pPr>
            <w:hyperlink r:id="rId139">
              <w:r>
                <w:rPr>
                  <w:rFonts w:ascii="Arial" w:cs="Arial" w:eastAsia="Arial" w:hAnsi="Arial"/>
                  <w:sz w:val="15"/>
                  <w:szCs w:val="15"/>
                  <w:color w:val="0000EE"/>
                  <w:w w:val="93"/>
                </w:rPr>
                <w:t>(incorporated by reference to Exhibit 4.1 to the Quarterly Report on Form 10-Q of Weatherford International Ltd., a Swiss joint-stock corporation (File No. 1-</w:t>
              </w:r>
            </w:hyperlink>
          </w:p>
        </w:tc>
        <w:tc>
          <w:tcPr>
            <w:tcW w:w="6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0" w:type="dxa"/>
            <w:vAlign w:val="bottom"/>
            <w:tcBorders>
              <w:bottom w:val="single" w:sz="8" w:color="0000EE"/>
            </w:tcBorders>
            <w:gridSpan w:val="4"/>
          </w:tcPr>
          <w:p>
            <w:pPr>
              <w:spacing w:after="0" w:line="163" w:lineRule="exact"/>
              <w:rPr>
                <w:rFonts w:ascii="Arial" w:cs="Arial" w:eastAsia="Arial" w:hAnsi="Arial"/>
                <w:sz w:val="15"/>
                <w:szCs w:val="15"/>
                <w:color w:val="0000EE"/>
                <w:w w:val="91"/>
              </w:rPr>
            </w:pPr>
            <w:hyperlink r:id="rId139">
              <w:r>
                <w:rPr>
                  <w:rFonts w:ascii="Arial" w:cs="Arial" w:eastAsia="Arial" w:hAnsi="Arial"/>
                  <w:sz w:val="15"/>
                  <w:szCs w:val="15"/>
                  <w:color w:val="0000EE"/>
                  <w:w w:val="91"/>
                </w:rPr>
                <w:t>34258) for the quarter ended September 30, 2010, filed November 2, 2010)</w:t>
              </w:r>
            </w:hyperlink>
          </w:p>
        </w:tc>
        <w:tc>
          <w:tcPr>
            <w:tcW w:w="5120" w:type="dxa"/>
            <w:vAlign w:val="bottom"/>
            <w:gridSpan w:val="17"/>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4.6**</w:t>
            </w:r>
          </w:p>
        </w:tc>
        <w:tc>
          <w:tcPr>
            <w:tcW w:w="62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5"/>
                <w:szCs w:val="15"/>
                <w:color w:val="0000EE"/>
                <w:w w:val="93"/>
              </w:rPr>
            </w:pPr>
            <w:hyperlink r:id="rId140">
              <w:r>
                <w:rPr>
                  <w:rFonts w:ascii="Arial" w:cs="Arial" w:eastAsia="Arial" w:hAnsi="Arial"/>
                  <w:sz w:val="15"/>
                  <w:szCs w:val="15"/>
                  <w:color w:val="0000EE"/>
                  <w:w w:val="93"/>
                </w:rPr>
                <w:t>Form of Fifth Supplemental Indenture dated April 4, 2012, among Weatherford International Ltd., a Bermuda exempted company, Weatherford International,</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bottom w:val="single" w:sz="8" w:color="0000EE"/>
            </w:tcBorders>
            <w:gridSpan w:val="18"/>
          </w:tcPr>
          <w:p>
            <w:pPr>
              <w:spacing w:after="0" w:line="163" w:lineRule="exact"/>
              <w:rPr>
                <w:rFonts w:ascii="Arial" w:cs="Arial" w:eastAsia="Arial" w:hAnsi="Arial"/>
                <w:sz w:val="15"/>
                <w:szCs w:val="15"/>
                <w:color w:val="0000EE"/>
                <w:w w:val="93"/>
              </w:rPr>
            </w:pPr>
            <w:hyperlink r:id="rId140">
              <w:r>
                <w:rPr>
                  <w:rFonts w:ascii="Arial" w:cs="Arial" w:eastAsia="Arial" w:hAnsi="Arial"/>
                  <w:sz w:val="15"/>
                  <w:szCs w:val="15"/>
                  <w:color w:val="0000EE"/>
                  <w:w w:val="93"/>
                </w:rPr>
                <w:t>LLC, a Delaware limited liability company, Weatherford International Ltd., a Swiss joint-stock corporation, and Deutsche Bank Trust Company Americas, as</w:t>
              </w:r>
            </w:hyperlink>
          </w:p>
        </w:tc>
        <w:tc>
          <w:tcPr>
            <w:tcW w:w="100" w:type="dxa"/>
            <w:vAlign w:val="bottom"/>
            <w:gridSpan w:val="3"/>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1"/>
          </w:tcPr>
          <w:p>
            <w:pPr>
              <w:spacing w:after="0" w:line="163" w:lineRule="exact"/>
              <w:rPr>
                <w:rFonts w:ascii="Arial" w:cs="Arial" w:eastAsia="Arial" w:hAnsi="Arial"/>
                <w:sz w:val="15"/>
                <w:szCs w:val="15"/>
                <w:color w:val="0000EE"/>
                <w:w w:val="94"/>
              </w:rPr>
            </w:pPr>
            <w:hyperlink r:id="rId140">
              <w:r>
                <w:rPr>
                  <w:rFonts w:ascii="Arial" w:cs="Arial" w:eastAsia="Arial" w:hAnsi="Arial"/>
                  <w:sz w:val="15"/>
                  <w:szCs w:val="15"/>
                  <w:color w:val="0000EE"/>
                  <w:w w:val="94"/>
                </w:rPr>
                <w:t>trustee, to the Indenture dated as of October 1, 2003 (including the form of notes issued pursuant thereto and form of guarantee notation) (incorporated by</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tcBorders>
              <w:bottom w:val="single" w:sz="8" w:color="0000EE"/>
            </w:tcBorders>
            <w:gridSpan w:val="21"/>
          </w:tcPr>
          <w:p>
            <w:pPr>
              <w:spacing w:after="0" w:line="163" w:lineRule="exact"/>
              <w:rPr>
                <w:rFonts w:ascii="Arial" w:cs="Arial" w:eastAsia="Arial" w:hAnsi="Arial"/>
                <w:sz w:val="15"/>
                <w:szCs w:val="15"/>
                <w:color w:val="0000EE"/>
                <w:w w:val="94"/>
              </w:rPr>
            </w:pPr>
            <w:hyperlink r:id="rId140">
              <w:r>
                <w:rPr>
                  <w:rFonts w:ascii="Arial" w:cs="Arial" w:eastAsia="Arial" w:hAnsi="Arial"/>
                  <w:sz w:val="15"/>
                  <w:szCs w:val="15"/>
                  <w:color w:val="0000EE"/>
                  <w:w w:val="94"/>
                </w:rPr>
                <w:t>reference to Exhibit 4.1 to the Current Report on Form 8-K of Weatherford International Ltd., a Swiss joint-stock corporation (File No. 1-34258), filed April 4,</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0" w:type="dxa"/>
            <w:vAlign w:val="bottom"/>
            <w:gridSpan w:val="2"/>
          </w:tcPr>
          <w:p>
            <w:pPr>
              <w:spacing w:after="0" w:line="163" w:lineRule="exact"/>
              <w:rPr>
                <w:rFonts w:ascii="Arial" w:cs="Arial" w:eastAsia="Arial" w:hAnsi="Arial"/>
                <w:sz w:val="15"/>
                <w:szCs w:val="15"/>
                <w:color w:val="0000EE"/>
              </w:rPr>
            </w:pPr>
            <w:hyperlink r:id="rId140">
              <w:r>
                <w:rPr>
                  <w:rFonts w:ascii="Arial" w:cs="Arial" w:eastAsia="Arial" w:hAnsi="Arial"/>
                  <w:sz w:val="15"/>
                  <w:szCs w:val="15"/>
                  <w:color w:val="0000EE"/>
                </w:rPr>
                <w:t>2012)</w:t>
              </w:r>
            </w:hyperlink>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4.7**</w:t>
            </w:r>
          </w:p>
        </w:tc>
        <w:tc>
          <w:tcPr>
            <w:tcW w:w="620" w:type="dxa"/>
            <w:vAlign w:val="bottom"/>
          </w:tcPr>
          <w:p>
            <w:pPr>
              <w:spacing w:after="0"/>
              <w:rPr>
                <w:sz w:val="24"/>
                <w:szCs w:val="24"/>
                <w:color w:val="auto"/>
              </w:rPr>
            </w:pPr>
          </w:p>
        </w:tc>
        <w:tc>
          <w:tcPr>
            <w:tcW w:w="9600" w:type="dxa"/>
            <w:vAlign w:val="bottom"/>
            <w:tcBorders>
              <w:bottom w:val="single" w:sz="8" w:color="0000EE"/>
            </w:tcBorders>
            <w:gridSpan w:val="17"/>
          </w:tcPr>
          <w:p>
            <w:pPr>
              <w:spacing w:after="0"/>
              <w:rPr>
                <w:rFonts w:ascii="Arial" w:cs="Arial" w:eastAsia="Arial" w:hAnsi="Arial"/>
                <w:sz w:val="15"/>
                <w:szCs w:val="15"/>
                <w:color w:val="0000EE"/>
                <w:w w:val="91"/>
              </w:rPr>
            </w:pPr>
            <w:hyperlink r:id="rId141">
              <w:r>
                <w:rPr>
                  <w:rFonts w:ascii="Arial" w:cs="Arial" w:eastAsia="Arial" w:hAnsi="Arial"/>
                  <w:sz w:val="15"/>
                  <w:szCs w:val="15"/>
                  <w:color w:val="0000EE"/>
                  <w:w w:val="91"/>
                </w:rPr>
                <w:t>Sixth Supplemental Indenture dated as of August 14, 2012, among Weatherford International Ltd., a Bermuda exempted company Weatherford International,</w:t>
              </w:r>
            </w:hyperlink>
          </w:p>
        </w:tc>
        <w:tc>
          <w:tcPr>
            <w:tcW w:w="120" w:type="dxa"/>
            <w:vAlign w:val="bottom"/>
            <w:gridSpan w:val="4"/>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1"/>
          </w:tcPr>
          <w:p>
            <w:pPr>
              <w:spacing w:after="0" w:line="163" w:lineRule="exact"/>
              <w:rPr>
                <w:rFonts w:ascii="Arial" w:cs="Arial" w:eastAsia="Arial" w:hAnsi="Arial"/>
                <w:sz w:val="15"/>
                <w:szCs w:val="15"/>
                <w:color w:val="0000EE"/>
                <w:w w:val="94"/>
              </w:rPr>
            </w:pPr>
            <w:hyperlink r:id="rId141">
              <w:r>
                <w:rPr>
                  <w:rFonts w:ascii="Arial" w:cs="Arial" w:eastAsia="Arial" w:hAnsi="Arial"/>
                  <w:sz w:val="15"/>
                  <w:szCs w:val="15"/>
                  <w:color w:val="0000EE"/>
                  <w:w w:val="94"/>
                </w:rPr>
                <w:t>LLC, a Delaware limited liability company, Weatherford International Ltd., a Swiss joint-stock corporation, and Deutsche Bank Trust Company Americas, to</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top w:val="single" w:sz="8" w:color="0000EE"/>
            </w:tcBorders>
            <w:gridSpan w:val="17"/>
          </w:tcPr>
          <w:p>
            <w:pPr>
              <w:spacing w:after="0" w:line="163" w:lineRule="exact"/>
              <w:rPr>
                <w:rFonts w:ascii="Arial" w:cs="Arial" w:eastAsia="Arial" w:hAnsi="Arial"/>
                <w:sz w:val="15"/>
                <w:szCs w:val="15"/>
                <w:color w:val="0000EE"/>
                <w:w w:val="93"/>
              </w:rPr>
            </w:pPr>
            <w:hyperlink r:id="rId141">
              <w:r>
                <w:rPr>
                  <w:rFonts w:ascii="Arial" w:cs="Arial" w:eastAsia="Arial" w:hAnsi="Arial"/>
                  <w:sz w:val="15"/>
                  <w:szCs w:val="15"/>
                  <w:color w:val="0000EE"/>
                  <w:w w:val="93"/>
                </w:rPr>
                <w:t>the indenture dated as of October 1, 2003 (incorporated by reference to Exhibit 4.1 to the Current Report on Form 8-K of Weatherford International Ltd., a</w:t>
              </w:r>
            </w:hyperlink>
          </w:p>
        </w:tc>
        <w:tc>
          <w:tcPr>
            <w:tcW w:w="120" w:type="dxa"/>
            <w:vAlign w:val="bottom"/>
            <w:gridSpan w:val="4"/>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Borders>
              <w:top w:val="single" w:sz="8" w:color="0000EE"/>
              <w:bottom w:val="single" w:sz="8" w:color="0000EE"/>
            </w:tcBorders>
            <w:gridSpan w:val="3"/>
          </w:tcPr>
          <w:p>
            <w:pPr>
              <w:spacing w:after="0" w:line="163" w:lineRule="exact"/>
              <w:rPr>
                <w:rFonts w:ascii="Arial" w:cs="Arial" w:eastAsia="Arial" w:hAnsi="Arial"/>
                <w:sz w:val="15"/>
                <w:szCs w:val="15"/>
                <w:color w:val="0000EE"/>
                <w:w w:val="94"/>
              </w:rPr>
            </w:pPr>
            <w:hyperlink r:id="rId141">
              <w:r>
                <w:rPr>
                  <w:rFonts w:ascii="Arial" w:cs="Arial" w:eastAsia="Arial" w:hAnsi="Arial"/>
                  <w:sz w:val="15"/>
                  <w:szCs w:val="15"/>
                  <w:color w:val="0000EE"/>
                  <w:w w:val="94"/>
                </w:rPr>
                <w:t>Swiss joint-stock corporation (File No. 1-34258), filed August 14, 2012)</w:t>
              </w:r>
            </w:hyperlink>
          </w:p>
        </w:tc>
        <w:tc>
          <w:tcPr>
            <w:tcW w:w="5000" w:type="dxa"/>
            <w:vAlign w:val="bottom"/>
            <w:tcBorders>
              <w:top w:val="single" w:sz="8" w:color="0000EE"/>
            </w:tcBorders>
            <w:gridSpan w:val="12"/>
          </w:tcPr>
          <w:p>
            <w:pPr>
              <w:spacing w:after="0"/>
              <w:rPr>
                <w:sz w:val="14"/>
                <w:szCs w:val="14"/>
                <w:color w:val="auto"/>
              </w:rPr>
            </w:pPr>
          </w:p>
        </w:tc>
        <w:tc>
          <w:tcPr>
            <w:tcW w:w="280" w:type="dxa"/>
            <w:vAlign w:val="bottom"/>
            <w:gridSpan w:val="6"/>
          </w:tcPr>
          <w:p>
            <w:pPr>
              <w:spacing w:after="0"/>
              <w:rPr>
                <w:sz w:val="14"/>
                <w:szCs w:val="14"/>
                <w:color w:val="auto"/>
              </w:rPr>
            </w:pPr>
          </w:p>
        </w:tc>
      </w:tr>
      <w:tr>
        <w:trPr>
          <w:trHeight w:val="346"/>
        </w:trPr>
        <w:tc>
          <w:tcPr>
            <w:tcW w:w="1080" w:type="dxa"/>
            <w:vAlign w:val="bottom"/>
          </w:tcPr>
          <w:p>
            <w:pPr>
              <w:jc w:val="right"/>
              <w:ind w:right="584"/>
              <w:spacing w:after="0"/>
              <w:rPr>
                <w:sz w:val="20"/>
                <w:szCs w:val="20"/>
                <w:color w:val="auto"/>
              </w:rPr>
            </w:pPr>
            <w:r>
              <w:rPr>
                <w:rFonts w:ascii="Arial" w:cs="Arial" w:eastAsia="Arial" w:hAnsi="Arial"/>
                <w:sz w:val="15"/>
                <w:szCs w:val="15"/>
                <w:color w:val="auto"/>
              </w:rPr>
              <w:t>4.8**</w:t>
            </w:r>
          </w:p>
        </w:tc>
        <w:tc>
          <w:tcPr>
            <w:tcW w:w="620" w:type="dxa"/>
            <w:vAlign w:val="bottom"/>
          </w:tcPr>
          <w:p>
            <w:pPr>
              <w:spacing w:after="0"/>
              <w:rPr>
                <w:sz w:val="24"/>
                <w:szCs w:val="24"/>
                <w:color w:val="auto"/>
              </w:rPr>
            </w:pPr>
          </w:p>
        </w:tc>
        <w:tc>
          <w:tcPr>
            <w:tcW w:w="8900" w:type="dxa"/>
            <w:vAlign w:val="bottom"/>
            <w:tcBorders>
              <w:bottom w:val="single" w:sz="8" w:color="0000EE"/>
            </w:tcBorders>
            <w:gridSpan w:val="7"/>
          </w:tcPr>
          <w:p>
            <w:pPr>
              <w:spacing w:after="0"/>
              <w:rPr>
                <w:rFonts w:ascii="Arial" w:cs="Arial" w:eastAsia="Arial" w:hAnsi="Arial"/>
                <w:sz w:val="15"/>
                <w:szCs w:val="15"/>
                <w:color w:val="0000EE"/>
                <w:w w:val="91"/>
              </w:rPr>
            </w:pPr>
            <w:hyperlink r:id="rId142">
              <w:r>
                <w:rPr>
                  <w:rFonts w:ascii="Arial" w:cs="Arial" w:eastAsia="Arial" w:hAnsi="Arial"/>
                  <w:sz w:val="15"/>
                  <w:szCs w:val="15"/>
                  <w:color w:val="0000EE"/>
                  <w:w w:val="91"/>
                </w:rPr>
                <w:t>Seventh Supplemental Indenture dated as of March 31, 2013, among Weatherford International Ltd., a Bermuda exempted company, Weatherford</w:t>
              </w:r>
            </w:hyperlink>
          </w:p>
        </w:tc>
        <w:tc>
          <w:tcPr>
            <w:tcW w:w="820" w:type="dxa"/>
            <w:vAlign w:val="bottom"/>
            <w:gridSpan w:val="14"/>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1"/>
          </w:tcPr>
          <w:p>
            <w:pPr>
              <w:spacing w:after="0" w:line="163" w:lineRule="exact"/>
              <w:rPr>
                <w:rFonts w:ascii="Arial" w:cs="Arial" w:eastAsia="Arial" w:hAnsi="Arial"/>
                <w:sz w:val="15"/>
                <w:szCs w:val="15"/>
                <w:color w:val="0000EE"/>
                <w:w w:val="94"/>
              </w:rPr>
            </w:pPr>
            <w:hyperlink r:id="rId142">
              <w:r>
                <w:rPr>
                  <w:rFonts w:ascii="Arial" w:cs="Arial" w:eastAsia="Arial" w:hAnsi="Arial"/>
                  <w:sz w:val="15"/>
                  <w:szCs w:val="15"/>
                  <w:color w:val="0000EE"/>
                  <w:w w:val="94"/>
                </w:rPr>
                <w:t>International, LLC, a Delaware limited liability company, Weatherford International Ltd., a Swiss joint-stock corporation, and Deutsche Bank Trust Company</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top w:val="single" w:sz="8" w:color="0000EE"/>
              <w:bottom w:val="single" w:sz="8" w:color="0000EE"/>
            </w:tcBorders>
            <w:gridSpan w:val="17"/>
          </w:tcPr>
          <w:p>
            <w:pPr>
              <w:spacing w:after="0" w:line="163" w:lineRule="exact"/>
              <w:rPr>
                <w:rFonts w:ascii="Arial" w:cs="Arial" w:eastAsia="Arial" w:hAnsi="Arial"/>
                <w:sz w:val="15"/>
                <w:szCs w:val="15"/>
                <w:color w:val="0000EE"/>
                <w:w w:val="92"/>
              </w:rPr>
            </w:pPr>
            <w:hyperlink r:id="rId142">
              <w:r>
                <w:rPr>
                  <w:rFonts w:ascii="Arial" w:cs="Arial" w:eastAsia="Arial" w:hAnsi="Arial"/>
                  <w:sz w:val="15"/>
                  <w:szCs w:val="15"/>
                  <w:color w:val="0000EE"/>
                  <w:w w:val="92"/>
                </w:rPr>
                <w:t>Americas, to the indenture dated as of October 1, 2003 (incorporated by reference to Exhibit 4.1 to the Quarterly Report on Form 10-Q for the quarter ended</w:t>
              </w:r>
            </w:hyperlink>
          </w:p>
        </w:tc>
        <w:tc>
          <w:tcPr>
            <w:tcW w:w="40" w:type="dxa"/>
            <w:vAlign w:val="bottom"/>
            <w:tcBorders>
              <w:top w:val="single" w:sz="8" w:color="0000EE"/>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1"/>
          </w:tcPr>
          <w:p>
            <w:pPr>
              <w:spacing w:after="0" w:line="163" w:lineRule="exact"/>
              <w:rPr>
                <w:rFonts w:ascii="Arial" w:cs="Arial" w:eastAsia="Arial" w:hAnsi="Arial"/>
                <w:sz w:val="15"/>
                <w:szCs w:val="15"/>
                <w:color w:val="0000EE"/>
              </w:rPr>
            </w:pPr>
            <w:hyperlink r:id="rId142">
              <w:r>
                <w:rPr>
                  <w:rFonts w:ascii="Arial" w:cs="Arial" w:eastAsia="Arial" w:hAnsi="Arial"/>
                  <w:sz w:val="15"/>
                  <w:szCs w:val="15"/>
                  <w:color w:val="0000EE"/>
                </w:rPr>
                <w:t>March 31, 2013 of Weatherford International Ltd., a Swiss joint-stock corporation (File No. 1-34258), filed May 3, 2013)</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4.9**</w:t>
            </w:r>
          </w:p>
        </w:tc>
        <w:tc>
          <w:tcPr>
            <w:tcW w:w="6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5"/>
                <w:szCs w:val="15"/>
                <w:color w:val="0000EE"/>
                <w:w w:val="93"/>
              </w:rPr>
            </w:pPr>
            <w:hyperlink r:id="rId144">
              <w:r>
                <w:rPr>
                  <w:rFonts w:ascii="Arial" w:cs="Arial" w:eastAsia="Arial" w:hAnsi="Arial"/>
                  <w:sz w:val="15"/>
                  <w:szCs w:val="15"/>
                  <w:color w:val="0000EE"/>
                  <w:w w:val="93"/>
                </w:rPr>
                <w:t>Eighth Supplemental Indenture dated as of June 17, 2014, among Weatherford International Ltd., a Bermuda exempted company, Weatherford International,</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bottom w:val="single" w:sz="8" w:color="0000EE"/>
            </w:tcBorders>
            <w:gridSpan w:val="17"/>
          </w:tcPr>
          <w:p>
            <w:pPr>
              <w:spacing w:after="0" w:line="163" w:lineRule="exact"/>
              <w:rPr>
                <w:rFonts w:ascii="Arial" w:cs="Arial" w:eastAsia="Arial" w:hAnsi="Arial"/>
                <w:sz w:val="15"/>
                <w:szCs w:val="15"/>
                <w:color w:val="0000EE"/>
                <w:w w:val="93"/>
              </w:rPr>
            </w:pPr>
            <w:hyperlink r:id="rId144">
              <w:r>
                <w:rPr>
                  <w:rFonts w:ascii="Arial" w:cs="Arial" w:eastAsia="Arial" w:hAnsi="Arial"/>
                  <w:sz w:val="15"/>
                  <w:szCs w:val="15"/>
                  <w:color w:val="0000EE"/>
                  <w:w w:val="93"/>
                </w:rPr>
                <w:t>LLC, a Delaware limited liability company, Weatherford International plc, an Irish public limited company, and Deutsche Bank Trust Company Americas, as</w:t>
              </w:r>
            </w:hyperlink>
          </w:p>
        </w:tc>
        <w:tc>
          <w:tcPr>
            <w:tcW w:w="10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80" w:type="dxa"/>
            <w:vAlign w:val="bottom"/>
            <w:tcBorders>
              <w:bottom w:val="single" w:sz="8" w:color="0000EE"/>
            </w:tcBorders>
            <w:gridSpan w:val="13"/>
          </w:tcPr>
          <w:p>
            <w:pPr>
              <w:spacing w:after="0" w:line="163" w:lineRule="exact"/>
              <w:rPr>
                <w:rFonts w:ascii="Arial" w:cs="Arial" w:eastAsia="Arial" w:hAnsi="Arial"/>
                <w:sz w:val="15"/>
                <w:szCs w:val="15"/>
                <w:color w:val="0000EE"/>
                <w:w w:val="92"/>
              </w:rPr>
            </w:pPr>
            <w:hyperlink r:id="rId144">
              <w:r>
                <w:rPr>
                  <w:rFonts w:ascii="Arial" w:cs="Arial" w:eastAsia="Arial" w:hAnsi="Arial"/>
                  <w:sz w:val="15"/>
                  <w:szCs w:val="15"/>
                  <w:color w:val="0000EE"/>
                  <w:w w:val="92"/>
                </w:rPr>
                <w:t>trustee, to the indenture dated as of October 1, 2003 (incorporated by reference to Exhibit 4.1 to Weatherford International plc’s Current Report on Form 8-</w:t>
              </w:r>
            </w:hyperlink>
          </w:p>
        </w:tc>
        <w:tc>
          <w:tcPr>
            <w:tcW w:w="240" w:type="dxa"/>
            <w:vAlign w:val="bottom"/>
            <w:gridSpan w:val="5"/>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20" w:type="dxa"/>
            <w:vAlign w:val="bottom"/>
            <w:tcBorders>
              <w:bottom w:val="single" w:sz="8" w:color="0000EE"/>
            </w:tcBorders>
            <w:gridSpan w:val="5"/>
          </w:tcPr>
          <w:p>
            <w:pPr>
              <w:spacing w:after="0" w:line="163" w:lineRule="exact"/>
              <w:rPr>
                <w:rFonts w:ascii="Arial" w:cs="Arial" w:eastAsia="Arial" w:hAnsi="Arial"/>
                <w:sz w:val="15"/>
                <w:szCs w:val="15"/>
                <w:color w:val="0000EE"/>
                <w:w w:val="94"/>
              </w:rPr>
            </w:pPr>
            <w:hyperlink r:id="rId144">
              <w:r>
                <w:rPr>
                  <w:rFonts w:ascii="Arial" w:cs="Arial" w:eastAsia="Arial" w:hAnsi="Arial"/>
                  <w:sz w:val="15"/>
                  <w:szCs w:val="15"/>
                  <w:color w:val="0000EE"/>
                  <w:w w:val="94"/>
                </w:rPr>
                <w:t>K12B (File No. 1-36504) filed June 17, 2014)</w:t>
              </w:r>
            </w:hyperlink>
          </w:p>
        </w:tc>
        <w:tc>
          <w:tcPr>
            <w:tcW w:w="6900" w:type="dxa"/>
            <w:vAlign w:val="bottom"/>
            <w:gridSpan w:val="13"/>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4.10**</w:t>
            </w:r>
          </w:p>
        </w:tc>
        <w:tc>
          <w:tcPr>
            <w:tcW w:w="620" w:type="dxa"/>
            <w:vAlign w:val="bottom"/>
          </w:tcPr>
          <w:p>
            <w:pPr>
              <w:spacing w:after="0"/>
              <w:rPr>
                <w:sz w:val="24"/>
                <w:szCs w:val="24"/>
                <w:color w:val="auto"/>
              </w:rPr>
            </w:pPr>
          </w:p>
        </w:tc>
        <w:tc>
          <w:tcPr>
            <w:tcW w:w="9420" w:type="dxa"/>
            <w:vAlign w:val="bottom"/>
            <w:tcBorders>
              <w:bottom w:val="single" w:sz="8" w:color="0000EE"/>
            </w:tcBorders>
            <w:gridSpan w:val="12"/>
          </w:tcPr>
          <w:p>
            <w:pPr>
              <w:spacing w:after="0"/>
              <w:rPr>
                <w:rFonts w:ascii="Arial" w:cs="Arial" w:eastAsia="Arial" w:hAnsi="Arial"/>
                <w:sz w:val="15"/>
                <w:szCs w:val="15"/>
                <w:color w:val="0000EE"/>
                <w:w w:val="91"/>
              </w:rPr>
            </w:pPr>
            <w:hyperlink r:id="rId145">
              <w:r>
                <w:rPr>
                  <w:rFonts w:ascii="Arial" w:cs="Arial" w:eastAsia="Arial" w:hAnsi="Arial"/>
                  <w:sz w:val="15"/>
                  <w:szCs w:val="15"/>
                  <w:color w:val="0000EE"/>
                  <w:w w:val="91"/>
                </w:rPr>
                <w:t>Ninth Supplemental Indenture dated as of June 7, 2016, among Weatherford International Ltd., a Bermuda exempted company, Weatherford International,</w:t>
              </w:r>
            </w:hyperlink>
          </w:p>
        </w:tc>
        <w:tc>
          <w:tcPr>
            <w:tcW w:w="300" w:type="dxa"/>
            <w:vAlign w:val="bottom"/>
            <w:gridSpan w:val="6"/>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bottom w:val="single" w:sz="8" w:color="0000EE"/>
            </w:tcBorders>
            <w:gridSpan w:val="17"/>
          </w:tcPr>
          <w:p>
            <w:pPr>
              <w:spacing w:after="0" w:line="163" w:lineRule="exact"/>
              <w:rPr>
                <w:rFonts w:ascii="Arial" w:cs="Arial" w:eastAsia="Arial" w:hAnsi="Arial"/>
                <w:sz w:val="15"/>
                <w:szCs w:val="15"/>
                <w:color w:val="0000EE"/>
                <w:w w:val="93"/>
              </w:rPr>
            </w:pPr>
            <w:hyperlink r:id="rId145">
              <w:r>
                <w:rPr>
                  <w:rFonts w:ascii="Arial" w:cs="Arial" w:eastAsia="Arial" w:hAnsi="Arial"/>
                  <w:sz w:val="15"/>
                  <w:szCs w:val="15"/>
                  <w:color w:val="0000EE"/>
                  <w:w w:val="93"/>
                </w:rPr>
                <w:t>LLC, a Delaware limited liability company, Weatherford International plc, an Irish public limited company, and Deutsche Bank Trust Company Americas, as</w:t>
              </w:r>
            </w:hyperlink>
          </w:p>
        </w:tc>
        <w:tc>
          <w:tcPr>
            <w:tcW w:w="10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bottom w:val="single" w:sz="8" w:color="0000EE"/>
            </w:tcBorders>
            <w:gridSpan w:val="16"/>
          </w:tcPr>
          <w:p>
            <w:pPr>
              <w:spacing w:after="0" w:line="163" w:lineRule="exact"/>
              <w:rPr>
                <w:rFonts w:ascii="Arial" w:cs="Arial" w:eastAsia="Arial" w:hAnsi="Arial"/>
                <w:sz w:val="15"/>
                <w:szCs w:val="15"/>
                <w:color w:val="0000EE"/>
                <w:w w:val="92"/>
              </w:rPr>
            </w:pPr>
            <w:hyperlink r:id="rId145">
              <w:r>
                <w:rPr>
                  <w:rFonts w:ascii="Arial" w:cs="Arial" w:eastAsia="Arial" w:hAnsi="Arial"/>
                  <w:sz w:val="15"/>
                  <w:szCs w:val="15"/>
                  <w:color w:val="0000EE"/>
                  <w:w w:val="92"/>
                </w:rPr>
                <w:t>trustee, to the indenture dated as of October 1, 2003 (incorporated by reference to Exhibit 4.1 to Weatherford International plc’s Current Report on Form 8-K</w:t>
              </w:r>
            </w:hyperlink>
          </w:p>
        </w:tc>
        <w:tc>
          <w:tcPr>
            <w:tcW w:w="12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tcBorders>
              <w:bottom w:val="single" w:sz="8" w:color="0000EE"/>
            </w:tcBorders>
            <w:gridSpan w:val="2"/>
          </w:tcPr>
          <w:p>
            <w:pPr>
              <w:spacing w:after="0" w:line="163" w:lineRule="exact"/>
              <w:rPr>
                <w:rFonts w:ascii="Arial" w:cs="Arial" w:eastAsia="Arial" w:hAnsi="Arial"/>
                <w:sz w:val="15"/>
                <w:szCs w:val="15"/>
                <w:color w:val="0000EE"/>
                <w:w w:val="93"/>
              </w:rPr>
            </w:pPr>
            <w:hyperlink r:id="rId145">
              <w:r>
                <w:rPr>
                  <w:rFonts w:ascii="Arial" w:cs="Arial" w:eastAsia="Arial" w:hAnsi="Arial"/>
                  <w:sz w:val="15"/>
                  <w:szCs w:val="15"/>
                  <w:color w:val="0000EE"/>
                  <w:w w:val="93"/>
                </w:rPr>
                <w:t>(File No. 1-36504) filed June 7, 2016)</w:t>
              </w:r>
            </w:hyperlink>
          </w:p>
        </w:tc>
        <w:tc>
          <w:tcPr>
            <w:tcW w:w="7380" w:type="dxa"/>
            <w:vAlign w:val="bottom"/>
            <w:gridSpan w:val="16"/>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4.11**</w:t>
            </w:r>
          </w:p>
        </w:tc>
        <w:tc>
          <w:tcPr>
            <w:tcW w:w="6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5"/>
                <w:szCs w:val="15"/>
                <w:color w:val="0000EE"/>
                <w:w w:val="93"/>
              </w:rPr>
            </w:pPr>
            <w:hyperlink r:id="rId146">
              <w:r>
                <w:rPr>
                  <w:rFonts w:ascii="Arial" w:cs="Arial" w:eastAsia="Arial" w:hAnsi="Arial"/>
                  <w:sz w:val="15"/>
                  <w:szCs w:val="15"/>
                  <w:color w:val="0000EE"/>
                  <w:w w:val="93"/>
                </w:rPr>
                <w:t>Tenth Supplemental Indenture dated as of June 17, 2016, among Weatherford International Ltd., a Bermuda exempted company, Weatherford International,</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bottom w:val="single" w:sz="8" w:color="0000EE"/>
            </w:tcBorders>
            <w:gridSpan w:val="17"/>
          </w:tcPr>
          <w:p>
            <w:pPr>
              <w:spacing w:after="0" w:line="163" w:lineRule="exact"/>
              <w:rPr>
                <w:rFonts w:ascii="Arial" w:cs="Arial" w:eastAsia="Arial" w:hAnsi="Arial"/>
                <w:sz w:val="15"/>
                <w:szCs w:val="15"/>
                <w:color w:val="0000EE"/>
                <w:w w:val="93"/>
              </w:rPr>
            </w:pPr>
            <w:hyperlink r:id="rId146">
              <w:r>
                <w:rPr>
                  <w:rFonts w:ascii="Arial" w:cs="Arial" w:eastAsia="Arial" w:hAnsi="Arial"/>
                  <w:sz w:val="15"/>
                  <w:szCs w:val="15"/>
                  <w:color w:val="0000EE"/>
                  <w:w w:val="93"/>
                </w:rPr>
                <w:t>LLC, a Delaware limited liability company, Weatherford International plc, an Irish public limited company, and Deutsche Bank Trust Company Americas, as</w:t>
              </w:r>
            </w:hyperlink>
          </w:p>
        </w:tc>
        <w:tc>
          <w:tcPr>
            <w:tcW w:w="10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bottom w:val="single" w:sz="8" w:color="0000EE"/>
            </w:tcBorders>
            <w:gridSpan w:val="16"/>
          </w:tcPr>
          <w:p>
            <w:pPr>
              <w:spacing w:after="0" w:line="163" w:lineRule="exact"/>
              <w:rPr>
                <w:rFonts w:ascii="Arial" w:cs="Arial" w:eastAsia="Arial" w:hAnsi="Arial"/>
                <w:sz w:val="15"/>
                <w:szCs w:val="15"/>
                <w:color w:val="0000EE"/>
                <w:w w:val="92"/>
              </w:rPr>
            </w:pPr>
            <w:hyperlink r:id="rId146">
              <w:r>
                <w:rPr>
                  <w:rFonts w:ascii="Arial" w:cs="Arial" w:eastAsia="Arial" w:hAnsi="Arial"/>
                  <w:sz w:val="15"/>
                  <w:szCs w:val="15"/>
                  <w:color w:val="0000EE"/>
                  <w:w w:val="92"/>
                </w:rPr>
                <w:t>trustee, to the indenture dated as of October 1, 2003 (incorporated by reference to Exhibit 4.1 to Weatherford International plc’s Current Report on Form 8-K</w:t>
              </w:r>
            </w:hyperlink>
          </w:p>
        </w:tc>
        <w:tc>
          <w:tcPr>
            <w:tcW w:w="12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Borders>
              <w:bottom w:val="single" w:sz="8" w:color="0000EE"/>
            </w:tcBorders>
            <w:gridSpan w:val="4"/>
          </w:tcPr>
          <w:p>
            <w:pPr>
              <w:spacing w:after="0" w:line="163" w:lineRule="exact"/>
              <w:rPr>
                <w:rFonts w:ascii="Arial" w:cs="Arial" w:eastAsia="Arial" w:hAnsi="Arial"/>
                <w:sz w:val="15"/>
                <w:szCs w:val="15"/>
                <w:color w:val="0000EE"/>
                <w:w w:val="93"/>
              </w:rPr>
            </w:pPr>
            <w:hyperlink r:id="rId146">
              <w:r>
                <w:rPr>
                  <w:rFonts w:ascii="Arial" w:cs="Arial" w:eastAsia="Arial" w:hAnsi="Arial"/>
                  <w:sz w:val="15"/>
                  <w:szCs w:val="15"/>
                  <w:color w:val="0000EE"/>
                  <w:w w:val="93"/>
                </w:rPr>
                <w:t>(File No. 1-36504) filed June 17, 2016)</w:t>
              </w:r>
            </w:hyperlink>
          </w:p>
        </w:tc>
        <w:tc>
          <w:tcPr>
            <w:tcW w:w="7300" w:type="dxa"/>
            <w:vAlign w:val="bottom"/>
            <w:gridSpan w:val="14"/>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4.12**</w:t>
            </w:r>
          </w:p>
        </w:tc>
        <w:tc>
          <w:tcPr>
            <w:tcW w:w="620" w:type="dxa"/>
            <w:vAlign w:val="bottom"/>
          </w:tcPr>
          <w:p>
            <w:pPr>
              <w:spacing w:after="0"/>
              <w:rPr>
                <w:sz w:val="24"/>
                <w:szCs w:val="24"/>
                <w:color w:val="auto"/>
              </w:rPr>
            </w:pPr>
          </w:p>
        </w:tc>
        <w:tc>
          <w:tcPr>
            <w:tcW w:w="9200" w:type="dxa"/>
            <w:vAlign w:val="bottom"/>
            <w:tcBorders>
              <w:bottom w:val="single" w:sz="8" w:color="0000EE"/>
            </w:tcBorders>
            <w:gridSpan w:val="8"/>
          </w:tcPr>
          <w:p>
            <w:pPr>
              <w:spacing w:after="0"/>
              <w:rPr>
                <w:rFonts w:ascii="Arial" w:cs="Arial" w:eastAsia="Arial" w:hAnsi="Arial"/>
                <w:sz w:val="15"/>
                <w:szCs w:val="15"/>
                <w:color w:val="0000EE"/>
                <w:w w:val="91"/>
              </w:rPr>
            </w:pPr>
            <w:hyperlink r:id="rId147">
              <w:r>
                <w:rPr>
                  <w:rFonts w:ascii="Arial" w:cs="Arial" w:eastAsia="Arial" w:hAnsi="Arial"/>
                  <w:sz w:val="15"/>
                  <w:szCs w:val="15"/>
                  <w:color w:val="0000EE"/>
                  <w:w w:val="91"/>
                </w:rPr>
                <w:t>Eleventh Supplemental Indenture dated as of November 18, 2016, among Weatherford International Ltd., a Bermuda exempted company, Weatherford</w:t>
              </w:r>
            </w:hyperlink>
          </w:p>
        </w:tc>
        <w:tc>
          <w:tcPr>
            <w:tcW w:w="520" w:type="dxa"/>
            <w:vAlign w:val="bottom"/>
            <w:gridSpan w:val="10"/>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18"/>
          </w:tcPr>
          <w:p>
            <w:pPr>
              <w:spacing w:after="0" w:line="163" w:lineRule="exact"/>
              <w:rPr>
                <w:rFonts w:ascii="Arial" w:cs="Arial" w:eastAsia="Arial" w:hAnsi="Arial"/>
                <w:sz w:val="15"/>
                <w:szCs w:val="15"/>
                <w:color w:val="0000EE"/>
                <w:w w:val="94"/>
              </w:rPr>
            </w:pPr>
            <w:hyperlink r:id="rId147">
              <w:r>
                <w:rPr>
                  <w:rFonts w:ascii="Arial" w:cs="Arial" w:eastAsia="Arial" w:hAnsi="Arial"/>
                  <w:sz w:val="15"/>
                  <w:szCs w:val="15"/>
                  <w:color w:val="0000EE"/>
                  <w:w w:val="94"/>
                </w:rPr>
                <w:t>International, LLC, a Delaware limited liability company, Weatherford International plc, an Irish public limited company, and Deutsche Bank Trust Company</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top w:val="single" w:sz="8" w:color="0000EE"/>
            </w:tcBorders>
            <w:gridSpan w:val="17"/>
          </w:tcPr>
          <w:p>
            <w:pPr>
              <w:spacing w:after="0" w:line="163" w:lineRule="exact"/>
              <w:rPr>
                <w:rFonts w:ascii="Arial" w:cs="Arial" w:eastAsia="Arial" w:hAnsi="Arial"/>
                <w:sz w:val="15"/>
                <w:szCs w:val="15"/>
                <w:color w:val="0000EE"/>
                <w:w w:val="92"/>
              </w:rPr>
            </w:pPr>
            <w:hyperlink r:id="rId147">
              <w:r>
                <w:rPr>
                  <w:rFonts w:ascii="Arial" w:cs="Arial" w:eastAsia="Arial" w:hAnsi="Arial"/>
                  <w:sz w:val="15"/>
                  <w:szCs w:val="15"/>
                  <w:color w:val="0000EE"/>
                  <w:w w:val="92"/>
                </w:rPr>
                <w:t>Americas, as trustee, to the indenture dated as of October 1, 2003 (incorporated by reference to Exhibit 4.1 to Weatherford International plc’s Current Report</w:t>
              </w:r>
            </w:hyperlink>
          </w:p>
        </w:tc>
        <w:tc>
          <w:tcPr>
            <w:tcW w:w="10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tcBorders>
              <w:top w:val="single" w:sz="8" w:color="0000EE"/>
              <w:bottom w:val="single" w:sz="8" w:color="0000EE"/>
            </w:tcBorders>
            <w:gridSpan w:val="6"/>
          </w:tcPr>
          <w:p>
            <w:pPr>
              <w:spacing w:after="0" w:line="163" w:lineRule="exact"/>
              <w:rPr>
                <w:rFonts w:ascii="Arial" w:cs="Arial" w:eastAsia="Arial" w:hAnsi="Arial"/>
                <w:sz w:val="15"/>
                <w:szCs w:val="15"/>
                <w:color w:val="0000EE"/>
                <w:w w:val="94"/>
              </w:rPr>
            </w:pPr>
            <w:hyperlink r:id="rId147">
              <w:r>
                <w:rPr>
                  <w:rFonts w:ascii="Arial" w:cs="Arial" w:eastAsia="Arial" w:hAnsi="Arial"/>
                  <w:sz w:val="15"/>
                  <w:szCs w:val="15"/>
                  <w:color w:val="0000EE"/>
                  <w:w w:val="94"/>
                </w:rPr>
                <w:t>on Form 8-K (File No. 1-36504) filed November 21, 2016)</w:t>
              </w:r>
            </w:hyperlink>
          </w:p>
        </w:tc>
        <w:tc>
          <w:tcPr>
            <w:tcW w:w="5960" w:type="dxa"/>
            <w:vAlign w:val="bottom"/>
            <w:tcBorders>
              <w:top w:val="single" w:sz="8" w:color="0000EE"/>
            </w:tcBorders>
            <w:gridSpan w:val="9"/>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4.13**</w:t>
            </w:r>
          </w:p>
        </w:tc>
        <w:tc>
          <w:tcPr>
            <w:tcW w:w="620" w:type="dxa"/>
            <w:vAlign w:val="bottom"/>
          </w:tcPr>
          <w:p>
            <w:pPr>
              <w:spacing w:after="0"/>
              <w:rPr>
                <w:sz w:val="24"/>
                <w:szCs w:val="24"/>
                <w:color w:val="auto"/>
              </w:rPr>
            </w:pPr>
          </w:p>
        </w:tc>
        <w:tc>
          <w:tcPr>
            <w:tcW w:w="9340" w:type="dxa"/>
            <w:vAlign w:val="bottom"/>
            <w:tcBorders>
              <w:bottom w:val="single" w:sz="8" w:color="0000EE"/>
            </w:tcBorders>
            <w:gridSpan w:val="10"/>
          </w:tcPr>
          <w:p>
            <w:pPr>
              <w:spacing w:after="0"/>
              <w:rPr>
                <w:rFonts w:ascii="Arial" w:cs="Arial" w:eastAsia="Arial" w:hAnsi="Arial"/>
                <w:sz w:val="15"/>
                <w:szCs w:val="15"/>
                <w:color w:val="0000EE"/>
                <w:w w:val="92"/>
              </w:rPr>
            </w:pPr>
            <w:hyperlink r:id="rId148">
              <w:r>
                <w:rPr>
                  <w:rFonts w:ascii="Arial" w:cs="Arial" w:eastAsia="Arial" w:hAnsi="Arial"/>
                  <w:sz w:val="15"/>
                  <w:szCs w:val="15"/>
                  <w:color w:val="0000EE"/>
                  <w:w w:val="92"/>
                </w:rPr>
                <w:t>Indenture dated June 18, 2007, among Weatherford International, LLC, a Delaware limited liability company, Weatherford International Ltd., a Bermuda</w:t>
              </w:r>
            </w:hyperlink>
          </w:p>
        </w:tc>
        <w:tc>
          <w:tcPr>
            <w:tcW w:w="380" w:type="dxa"/>
            <w:vAlign w:val="bottom"/>
            <w:gridSpan w:val="8"/>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tcBorders>
              <w:bottom w:val="single" w:sz="8" w:color="0000EE"/>
            </w:tcBorders>
            <w:gridSpan w:val="18"/>
          </w:tcPr>
          <w:p>
            <w:pPr>
              <w:spacing w:after="0" w:line="163" w:lineRule="exact"/>
              <w:rPr>
                <w:rFonts w:ascii="Arial" w:cs="Arial" w:eastAsia="Arial" w:hAnsi="Arial"/>
                <w:sz w:val="15"/>
                <w:szCs w:val="15"/>
                <w:color w:val="0000EE"/>
                <w:w w:val="92"/>
              </w:rPr>
            </w:pPr>
            <w:hyperlink r:id="rId148">
              <w:r>
                <w:rPr>
                  <w:rFonts w:ascii="Arial" w:cs="Arial" w:eastAsia="Arial" w:hAnsi="Arial"/>
                  <w:sz w:val="15"/>
                  <w:szCs w:val="15"/>
                  <w:color w:val="0000EE"/>
                  <w:w w:val="92"/>
                </w:rPr>
                <w:t>exempted company, and Deutsche Bank Trust Company Americas (incorporated by reference to Exhibit 4.1 to the Current Report on Form 8-K of Weatherford</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18"/>
          </w:tcPr>
          <w:p>
            <w:pPr>
              <w:spacing w:after="0" w:line="163" w:lineRule="exact"/>
              <w:rPr>
                <w:rFonts w:ascii="Arial" w:cs="Arial" w:eastAsia="Arial" w:hAnsi="Arial"/>
                <w:sz w:val="15"/>
                <w:szCs w:val="15"/>
                <w:color w:val="0000EE"/>
              </w:rPr>
            </w:pPr>
            <w:hyperlink r:id="rId148">
              <w:r>
                <w:rPr>
                  <w:rFonts w:ascii="Arial" w:cs="Arial" w:eastAsia="Arial" w:hAnsi="Arial"/>
                  <w:sz w:val="15"/>
                  <w:szCs w:val="15"/>
                  <w:color w:val="0000EE"/>
                </w:rPr>
                <w:t>International Ltd., a Bermuda exempted company (File No. 1-31339), filed June 18, 2007)</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4.14**</w:t>
            </w:r>
          </w:p>
        </w:tc>
        <w:tc>
          <w:tcPr>
            <w:tcW w:w="6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5"/>
                <w:szCs w:val="15"/>
                <w:color w:val="0000EE"/>
                <w:w w:val="95"/>
              </w:rPr>
            </w:pPr>
            <w:hyperlink r:id="rId149">
              <w:r>
                <w:rPr>
                  <w:rFonts w:ascii="Arial" w:cs="Arial" w:eastAsia="Arial" w:hAnsi="Arial"/>
                  <w:sz w:val="15"/>
                  <w:szCs w:val="15"/>
                  <w:color w:val="0000EE"/>
                  <w:w w:val="95"/>
                </w:rPr>
                <w:t>First Supplemental Indenture dated June 18, 2007, among Weatherford International, LLC, a Delaware limited liability company, Weatherford International</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EE"/>
            </w:tcBorders>
            <w:gridSpan w:val="14"/>
          </w:tcPr>
          <w:p>
            <w:pPr>
              <w:spacing w:after="0" w:line="163" w:lineRule="exact"/>
              <w:rPr>
                <w:rFonts w:ascii="Arial" w:cs="Arial" w:eastAsia="Arial" w:hAnsi="Arial"/>
                <w:sz w:val="15"/>
                <w:szCs w:val="15"/>
                <w:color w:val="0000EE"/>
                <w:w w:val="93"/>
              </w:rPr>
            </w:pPr>
            <w:hyperlink r:id="rId149">
              <w:r>
                <w:rPr>
                  <w:rFonts w:ascii="Arial" w:cs="Arial" w:eastAsia="Arial" w:hAnsi="Arial"/>
                  <w:sz w:val="15"/>
                  <w:szCs w:val="15"/>
                  <w:color w:val="0000EE"/>
                  <w:w w:val="93"/>
                </w:rPr>
                <w:t>Ltd., a Bermuda exempted company, and Deutsche Bank Trust Company Americas (including the form of notes issued pursuant thereto) (incorporated by</w:t>
              </w:r>
            </w:hyperlink>
          </w:p>
        </w:tc>
        <w:tc>
          <w:tcPr>
            <w:tcW w:w="180" w:type="dxa"/>
            <w:vAlign w:val="bottom"/>
            <w:gridSpan w:val="4"/>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20" w:type="dxa"/>
            <w:vAlign w:val="bottom"/>
            <w:tcBorders>
              <w:top w:val="single" w:sz="8" w:color="0000EE"/>
              <w:bottom w:val="single" w:sz="8" w:color="0000EE"/>
            </w:tcBorders>
            <w:gridSpan w:val="9"/>
          </w:tcPr>
          <w:p>
            <w:pPr>
              <w:spacing w:after="0" w:line="163" w:lineRule="exact"/>
              <w:rPr>
                <w:rFonts w:ascii="Arial" w:cs="Arial" w:eastAsia="Arial" w:hAnsi="Arial"/>
                <w:sz w:val="15"/>
                <w:szCs w:val="15"/>
                <w:color w:val="0000EE"/>
                <w:w w:val="93"/>
              </w:rPr>
            </w:pPr>
            <w:hyperlink r:id="rId149">
              <w:r>
                <w:rPr>
                  <w:rFonts w:ascii="Arial" w:cs="Arial" w:eastAsia="Arial" w:hAnsi="Arial"/>
                  <w:sz w:val="15"/>
                  <w:szCs w:val="15"/>
                  <w:color w:val="0000EE"/>
                  <w:w w:val="93"/>
                </w:rPr>
                <w:t>reference to Exhibit 4.2 to the Current Report on Form 8-K of Weatherford International Ltd., a Bermuda exempted company (File No. 1-31339), filed</w:t>
              </w:r>
            </w:hyperlink>
          </w:p>
        </w:tc>
        <w:tc>
          <w:tcPr>
            <w:tcW w:w="160" w:type="dxa"/>
            <w:vAlign w:val="bottom"/>
            <w:tcBorders>
              <w:top w:val="single" w:sz="8" w:color="0000EE"/>
            </w:tcBorders>
            <w:gridSpan w:val="2"/>
          </w:tcPr>
          <w:p>
            <w:pPr>
              <w:spacing w:after="0"/>
              <w:rPr>
                <w:sz w:val="14"/>
                <w:szCs w:val="14"/>
                <w:color w:val="auto"/>
              </w:rPr>
            </w:pPr>
          </w:p>
        </w:tc>
        <w:tc>
          <w:tcPr>
            <w:tcW w:w="340" w:type="dxa"/>
            <w:vAlign w:val="bottom"/>
            <w:gridSpan w:val="7"/>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Borders>
              <w:bottom w:val="single" w:sz="8" w:color="0000EE"/>
            </w:tcBorders>
          </w:tcPr>
          <w:p>
            <w:pPr>
              <w:spacing w:after="0" w:line="163" w:lineRule="exact"/>
              <w:rPr>
                <w:rFonts w:ascii="Arial" w:cs="Arial" w:eastAsia="Arial" w:hAnsi="Arial"/>
                <w:sz w:val="15"/>
                <w:szCs w:val="15"/>
                <w:color w:val="0000EE"/>
                <w:w w:val="89"/>
              </w:rPr>
            </w:pPr>
            <w:hyperlink r:id="rId149">
              <w:r>
                <w:rPr>
                  <w:rFonts w:ascii="Arial" w:cs="Arial" w:eastAsia="Arial" w:hAnsi="Arial"/>
                  <w:sz w:val="15"/>
                  <w:szCs w:val="15"/>
                  <w:color w:val="0000EE"/>
                  <w:w w:val="89"/>
                </w:rPr>
                <w:t>June 18, 2007)</w:t>
              </w:r>
            </w:hyperlink>
          </w:p>
        </w:tc>
        <w:tc>
          <w:tcPr>
            <w:tcW w:w="8800" w:type="dxa"/>
            <w:vAlign w:val="bottom"/>
            <w:gridSpan w:val="17"/>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4.15**</w:t>
            </w:r>
          </w:p>
        </w:tc>
        <w:tc>
          <w:tcPr>
            <w:tcW w:w="62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Arial" w:cs="Arial" w:eastAsia="Arial" w:hAnsi="Arial"/>
                <w:sz w:val="15"/>
                <w:szCs w:val="15"/>
                <w:color w:val="0000EE"/>
                <w:w w:val="92"/>
              </w:rPr>
            </w:pPr>
            <w:hyperlink r:id="rId150">
              <w:r>
                <w:rPr>
                  <w:rFonts w:ascii="Arial" w:cs="Arial" w:eastAsia="Arial" w:hAnsi="Arial"/>
                  <w:sz w:val="15"/>
                  <w:szCs w:val="15"/>
                  <w:color w:val="0000EE"/>
                  <w:w w:val="92"/>
                </w:rPr>
                <w:t>Second Supplemental Indenture dated as of February 26, 2009, among Weatherford International, LLC, a Delaware limited liability company, Weatherford</w:t>
              </w:r>
            </w:hyperlink>
          </w:p>
        </w:tc>
        <w:tc>
          <w:tcPr>
            <w:tcW w:w="240" w:type="dxa"/>
            <w:vAlign w:val="bottom"/>
            <w:gridSpan w:val="5"/>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0" w:type="dxa"/>
            <w:vAlign w:val="bottom"/>
            <w:tcBorders>
              <w:bottom w:val="single" w:sz="8" w:color="0000EE"/>
            </w:tcBorders>
            <w:gridSpan w:val="8"/>
          </w:tcPr>
          <w:p>
            <w:pPr>
              <w:spacing w:after="0" w:line="163" w:lineRule="exact"/>
              <w:rPr>
                <w:rFonts w:ascii="Arial" w:cs="Arial" w:eastAsia="Arial" w:hAnsi="Arial"/>
                <w:sz w:val="15"/>
                <w:szCs w:val="15"/>
                <w:color w:val="0000EE"/>
                <w:w w:val="92"/>
              </w:rPr>
            </w:pPr>
            <w:hyperlink r:id="rId150">
              <w:r>
                <w:rPr>
                  <w:rFonts w:ascii="Arial" w:cs="Arial" w:eastAsia="Arial" w:hAnsi="Arial"/>
                  <w:sz w:val="15"/>
                  <w:szCs w:val="15"/>
                  <w:color w:val="0000EE"/>
                  <w:w w:val="92"/>
                </w:rPr>
                <w:t>International Ltd., a Bermuda exempted company, Weatherford International Ltd., a Swiss joint-stock corporation, and Deutsche Bank Trust Company</w:t>
              </w:r>
            </w:hyperlink>
          </w:p>
        </w:tc>
        <w:tc>
          <w:tcPr>
            <w:tcW w:w="520" w:type="dxa"/>
            <w:vAlign w:val="bottom"/>
            <w:gridSpan w:val="10"/>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bottom w:val="single" w:sz="8" w:color="0000EE"/>
            </w:tcBorders>
            <w:gridSpan w:val="16"/>
          </w:tcPr>
          <w:p>
            <w:pPr>
              <w:spacing w:after="0" w:line="163" w:lineRule="exact"/>
              <w:rPr>
                <w:rFonts w:ascii="Arial" w:cs="Arial" w:eastAsia="Arial" w:hAnsi="Arial"/>
                <w:sz w:val="15"/>
                <w:szCs w:val="15"/>
                <w:color w:val="0000EE"/>
                <w:w w:val="93"/>
              </w:rPr>
            </w:pPr>
            <w:hyperlink r:id="rId150">
              <w:r>
                <w:rPr>
                  <w:rFonts w:ascii="Arial" w:cs="Arial" w:eastAsia="Arial" w:hAnsi="Arial"/>
                  <w:sz w:val="15"/>
                  <w:szCs w:val="15"/>
                  <w:color w:val="0000EE"/>
                  <w:w w:val="93"/>
                </w:rPr>
                <w:t>America (incorporated by reference to Exhibit 4.3 to the Current Report on Form 8-K of Weatherford International Ltd., a Swiss joint-stock corporation (File</w:t>
              </w:r>
            </w:hyperlink>
          </w:p>
        </w:tc>
        <w:tc>
          <w:tcPr>
            <w:tcW w:w="12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Borders>
              <w:bottom w:val="single" w:sz="8" w:color="0000EE"/>
            </w:tcBorders>
            <w:gridSpan w:val="3"/>
          </w:tcPr>
          <w:p>
            <w:pPr>
              <w:spacing w:after="0" w:line="163" w:lineRule="exact"/>
              <w:rPr>
                <w:rFonts w:ascii="Arial" w:cs="Arial" w:eastAsia="Arial" w:hAnsi="Arial"/>
                <w:sz w:val="15"/>
                <w:szCs w:val="15"/>
                <w:color w:val="0000EE"/>
                <w:w w:val="93"/>
              </w:rPr>
            </w:pPr>
            <w:hyperlink r:id="rId150">
              <w:r>
                <w:rPr>
                  <w:rFonts w:ascii="Arial" w:cs="Arial" w:eastAsia="Arial" w:hAnsi="Arial"/>
                  <w:sz w:val="15"/>
                  <w:szCs w:val="15"/>
                  <w:color w:val="0000EE"/>
                  <w:w w:val="93"/>
                </w:rPr>
                <w:t>No. 1-34258), filed February 26, 2009)</w:t>
              </w:r>
            </w:hyperlink>
          </w:p>
        </w:tc>
        <w:tc>
          <w:tcPr>
            <w:tcW w:w="7320" w:type="dxa"/>
            <w:vAlign w:val="bottom"/>
            <w:gridSpan w:val="15"/>
          </w:tcPr>
          <w:p>
            <w:pPr>
              <w:spacing w:after="0"/>
              <w:rPr>
                <w:sz w:val="14"/>
                <w:szCs w:val="14"/>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4.16**</w:t>
            </w:r>
          </w:p>
        </w:tc>
        <w:tc>
          <w:tcPr>
            <w:tcW w:w="62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Arial" w:cs="Arial" w:eastAsia="Arial" w:hAnsi="Arial"/>
                <w:sz w:val="15"/>
                <w:szCs w:val="15"/>
                <w:color w:val="0000EE"/>
                <w:w w:val="93"/>
              </w:rPr>
            </w:pPr>
            <w:hyperlink r:id="rId152">
              <w:r>
                <w:rPr>
                  <w:rFonts w:ascii="Arial" w:cs="Arial" w:eastAsia="Arial" w:hAnsi="Arial"/>
                  <w:sz w:val="15"/>
                  <w:szCs w:val="15"/>
                  <w:color w:val="0000EE"/>
                  <w:w w:val="93"/>
                </w:rPr>
                <w:t>Third Supplemental Indenture dated as of August 14, 2012, among Weatherford International, LLC, a Delaware limited liability company, Weatherford</w:t>
              </w:r>
            </w:hyperlink>
          </w:p>
        </w:tc>
        <w:tc>
          <w:tcPr>
            <w:tcW w:w="420" w:type="dxa"/>
            <w:vAlign w:val="bottom"/>
            <w:gridSpan w:val="5"/>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0" w:type="dxa"/>
            <w:vAlign w:val="bottom"/>
            <w:tcBorders>
              <w:bottom w:val="single" w:sz="8" w:color="0000EE"/>
            </w:tcBorders>
            <w:gridSpan w:val="15"/>
          </w:tcPr>
          <w:p>
            <w:pPr>
              <w:spacing w:after="0" w:line="163" w:lineRule="exact"/>
              <w:rPr>
                <w:rFonts w:ascii="Arial" w:cs="Arial" w:eastAsia="Arial" w:hAnsi="Arial"/>
                <w:sz w:val="15"/>
                <w:szCs w:val="15"/>
                <w:color w:val="0000EE"/>
                <w:w w:val="92"/>
              </w:rPr>
            </w:pPr>
            <w:hyperlink r:id="rId152">
              <w:r>
                <w:rPr>
                  <w:rFonts w:ascii="Arial" w:cs="Arial" w:eastAsia="Arial" w:hAnsi="Arial"/>
                  <w:sz w:val="15"/>
                  <w:szCs w:val="15"/>
                  <w:color w:val="0000EE"/>
                  <w:w w:val="92"/>
                </w:rPr>
                <w:t>International Ltd., a Bermuda exempted company, Weatherford International Ltd., a Swiss joint-stock corporation, and Deutsche Bank Trust Company</w:t>
              </w:r>
            </w:hyperlink>
          </w:p>
        </w:tc>
        <w:tc>
          <w:tcPr>
            <w:tcW w:w="460" w:type="dxa"/>
            <w:vAlign w:val="bottom"/>
            <w:gridSpan w:val="6"/>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60" w:type="dxa"/>
            <w:vAlign w:val="bottom"/>
            <w:tcBorders>
              <w:bottom w:val="single" w:sz="8" w:color="0000EE"/>
            </w:tcBorders>
            <w:gridSpan w:val="21"/>
          </w:tcPr>
          <w:p>
            <w:pPr>
              <w:spacing w:after="0" w:line="163" w:lineRule="exact"/>
              <w:rPr>
                <w:rFonts w:ascii="Arial" w:cs="Arial" w:eastAsia="Arial" w:hAnsi="Arial"/>
                <w:sz w:val="15"/>
                <w:szCs w:val="15"/>
                <w:color w:val="0000EE"/>
                <w:w w:val="92"/>
              </w:rPr>
            </w:pPr>
            <w:hyperlink r:id="rId152">
              <w:r>
                <w:rPr>
                  <w:rFonts w:ascii="Arial" w:cs="Arial" w:eastAsia="Arial" w:hAnsi="Arial"/>
                  <w:sz w:val="15"/>
                  <w:szCs w:val="15"/>
                  <w:color w:val="0000EE"/>
                  <w:w w:val="92"/>
                </w:rPr>
                <w:t>Americas to the indenture dated as of June 18, 2007 (incorporated by reference to Exhibit 4.2 to the Current Report on Form 8-K of Weatherford International</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80" w:type="dxa"/>
            <w:vAlign w:val="bottom"/>
            <w:tcBorders>
              <w:bottom w:val="single" w:sz="8" w:color="0000EE"/>
            </w:tcBorders>
            <w:gridSpan w:val="7"/>
          </w:tcPr>
          <w:p>
            <w:pPr>
              <w:spacing w:after="0" w:line="163" w:lineRule="exact"/>
              <w:rPr>
                <w:rFonts w:ascii="Arial" w:cs="Arial" w:eastAsia="Arial" w:hAnsi="Arial"/>
                <w:sz w:val="15"/>
                <w:szCs w:val="15"/>
                <w:color w:val="0000EE"/>
                <w:w w:val="94"/>
              </w:rPr>
            </w:pPr>
            <w:hyperlink r:id="rId152">
              <w:r>
                <w:rPr>
                  <w:rFonts w:ascii="Arial" w:cs="Arial" w:eastAsia="Arial" w:hAnsi="Arial"/>
                  <w:sz w:val="15"/>
                  <w:szCs w:val="15"/>
                  <w:color w:val="0000EE"/>
                  <w:w w:val="94"/>
                </w:rPr>
                <w:t>Ltd., a Swiss joint-stock corporation (File No. 1-34258), filed August 14, 2012)</w:t>
              </w:r>
            </w:hyperlink>
          </w:p>
        </w:tc>
        <w:tc>
          <w:tcPr>
            <w:tcW w:w="4780" w:type="dxa"/>
            <w:vAlign w:val="bottom"/>
            <w:gridSpan w:val="14"/>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4.17**</w:t>
            </w:r>
          </w:p>
        </w:tc>
        <w:tc>
          <w:tcPr>
            <w:tcW w:w="62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5"/>
                <w:szCs w:val="15"/>
                <w:color w:val="0000EE"/>
                <w:w w:val="96"/>
              </w:rPr>
            </w:pPr>
            <w:hyperlink r:id="rId153">
              <w:r>
                <w:rPr>
                  <w:rFonts w:ascii="Arial" w:cs="Arial" w:eastAsia="Arial" w:hAnsi="Arial"/>
                  <w:sz w:val="15"/>
                  <w:szCs w:val="15"/>
                  <w:color w:val="0000EE"/>
                  <w:w w:val="96"/>
                </w:rPr>
                <w:t>Fourth Supplemental Indenture dated as of March 31, 2013, among Weatherford International, LLC, a Delaware limited liability company, Weatherford</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0" w:type="dxa"/>
            <w:vAlign w:val="bottom"/>
            <w:tcBorders>
              <w:top w:val="single" w:sz="8" w:color="0000EE"/>
              <w:bottom w:val="single" w:sz="8" w:color="0000EE"/>
            </w:tcBorders>
            <w:gridSpan w:val="15"/>
          </w:tcPr>
          <w:p>
            <w:pPr>
              <w:spacing w:after="0" w:line="163" w:lineRule="exact"/>
              <w:rPr>
                <w:rFonts w:ascii="Arial" w:cs="Arial" w:eastAsia="Arial" w:hAnsi="Arial"/>
                <w:sz w:val="15"/>
                <w:szCs w:val="15"/>
                <w:color w:val="0000EE"/>
                <w:w w:val="92"/>
              </w:rPr>
            </w:pPr>
            <w:hyperlink r:id="rId153">
              <w:r>
                <w:rPr>
                  <w:rFonts w:ascii="Arial" w:cs="Arial" w:eastAsia="Arial" w:hAnsi="Arial"/>
                  <w:sz w:val="15"/>
                  <w:szCs w:val="15"/>
                  <w:color w:val="0000EE"/>
                  <w:w w:val="92"/>
                </w:rPr>
                <w:t>International Ltd., a Bermuda exempted company, Weatherford International Ltd., a Swiss joint-stock corporation, and Deutsche Bank Trust Company</w:t>
              </w:r>
            </w:hyperlink>
          </w:p>
        </w:tc>
        <w:tc>
          <w:tcPr>
            <w:tcW w:w="60" w:type="dxa"/>
            <w:vAlign w:val="bottom"/>
            <w:tcBorders>
              <w:top w:val="single" w:sz="8" w:color="0000EE"/>
            </w:tcBorders>
            <w:gridSpan w:val="2"/>
          </w:tcPr>
          <w:p>
            <w:pPr>
              <w:spacing w:after="0"/>
              <w:rPr>
                <w:sz w:val="14"/>
                <w:szCs w:val="14"/>
                <w:color w:val="auto"/>
              </w:rPr>
            </w:pPr>
          </w:p>
        </w:tc>
        <w:tc>
          <w:tcPr>
            <w:tcW w:w="400" w:type="dxa"/>
            <w:vAlign w:val="bottom"/>
            <w:gridSpan w:val="4"/>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60" w:type="dxa"/>
            <w:vAlign w:val="bottom"/>
            <w:gridSpan w:val="21"/>
          </w:tcPr>
          <w:p>
            <w:pPr>
              <w:spacing w:after="0" w:line="163" w:lineRule="exact"/>
              <w:rPr>
                <w:rFonts w:ascii="Arial" w:cs="Arial" w:eastAsia="Arial" w:hAnsi="Arial"/>
                <w:sz w:val="15"/>
                <w:szCs w:val="15"/>
                <w:color w:val="0000EE"/>
                <w:w w:val="94"/>
              </w:rPr>
            </w:pPr>
            <w:hyperlink r:id="rId153">
              <w:r>
                <w:rPr>
                  <w:rFonts w:ascii="Arial" w:cs="Arial" w:eastAsia="Arial" w:hAnsi="Arial"/>
                  <w:sz w:val="15"/>
                  <w:szCs w:val="15"/>
                  <w:color w:val="0000EE"/>
                  <w:w w:val="94"/>
                </w:rPr>
                <w:t>Americas to the indenture dated as of June 18, 2007 (incorporated by reference to Exhibit 4.2 to the Quarterly Report on Form 10-Q for the quarter ended</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80" w:type="dxa"/>
            <w:vAlign w:val="bottom"/>
            <w:tcBorders>
              <w:top w:val="single" w:sz="8" w:color="0000EE"/>
            </w:tcBorders>
            <w:gridSpan w:val="19"/>
          </w:tcPr>
          <w:p>
            <w:pPr>
              <w:spacing w:after="0" w:line="163" w:lineRule="exact"/>
              <w:rPr>
                <w:rFonts w:ascii="Arial" w:cs="Arial" w:eastAsia="Arial" w:hAnsi="Arial"/>
                <w:sz w:val="15"/>
                <w:szCs w:val="15"/>
                <w:color w:val="0000EE"/>
              </w:rPr>
            </w:pPr>
            <w:hyperlink r:id="rId153">
              <w:r>
                <w:rPr>
                  <w:rFonts w:ascii="Arial" w:cs="Arial" w:eastAsia="Arial" w:hAnsi="Arial"/>
                  <w:sz w:val="15"/>
                  <w:szCs w:val="15"/>
                  <w:color w:val="0000EE"/>
                </w:rPr>
                <w:t>March 31, 2013 of Weatherford International Ltd., a Swiss joint-stock corporation (File No. 1-34258), filed May 3, 2013)</w:t>
              </w:r>
            </w:hyperlink>
          </w:p>
        </w:tc>
        <w:tc>
          <w:tcPr>
            <w:tcW w:w="280" w:type="dxa"/>
            <w:vAlign w:val="bottom"/>
            <w:gridSpan w:val="2"/>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4.18**</w:t>
            </w:r>
          </w:p>
        </w:tc>
        <w:tc>
          <w:tcPr>
            <w:tcW w:w="620" w:type="dxa"/>
            <w:vAlign w:val="bottom"/>
          </w:tcPr>
          <w:p>
            <w:pPr>
              <w:spacing w:after="0"/>
              <w:rPr>
                <w:sz w:val="24"/>
                <w:szCs w:val="24"/>
                <w:color w:val="auto"/>
              </w:rPr>
            </w:pPr>
          </w:p>
        </w:tc>
        <w:tc>
          <w:tcPr>
            <w:tcW w:w="9040" w:type="dxa"/>
            <w:vAlign w:val="bottom"/>
            <w:tcBorders>
              <w:bottom w:val="single" w:sz="8" w:color="0000EE"/>
            </w:tcBorders>
            <w:gridSpan w:val="10"/>
          </w:tcPr>
          <w:p>
            <w:pPr>
              <w:spacing w:after="0"/>
              <w:rPr>
                <w:rFonts w:ascii="Arial" w:cs="Arial" w:eastAsia="Arial" w:hAnsi="Arial"/>
                <w:sz w:val="15"/>
                <w:szCs w:val="15"/>
                <w:color w:val="0000EE"/>
                <w:w w:val="92"/>
              </w:rPr>
            </w:pPr>
            <w:hyperlink r:id="rId154">
              <w:r>
                <w:rPr>
                  <w:rFonts w:ascii="Arial" w:cs="Arial" w:eastAsia="Arial" w:hAnsi="Arial"/>
                  <w:sz w:val="15"/>
                  <w:szCs w:val="15"/>
                  <w:color w:val="0000EE"/>
                  <w:w w:val="92"/>
                </w:rPr>
                <w:t>Fifth Supplemental Indenture dated as of June 17, 2014, among Weatherford International, LLC, a Delaware limited liability company, Weatherford</w:t>
              </w:r>
            </w:hyperlink>
          </w:p>
        </w:tc>
        <w:tc>
          <w:tcPr>
            <w:tcW w:w="620" w:type="dxa"/>
            <w:vAlign w:val="bottom"/>
            <w:gridSpan w:val="11"/>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80" w:type="dxa"/>
            <w:vAlign w:val="bottom"/>
            <w:tcBorders>
              <w:bottom w:val="single" w:sz="8" w:color="0000EE"/>
            </w:tcBorders>
            <w:gridSpan w:val="14"/>
          </w:tcPr>
          <w:p>
            <w:pPr>
              <w:spacing w:after="0" w:line="163" w:lineRule="exact"/>
              <w:rPr>
                <w:rFonts w:ascii="Arial" w:cs="Arial" w:eastAsia="Arial" w:hAnsi="Arial"/>
                <w:sz w:val="15"/>
                <w:szCs w:val="15"/>
                <w:color w:val="0000EE"/>
                <w:w w:val="92"/>
              </w:rPr>
            </w:pPr>
            <w:hyperlink r:id="rId154">
              <w:r>
                <w:rPr>
                  <w:rFonts w:ascii="Arial" w:cs="Arial" w:eastAsia="Arial" w:hAnsi="Arial"/>
                  <w:sz w:val="15"/>
                  <w:szCs w:val="15"/>
                  <w:color w:val="0000EE"/>
                  <w:w w:val="92"/>
                </w:rPr>
                <w:t>International Ltd., a Bermuda exempted company, Weatherford International plc, an Irish public limited company, and Deutsche Bank Trust Company</w:t>
              </w:r>
            </w:hyperlink>
          </w:p>
        </w:tc>
        <w:tc>
          <w:tcPr>
            <w:tcW w:w="480" w:type="dxa"/>
            <w:vAlign w:val="bottom"/>
            <w:gridSpan w:val="7"/>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40" w:type="dxa"/>
            <w:vAlign w:val="bottom"/>
            <w:tcBorders>
              <w:bottom w:val="single" w:sz="8" w:color="0000EE"/>
            </w:tcBorders>
            <w:gridSpan w:val="20"/>
          </w:tcPr>
          <w:p>
            <w:pPr>
              <w:spacing w:after="0" w:line="163" w:lineRule="exact"/>
              <w:rPr>
                <w:rFonts w:ascii="Arial" w:cs="Arial" w:eastAsia="Arial" w:hAnsi="Arial"/>
                <w:sz w:val="15"/>
                <w:szCs w:val="15"/>
                <w:color w:val="0000EE"/>
                <w:w w:val="91"/>
              </w:rPr>
            </w:pPr>
            <w:hyperlink r:id="rId154">
              <w:r>
                <w:rPr>
                  <w:rFonts w:ascii="Arial" w:cs="Arial" w:eastAsia="Arial" w:hAnsi="Arial"/>
                  <w:sz w:val="15"/>
                  <w:szCs w:val="15"/>
                  <w:color w:val="0000EE"/>
                  <w:w w:val="91"/>
                </w:rPr>
                <w:t>Americas, as trustee, to the indenture dated as of June 18, 2007 (incorporated by reference to Exhibit 4.2 to Weatherford International plc’s Current Report on</w:t>
              </w:r>
            </w:hyperlink>
          </w:p>
        </w:tc>
        <w:tc>
          <w:tcPr>
            <w:tcW w:w="2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20" w:type="dxa"/>
            <w:vAlign w:val="bottom"/>
            <w:tcBorders>
              <w:bottom w:val="single" w:sz="8" w:color="0000EE"/>
            </w:tcBorders>
            <w:gridSpan w:val="6"/>
          </w:tcPr>
          <w:p>
            <w:pPr>
              <w:spacing w:after="0" w:line="163" w:lineRule="exact"/>
              <w:rPr>
                <w:rFonts w:ascii="Arial" w:cs="Arial" w:eastAsia="Arial" w:hAnsi="Arial"/>
                <w:sz w:val="15"/>
                <w:szCs w:val="15"/>
                <w:color w:val="0000EE"/>
                <w:w w:val="94"/>
              </w:rPr>
            </w:pPr>
            <w:hyperlink r:id="rId154">
              <w:r>
                <w:rPr>
                  <w:rFonts w:ascii="Arial" w:cs="Arial" w:eastAsia="Arial" w:hAnsi="Arial"/>
                  <w:sz w:val="15"/>
                  <w:szCs w:val="15"/>
                  <w:color w:val="0000EE"/>
                  <w:w w:val="94"/>
                </w:rPr>
                <w:t>Form 8-K12B (File No. 1-36504) filed June 17, 2014)</w:t>
              </w:r>
            </w:hyperlink>
          </w:p>
        </w:tc>
        <w:tc>
          <w:tcPr>
            <w:tcW w:w="6340" w:type="dxa"/>
            <w:vAlign w:val="bottom"/>
            <w:gridSpan w:val="15"/>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4.19**</w:t>
            </w:r>
          </w:p>
        </w:tc>
        <w:tc>
          <w:tcPr>
            <w:tcW w:w="620" w:type="dxa"/>
            <w:vAlign w:val="bottom"/>
          </w:tcPr>
          <w:p>
            <w:pPr>
              <w:spacing w:after="0"/>
              <w:rPr>
                <w:sz w:val="24"/>
                <w:szCs w:val="24"/>
                <w:color w:val="auto"/>
              </w:rPr>
            </w:pPr>
          </w:p>
        </w:tc>
        <w:tc>
          <w:tcPr>
            <w:tcW w:w="9340" w:type="dxa"/>
            <w:vAlign w:val="bottom"/>
            <w:tcBorders>
              <w:bottom w:val="single" w:sz="8" w:color="0000EE"/>
            </w:tcBorders>
            <w:gridSpan w:val="18"/>
          </w:tcPr>
          <w:p>
            <w:pPr>
              <w:spacing w:after="0"/>
              <w:rPr>
                <w:rFonts w:ascii="Arial" w:cs="Arial" w:eastAsia="Arial" w:hAnsi="Arial"/>
                <w:sz w:val="15"/>
                <w:szCs w:val="15"/>
                <w:color w:val="0000EE"/>
                <w:w w:val="92"/>
              </w:rPr>
            </w:pPr>
            <w:hyperlink r:id="rId155">
              <w:r>
                <w:rPr>
                  <w:rFonts w:ascii="Arial" w:cs="Arial" w:eastAsia="Arial" w:hAnsi="Arial"/>
                  <w:sz w:val="15"/>
                  <w:szCs w:val="15"/>
                  <w:color w:val="0000EE"/>
                  <w:w w:val="92"/>
                </w:rPr>
                <w:t>Sixth Supplemental Indenture dated as of February 28, 2018, among Weatherford International, LLC, a Delaware limited liability company, Weatherford</w:t>
              </w:r>
            </w:hyperlink>
          </w:p>
        </w:tc>
        <w:tc>
          <w:tcPr>
            <w:tcW w:w="320" w:type="dxa"/>
            <w:vAlign w:val="bottom"/>
            <w:gridSpan w:val="3"/>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80" w:type="dxa"/>
            <w:vAlign w:val="bottom"/>
            <w:tcBorders>
              <w:bottom w:val="single" w:sz="8" w:color="0000EE"/>
            </w:tcBorders>
            <w:gridSpan w:val="14"/>
          </w:tcPr>
          <w:p>
            <w:pPr>
              <w:spacing w:after="0" w:line="163" w:lineRule="exact"/>
              <w:rPr>
                <w:rFonts w:ascii="Arial" w:cs="Arial" w:eastAsia="Arial" w:hAnsi="Arial"/>
                <w:sz w:val="15"/>
                <w:szCs w:val="15"/>
                <w:color w:val="0000EE"/>
                <w:w w:val="92"/>
              </w:rPr>
            </w:pPr>
            <w:hyperlink r:id="rId155">
              <w:r>
                <w:rPr>
                  <w:rFonts w:ascii="Arial" w:cs="Arial" w:eastAsia="Arial" w:hAnsi="Arial"/>
                  <w:sz w:val="15"/>
                  <w:szCs w:val="15"/>
                  <w:color w:val="0000EE"/>
                  <w:w w:val="92"/>
                </w:rPr>
                <w:t>International Ltd., a Bermuda exempted company, Weatherford International plc, an Irish public limited company, and Deutsche Bank Trust Company</w:t>
              </w:r>
            </w:hyperlink>
          </w:p>
        </w:tc>
        <w:tc>
          <w:tcPr>
            <w:tcW w:w="480" w:type="dxa"/>
            <w:vAlign w:val="bottom"/>
            <w:gridSpan w:val="7"/>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40" w:type="dxa"/>
            <w:vAlign w:val="bottom"/>
            <w:tcBorders>
              <w:bottom w:val="single" w:sz="8" w:color="0000EE"/>
            </w:tcBorders>
            <w:gridSpan w:val="20"/>
          </w:tcPr>
          <w:p>
            <w:pPr>
              <w:spacing w:after="0" w:line="163" w:lineRule="exact"/>
              <w:rPr>
                <w:rFonts w:ascii="Arial" w:cs="Arial" w:eastAsia="Arial" w:hAnsi="Arial"/>
                <w:sz w:val="15"/>
                <w:szCs w:val="15"/>
                <w:color w:val="0000EE"/>
                <w:w w:val="91"/>
              </w:rPr>
            </w:pPr>
            <w:hyperlink r:id="rId155">
              <w:r>
                <w:rPr>
                  <w:rFonts w:ascii="Arial" w:cs="Arial" w:eastAsia="Arial" w:hAnsi="Arial"/>
                  <w:sz w:val="15"/>
                  <w:szCs w:val="15"/>
                  <w:color w:val="0000EE"/>
                  <w:w w:val="91"/>
                </w:rPr>
                <w:t>Americas, as trustee, to the indenture dated as of June 18, 2007 (incorporated by reference to Exhibit 4.1 to Weatherford International plc’s Current Report on</w:t>
              </w:r>
            </w:hyperlink>
          </w:p>
        </w:tc>
        <w:tc>
          <w:tcPr>
            <w:tcW w:w="2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60" w:type="dxa"/>
            <w:vAlign w:val="bottom"/>
            <w:gridSpan w:val="21"/>
          </w:tcPr>
          <w:p>
            <w:pPr>
              <w:spacing w:after="0" w:line="163" w:lineRule="exact"/>
              <w:rPr>
                <w:rFonts w:ascii="Arial" w:cs="Arial" w:eastAsia="Arial" w:hAnsi="Arial"/>
                <w:sz w:val="15"/>
                <w:szCs w:val="15"/>
                <w:color w:val="0000EE"/>
              </w:rPr>
            </w:pPr>
            <w:hyperlink r:id="rId155">
              <w:r>
                <w:rPr>
                  <w:rFonts w:ascii="Arial" w:cs="Arial" w:eastAsia="Arial" w:hAnsi="Arial"/>
                  <w:sz w:val="15"/>
                  <w:szCs w:val="15"/>
                  <w:color w:val="0000EE"/>
                </w:rPr>
                <w:t>Form 8-K (File No. 1-36504) filed March 5, 2018)</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4.20**</w:t>
            </w:r>
          </w:p>
        </w:tc>
        <w:tc>
          <w:tcPr>
            <w:tcW w:w="620" w:type="dxa"/>
            <w:vAlign w:val="bottom"/>
          </w:tcPr>
          <w:p>
            <w:pPr>
              <w:spacing w:after="0"/>
              <w:rPr>
                <w:sz w:val="24"/>
                <w:szCs w:val="24"/>
                <w:color w:val="auto"/>
              </w:rPr>
            </w:pPr>
          </w:p>
        </w:tc>
        <w:tc>
          <w:tcPr>
            <w:tcW w:w="9140" w:type="dxa"/>
            <w:vAlign w:val="bottom"/>
            <w:tcBorders>
              <w:bottom w:val="single" w:sz="8" w:color="0000EE"/>
            </w:tcBorders>
            <w:gridSpan w:val="13"/>
          </w:tcPr>
          <w:p>
            <w:pPr>
              <w:spacing w:after="0"/>
              <w:rPr>
                <w:rFonts w:ascii="Arial" w:cs="Arial" w:eastAsia="Arial" w:hAnsi="Arial"/>
                <w:sz w:val="15"/>
                <w:szCs w:val="15"/>
                <w:color w:val="0000EE"/>
                <w:w w:val="92"/>
              </w:rPr>
            </w:pPr>
            <w:hyperlink r:id="rId156">
              <w:r>
                <w:rPr>
                  <w:rFonts w:ascii="Arial" w:cs="Arial" w:eastAsia="Arial" w:hAnsi="Arial"/>
                  <w:sz w:val="15"/>
                  <w:szCs w:val="15"/>
                  <w:color w:val="0000EE"/>
                  <w:w w:val="92"/>
                </w:rPr>
                <w:t>Form of Warrant Agreement dated November 21, 2016, among Weatherford International plc, an Irish public limited company, and the holder thereof</w:t>
              </w:r>
            </w:hyperlink>
          </w:p>
        </w:tc>
        <w:tc>
          <w:tcPr>
            <w:tcW w:w="520" w:type="dxa"/>
            <w:vAlign w:val="bottom"/>
            <w:gridSpan w:val="8"/>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0" w:type="dxa"/>
            <w:vAlign w:val="bottom"/>
            <w:tcBorders>
              <w:bottom w:val="single" w:sz="8" w:color="0000EE"/>
            </w:tcBorders>
            <w:gridSpan w:val="15"/>
          </w:tcPr>
          <w:p>
            <w:pPr>
              <w:spacing w:after="0" w:line="163" w:lineRule="exact"/>
              <w:rPr>
                <w:rFonts w:ascii="Arial" w:cs="Arial" w:eastAsia="Arial" w:hAnsi="Arial"/>
                <w:sz w:val="15"/>
                <w:szCs w:val="15"/>
                <w:color w:val="0000EE"/>
                <w:w w:val="93"/>
              </w:rPr>
            </w:pPr>
            <w:hyperlink r:id="rId156">
              <w:r>
                <w:rPr>
                  <w:rFonts w:ascii="Arial" w:cs="Arial" w:eastAsia="Arial" w:hAnsi="Arial"/>
                  <w:sz w:val="15"/>
                  <w:szCs w:val="15"/>
                  <w:color w:val="0000EE"/>
                  <w:w w:val="93"/>
                </w:rPr>
                <w:t>(incorporated by reference to Exhibit 4.3 to Weatherford International plc’s Current Report on Form 8-K (File No. 1-36504) filed November 21, 2016)</w:t>
              </w:r>
            </w:hyperlink>
          </w:p>
        </w:tc>
        <w:tc>
          <w:tcPr>
            <w:tcW w:w="460" w:type="dxa"/>
            <w:vAlign w:val="bottom"/>
            <w:gridSpan w:val="6"/>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4.21**</w:t>
            </w:r>
          </w:p>
        </w:tc>
        <w:tc>
          <w:tcPr>
            <w:tcW w:w="620" w:type="dxa"/>
            <w:vAlign w:val="bottom"/>
          </w:tcPr>
          <w:p>
            <w:pPr>
              <w:spacing w:after="0"/>
              <w:rPr>
                <w:sz w:val="24"/>
                <w:szCs w:val="24"/>
                <w:color w:val="auto"/>
              </w:rPr>
            </w:pPr>
          </w:p>
        </w:tc>
        <w:tc>
          <w:tcPr>
            <w:tcW w:w="9080" w:type="dxa"/>
            <w:vAlign w:val="bottom"/>
            <w:tcBorders>
              <w:bottom w:val="single" w:sz="8" w:color="0000EE"/>
            </w:tcBorders>
            <w:gridSpan w:val="11"/>
          </w:tcPr>
          <w:p>
            <w:pPr>
              <w:spacing w:after="0"/>
              <w:rPr>
                <w:rFonts w:ascii="Arial" w:cs="Arial" w:eastAsia="Arial" w:hAnsi="Arial"/>
                <w:sz w:val="15"/>
                <w:szCs w:val="15"/>
                <w:color w:val="0000EE"/>
                <w:w w:val="93"/>
              </w:rPr>
            </w:pPr>
            <w:hyperlink r:id="rId157">
              <w:r>
                <w:rPr>
                  <w:rFonts w:ascii="Arial" w:cs="Arial" w:eastAsia="Arial" w:hAnsi="Arial"/>
                  <w:sz w:val="15"/>
                  <w:szCs w:val="15"/>
                  <w:color w:val="0000EE"/>
                  <w:w w:val="93"/>
                </w:rPr>
                <w:t>Registration Rights Agreement dated February 28, 2018, among Weatherford International, LLC, a Delaware limited liability company, Weatherford</w:t>
              </w:r>
            </w:hyperlink>
          </w:p>
        </w:tc>
        <w:tc>
          <w:tcPr>
            <w:tcW w:w="580" w:type="dxa"/>
            <w:vAlign w:val="bottom"/>
            <w:gridSpan w:val="10"/>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00" w:type="dxa"/>
            <w:vAlign w:val="bottom"/>
            <w:tcBorders>
              <w:bottom w:val="single" w:sz="8" w:color="0000EE"/>
            </w:tcBorders>
            <w:gridSpan w:val="12"/>
          </w:tcPr>
          <w:p>
            <w:pPr>
              <w:spacing w:after="0" w:line="163" w:lineRule="exact"/>
              <w:rPr>
                <w:rFonts w:ascii="Arial" w:cs="Arial" w:eastAsia="Arial" w:hAnsi="Arial"/>
                <w:sz w:val="15"/>
                <w:szCs w:val="15"/>
                <w:color w:val="0000EE"/>
                <w:w w:val="92"/>
              </w:rPr>
            </w:pPr>
            <w:hyperlink r:id="rId157">
              <w:r>
                <w:rPr>
                  <w:rFonts w:ascii="Arial" w:cs="Arial" w:eastAsia="Arial" w:hAnsi="Arial"/>
                  <w:sz w:val="15"/>
                  <w:szCs w:val="15"/>
                  <w:color w:val="0000EE"/>
                  <w:w w:val="92"/>
                </w:rPr>
                <w:t>International Ltd., a Bermuda exempted company, Weatherford International plc, an Irish public limited company, and Deutsche Bank Securities Inc.</w:t>
              </w:r>
            </w:hyperlink>
          </w:p>
        </w:tc>
        <w:tc>
          <w:tcPr>
            <w:tcW w:w="560" w:type="dxa"/>
            <w:vAlign w:val="bottom"/>
            <w:gridSpan w:val="9"/>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20" w:type="dxa"/>
            <w:vAlign w:val="bottom"/>
            <w:tcBorders>
              <w:bottom w:val="single" w:sz="8" w:color="0000EE"/>
            </w:tcBorders>
            <w:gridSpan w:val="9"/>
          </w:tcPr>
          <w:p>
            <w:pPr>
              <w:spacing w:after="0" w:line="163" w:lineRule="exact"/>
              <w:rPr>
                <w:rFonts w:ascii="Arial" w:cs="Arial" w:eastAsia="Arial" w:hAnsi="Arial"/>
                <w:sz w:val="15"/>
                <w:szCs w:val="15"/>
                <w:color w:val="0000EE"/>
                <w:w w:val="93"/>
              </w:rPr>
            </w:pPr>
            <w:hyperlink r:id="rId157">
              <w:r>
                <w:rPr>
                  <w:rFonts w:ascii="Arial" w:cs="Arial" w:eastAsia="Arial" w:hAnsi="Arial"/>
                  <w:sz w:val="15"/>
                  <w:szCs w:val="15"/>
                  <w:color w:val="0000EE"/>
                  <w:w w:val="93"/>
                </w:rPr>
                <w:t>(incorporated by reference to Exhibit 4.2 to Weatherford International plc’s Current Report on Form 8-K (File No. 1-36504), filed March 5, 2018)</w:t>
              </w:r>
            </w:hyperlink>
          </w:p>
        </w:tc>
        <w:tc>
          <w:tcPr>
            <w:tcW w:w="740" w:type="dxa"/>
            <w:vAlign w:val="bottom"/>
            <w:gridSpan w:val="12"/>
          </w:tcPr>
          <w:p>
            <w:pPr>
              <w:spacing w:after="0"/>
              <w:rPr>
                <w:sz w:val="14"/>
                <w:szCs w:val="1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5.1*</w:t>
            </w:r>
          </w:p>
        </w:tc>
        <w:tc>
          <w:tcPr>
            <w:tcW w:w="620" w:type="dxa"/>
            <w:vAlign w:val="bottom"/>
          </w:tcPr>
          <w:p>
            <w:pPr>
              <w:spacing w:after="0"/>
              <w:rPr>
                <w:sz w:val="24"/>
                <w:szCs w:val="24"/>
                <w:color w:val="auto"/>
              </w:rPr>
            </w:pPr>
          </w:p>
        </w:tc>
        <w:tc>
          <w:tcPr>
            <w:tcW w:w="2180" w:type="dxa"/>
            <w:vAlign w:val="bottom"/>
            <w:tcBorders>
              <w:bottom w:val="single" w:sz="8" w:color="0000EE"/>
            </w:tcBorders>
            <w:gridSpan w:val="3"/>
          </w:tcPr>
          <w:p>
            <w:pPr>
              <w:spacing w:after="0"/>
              <w:rPr>
                <w:rFonts w:ascii="Arial" w:cs="Arial" w:eastAsia="Arial" w:hAnsi="Arial"/>
                <w:sz w:val="15"/>
                <w:szCs w:val="15"/>
                <w:color w:val="0000EE"/>
                <w:w w:val="95"/>
              </w:rPr>
            </w:pPr>
            <w:hyperlink r:id="rId158">
              <w:r>
                <w:rPr>
                  <w:rFonts w:ascii="Arial" w:cs="Arial" w:eastAsia="Arial" w:hAnsi="Arial"/>
                  <w:sz w:val="15"/>
                  <w:szCs w:val="15"/>
                  <w:color w:val="0000EE"/>
                  <w:w w:val="95"/>
                </w:rPr>
                <w:t>Opinion of Latham &amp; Watkins LLP</w:t>
              </w:r>
            </w:hyperlink>
          </w:p>
        </w:tc>
        <w:tc>
          <w:tcPr>
            <w:tcW w:w="7480" w:type="dxa"/>
            <w:vAlign w:val="bottom"/>
            <w:gridSpan w:val="18"/>
          </w:tcPr>
          <w:p>
            <w:pPr>
              <w:spacing w:after="0"/>
              <w:rPr>
                <w:sz w:val="24"/>
                <w:szCs w:val="24"/>
                <w:color w:val="auto"/>
              </w:rPr>
            </w:pPr>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5.2*</w:t>
            </w:r>
          </w:p>
        </w:tc>
        <w:tc>
          <w:tcPr>
            <w:tcW w:w="62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5"/>
                <w:szCs w:val="15"/>
                <w:color w:val="0000EE"/>
              </w:rPr>
            </w:pPr>
            <w:hyperlink r:id="rId159">
              <w:r>
                <w:rPr>
                  <w:rFonts w:ascii="Arial" w:cs="Arial" w:eastAsia="Arial" w:hAnsi="Arial"/>
                  <w:sz w:val="15"/>
                  <w:szCs w:val="15"/>
                  <w:color w:val="0000EE"/>
                </w:rPr>
                <w:t>Opinion of Conyers Dill &amp; Pearman Limited</w:t>
              </w:r>
            </w:hyperlink>
          </w:p>
        </w:tc>
      </w:tr>
      <w:tr>
        <w:trPr>
          <w:trHeight w:val="346"/>
        </w:trPr>
        <w:tc>
          <w:tcPr>
            <w:tcW w:w="1080" w:type="dxa"/>
            <w:vAlign w:val="bottom"/>
          </w:tcPr>
          <w:p>
            <w:pPr>
              <w:ind w:left="60"/>
              <w:spacing w:after="0"/>
              <w:rPr>
                <w:sz w:val="20"/>
                <w:szCs w:val="20"/>
                <w:color w:val="auto"/>
              </w:rPr>
            </w:pPr>
            <w:r>
              <w:rPr>
                <w:rFonts w:ascii="Arial" w:cs="Arial" w:eastAsia="Arial" w:hAnsi="Arial"/>
                <w:sz w:val="15"/>
                <w:szCs w:val="15"/>
                <w:color w:val="auto"/>
              </w:rPr>
              <w:t>5.3*</w:t>
            </w:r>
          </w:p>
        </w:tc>
        <w:tc>
          <w:tcPr>
            <w:tcW w:w="6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3"/>
              </w:rPr>
            </w:pPr>
            <w:hyperlink r:id="rId160">
              <w:r>
                <w:rPr>
                  <w:rFonts w:ascii="Arial" w:cs="Arial" w:eastAsia="Arial" w:hAnsi="Arial"/>
                  <w:sz w:val="15"/>
                  <w:szCs w:val="15"/>
                  <w:color w:val="0000EE"/>
                  <w:w w:val="93"/>
                </w:rPr>
                <w:t>Opinion of Matheson</w:t>
              </w:r>
            </w:hyperlink>
          </w:p>
        </w:tc>
        <w:tc>
          <w:tcPr>
            <w:tcW w:w="1420" w:type="dxa"/>
            <w:vAlign w:val="bottom"/>
            <w:tcBorders>
              <w:top w:val="single" w:sz="8" w:color="0000EE"/>
            </w:tcBorders>
            <w:gridSpan w:val="2"/>
          </w:tcPr>
          <w:p>
            <w:pPr>
              <w:spacing w:after="0"/>
              <w:rPr>
                <w:sz w:val="24"/>
                <w:szCs w:val="24"/>
                <w:color w:val="auto"/>
              </w:rPr>
            </w:pPr>
          </w:p>
        </w:tc>
        <w:tc>
          <w:tcPr>
            <w:tcW w:w="6920" w:type="dxa"/>
            <w:vAlign w:val="bottom"/>
            <w:gridSpan w:val="17"/>
          </w:tcPr>
          <w:p>
            <w:pPr>
              <w:spacing w:after="0"/>
              <w:rPr>
                <w:sz w:val="24"/>
                <w:szCs w:val="2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w:t>
            </w:r>
          </w:p>
        </w:tc>
        <w:tc>
          <w:tcPr>
            <w:tcW w:w="62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5"/>
                <w:szCs w:val="15"/>
                <w:color w:val="0000EE"/>
                <w:w w:val="92"/>
              </w:rPr>
            </w:pPr>
            <w:hyperlink r:id="rId161">
              <w:r>
                <w:rPr>
                  <w:rFonts w:ascii="Arial" w:cs="Arial" w:eastAsia="Arial" w:hAnsi="Arial"/>
                  <w:sz w:val="15"/>
                  <w:szCs w:val="15"/>
                  <w:color w:val="0000EE"/>
                  <w:w w:val="92"/>
                </w:rPr>
                <w:t>Weatherford International, Inc. 1998 Employee Stock Option Plan, as amended, including form of agreement for officers (incorporated by reference to</w:t>
              </w:r>
            </w:hyperlink>
          </w:p>
        </w:tc>
        <w:tc>
          <w:tcPr>
            <w:tcW w:w="460" w:type="dxa"/>
            <w:vAlign w:val="bottom"/>
            <w:gridSpan w:val="6"/>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80" w:type="dxa"/>
            <w:vAlign w:val="bottom"/>
            <w:tcBorders>
              <w:bottom w:val="single" w:sz="8" w:color="0000EE"/>
            </w:tcBorders>
            <w:gridSpan w:val="19"/>
          </w:tcPr>
          <w:p>
            <w:pPr>
              <w:spacing w:after="0" w:line="163" w:lineRule="exact"/>
              <w:rPr>
                <w:rFonts w:ascii="Arial" w:cs="Arial" w:eastAsia="Arial" w:hAnsi="Arial"/>
                <w:sz w:val="15"/>
                <w:szCs w:val="15"/>
                <w:color w:val="0000EE"/>
                <w:w w:val="93"/>
              </w:rPr>
            </w:pPr>
            <w:hyperlink r:id="rId161">
              <w:r>
                <w:rPr>
                  <w:rFonts w:ascii="Arial" w:cs="Arial" w:eastAsia="Arial" w:hAnsi="Arial"/>
                  <w:sz w:val="15"/>
                  <w:szCs w:val="15"/>
                  <w:color w:val="0000EE"/>
                  <w:w w:val="93"/>
                </w:rPr>
                <w:t>Exhibit 10.18 to Weatherford International plc’s Annual Report on Form 10-K for the year ended December 31, 2003 (File No. 1-13086), filed March 10,</w:t>
              </w:r>
            </w:hyperlink>
          </w:p>
        </w:tc>
        <w:tc>
          <w:tcPr>
            <w:tcW w:w="28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0000EE"/>
            </w:tcBorders>
          </w:tcPr>
          <w:p>
            <w:pPr>
              <w:spacing w:after="0" w:line="163" w:lineRule="exact"/>
              <w:rPr>
                <w:rFonts w:ascii="Arial" w:cs="Arial" w:eastAsia="Arial" w:hAnsi="Arial"/>
                <w:sz w:val="15"/>
                <w:szCs w:val="15"/>
                <w:color w:val="0000EE"/>
                <w:w w:val="88"/>
              </w:rPr>
            </w:pPr>
            <w:hyperlink r:id="rId161">
              <w:r>
                <w:rPr>
                  <w:rFonts w:ascii="Arial" w:cs="Arial" w:eastAsia="Arial" w:hAnsi="Arial"/>
                  <w:sz w:val="15"/>
                  <w:szCs w:val="15"/>
                  <w:color w:val="0000EE"/>
                  <w:w w:val="88"/>
                </w:rPr>
                <w:t>2004)</w:t>
              </w:r>
            </w:hyperlink>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w:t>
            </w:r>
          </w:p>
        </w:tc>
        <w:tc>
          <w:tcPr>
            <w:tcW w:w="620" w:type="dxa"/>
            <w:vAlign w:val="bottom"/>
          </w:tcPr>
          <w:p>
            <w:pPr>
              <w:spacing w:after="0"/>
              <w:rPr>
                <w:sz w:val="24"/>
                <w:szCs w:val="24"/>
                <w:color w:val="auto"/>
              </w:rPr>
            </w:pPr>
          </w:p>
        </w:tc>
        <w:tc>
          <w:tcPr>
            <w:tcW w:w="9340" w:type="dxa"/>
            <w:vAlign w:val="bottom"/>
            <w:tcBorders>
              <w:bottom w:val="single" w:sz="8" w:color="0000EE"/>
            </w:tcBorders>
            <w:gridSpan w:val="10"/>
          </w:tcPr>
          <w:p>
            <w:pPr>
              <w:spacing w:after="0"/>
              <w:rPr>
                <w:rFonts w:ascii="Arial" w:cs="Arial" w:eastAsia="Arial" w:hAnsi="Arial"/>
                <w:sz w:val="15"/>
                <w:szCs w:val="15"/>
                <w:color w:val="0000EE"/>
                <w:w w:val="92"/>
              </w:rPr>
            </w:pPr>
            <w:hyperlink r:id="rId163">
              <w:r>
                <w:rPr>
                  <w:rFonts w:ascii="Arial" w:cs="Arial" w:eastAsia="Arial" w:hAnsi="Arial"/>
                  <w:sz w:val="15"/>
                  <w:szCs w:val="15"/>
                  <w:color w:val="0000EE"/>
                  <w:w w:val="92"/>
                </w:rPr>
                <w:t>Deed Poll of Assumption, dated June 16, 2014, executed by Weatherford International plc, an Irish public limited company (incorporated by reference to</w:t>
              </w:r>
            </w:hyperlink>
          </w:p>
        </w:tc>
        <w:tc>
          <w:tcPr>
            <w:tcW w:w="360" w:type="dxa"/>
            <w:vAlign w:val="bottom"/>
            <w:gridSpan w:val="7"/>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0" w:type="dxa"/>
            <w:vAlign w:val="bottom"/>
            <w:tcBorders>
              <w:bottom w:val="single" w:sz="8" w:color="0000EE"/>
            </w:tcBorders>
            <w:gridSpan w:val="5"/>
          </w:tcPr>
          <w:p>
            <w:pPr>
              <w:spacing w:after="0" w:line="163" w:lineRule="exact"/>
              <w:rPr>
                <w:rFonts w:ascii="Arial" w:cs="Arial" w:eastAsia="Arial" w:hAnsi="Arial"/>
                <w:sz w:val="15"/>
                <w:szCs w:val="15"/>
                <w:color w:val="0000EE"/>
                <w:w w:val="93"/>
              </w:rPr>
            </w:pPr>
            <w:hyperlink r:id="rId163">
              <w:r>
                <w:rPr>
                  <w:rFonts w:ascii="Arial" w:cs="Arial" w:eastAsia="Arial" w:hAnsi="Arial"/>
                  <w:sz w:val="15"/>
                  <w:szCs w:val="15"/>
                  <w:color w:val="0000EE"/>
                  <w:w w:val="93"/>
                </w:rPr>
                <w:t>Exhibit 10.3 of Weatherford International plc’s Current Report on Form 8-K12B (File No. 1-36504), filed June 17, 2014)</w:t>
              </w:r>
            </w:hyperlink>
          </w:p>
        </w:tc>
        <w:tc>
          <w:tcPr>
            <w:tcW w:w="2300" w:type="dxa"/>
            <w:vAlign w:val="bottom"/>
            <w:gridSpan w:val="12"/>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10.3†</w:t>
            </w:r>
          </w:p>
        </w:tc>
        <w:tc>
          <w:tcPr>
            <w:tcW w:w="62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5"/>
                <w:szCs w:val="15"/>
                <w:color w:val="0000EE"/>
                <w:w w:val="91"/>
              </w:rPr>
            </w:pPr>
            <w:hyperlink r:id="rId164">
              <w:r>
                <w:rPr>
                  <w:rFonts w:ascii="Arial" w:cs="Arial" w:eastAsia="Arial" w:hAnsi="Arial"/>
                  <w:sz w:val="15"/>
                  <w:szCs w:val="15"/>
                  <w:color w:val="0000EE"/>
                  <w:w w:val="91"/>
                </w:rPr>
                <w:t>Weatherford International plc 2006 Omnibus Incentive Plan (as amended and restated, conformed as of June 16, 2015) (incorporated by reference to</w:t>
              </w:r>
            </w:hyperlink>
          </w:p>
        </w:tc>
        <w:tc>
          <w:tcPr>
            <w:tcW w:w="640" w:type="dxa"/>
            <w:vAlign w:val="bottom"/>
            <w:gridSpan w:val="9"/>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20" w:type="dxa"/>
            <w:vAlign w:val="bottom"/>
            <w:tcBorders>
              <w:bottom w:val="single" w:sz="8" w:color="0000EE"/>
            </w:tcBorders>
            <w:gridSpan w:val="13"/>
          </w:tcPr>
          <w:p>
            <w:pPr>
              <w:spacing w:after="0" w:line="163" w:lineRule="exact"/>
              <w:rPr>
                <w:rFonts w:ascii="Arial" w:cs="Arial" w:eastAsia="Arial" w:hAnsi="Arial"/>
                <w:sz w:val="15"/>
                <w:szCs w:val="15"/>
                <w:color w:val="0000EE"/>
                <w:w w:val="93"/>
              </w:rPr>
            </w:pPr>
            <w:hyperlink r:id="rId164">
              <w:r>
                <w:rPr>
                  <w:rFonts w:ascii="Arial" w:cs="Arial" w:eastAsia="Arial" w:hAnsi="Arial"/>
                  <w:sz w:val="15"/>
                  <w:szCs w:val="15"/>
                  <w:color w:val="0000EE"/>
                  <w:w w:val="93"/>
                </w:rPr>
                <w:t>Exhibit 10.2 of Weatherford International plc’s Quarterly Report on Form 10-Q for the quarter ended June 30, 2015 (File No. 1-36504), filed July 24, 2015)</w:t>
              </w:r>
            </w:hyperlink>
          </w:p>
        </w:tc>
        <w:tc>
          <w:tcPr>
            <w:tcW w:w="180" w:type="dxa"/>
            <w:vAlign w:val="bottom"/>
            <w:gridSpan w:val="4"/>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10.4†</w:t>
            </w:r>
          </w:p>
        </w:tc>
        <w:tc>
          <w:tcPr>
            <w:tcW w:w="620" w:type="dxa"/>
            <w:vAlign w:val="bottom"/>
          </w:tcPr>
          <w:p>
            <w:pPr>
              <w:spacing w:after="0"/>
              <w:rPr>
                <w:sz w:val="24"/>
                <w:szCs w:val="24"/>
                <w:color w:val="auto"/>
              </w:rPr>
            </w:pPr>
          </w:p>
        </w:tc>
        <w:tc>
          <w:tcPr>
            <w:tcW w:w="9240" w:type="dxa"/>
            <w:vAlign w:val="bottom"/>
            <w:tcBorders>
              <w:bottom w:val="single" w:sz="8" w:color="0000EE"/>
            </w:tcBorders>
            <w:gridSpan w:val="9"/>
          </w:tcPr>
          <w:p>
            <w:pPr>
              <w:spacing w:after="0"/>
              <w:rPr>
                <w:rFonts w:ascii="Arial" w:cs="Arial" w:eastAsia="Arial" w:hAnsi="Arial"/>
                <w:sz w:val="15"/>
                <w:szCs w:val="15"/>
                <w:color w:val="0000EE"/>
                <w:w w:val="92"/>
              </w:rPr>
            </w:pPr>
            <w:hyperlink r:id="rId165">
              <w:r>
                <w:rPr>
                  <w:rFonts w:ascii="Arial" w:cs="Arial" w:eastAsia="Arial" w:hAnsi="Arial"/>
                  <w:sz w:val="15"/>
                  <w:szCs w:val="15"/>
                  <w:color w:val="0000EE"/>
                  <w:w w:val="92"/>
                </w:rPr>
                <w:t>Form of Restricted Share Unit Award Agreement pursuant to Weatherford International plc 2006 Omnibus Incentive Plan (incorporated by reference to</w:t>
              </w:r>
            </w:hyperlink>
          </w:p>
        </w:tc>
        <w:tc>
          <w:tcPr>
            <w:tcW w:w="460" w:type="dxa"/>
            <w:vAlign w:val="bottom"/>
            <w:gridSpan w:val="8"/>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0" w:type="dxa"/>
            <w:vAlign w:val="bottom"/>
            <w:tcBorders>
              <w:bottom w:val="single" w:sz="8" w:color="0000EE"/>
            </w:tcBorders>
            <w:gridSpan w:val="5"/>
          </w:tcPr>
          <w:p>
            <w:pPr>
              <w:spacing w:after="0" w:line="163" w:lineRule="exact"/>
              <w:rPr>
                <w:rFonts w:ascii="Arial" w:cs="Arial" w:eastAsia="Arial" w:hAnsi="Arial"/>
                <w:sz w:val="15"/>
                <w:szCs w:val="15"/>
                <w:color w:val="0000EE"/>
                <w:w w:val="93"/>
              </w:rPr>
            </w:pPr>
            <w:hyperlink r:id="rId165">
              <w:r>
                <w:rPr>
                  <w:rFonts w:ascii="Arial" w:cs="Arial" w:eastAsia="Arial" w:hAnsi="Arial"/>
                  <w:sz w:val="15"/>
                  <w:szCs w:val="15"/>
                  <w:color w:val="0000EE"/>
                  <w:w w:val="93"/>
                </w:rPr>
                <w:t>Exhibit 10.5 of Weatherford International plc’s Current Report on Form 8-K12B (File No. 1-36504), filed June 17, 2014)</w:t>
              </w:r>
            </w:hyperlink>
          </w:p>
        </w:tc>
        <w:tc>
          <w:tcPr>
            <w:tcW w:w="2300" w:type="dxa"/>
            <w:vAlign w:val="bottom"/>
            <w:gridSpan w:val="12"/>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10.5†</w:t>
            </w:r>
          </w:p>
        </w:tc>
        <w:tc>
          <w:tcPr>
            <w:tcW w:w="6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5"/>
                <w:szCs w:val="15"/>
                <w:color w:val="0000EE"/>
                <w:w w:val="99"/>
              </w:rPr>
            </w:pPr>
            <w:hyperlink r:id="rId166">
              <w:r>
                <w:rPr>
                  <w:rFonts w:ascii="Arial" w:cs="Arial" w:eastAsia="Arial" w:hAnsi="Arial"/>
                  <w:sz w:val="15"/>
                  <w:szCs w:val="15"/>
                  <w:color w:val="0000EE"/>
                  <w:w w:val="99"/>
                </w:rPr>
                <w:t>Form of Stock Option Agreement for Officers pursuant to Weatherford International plc 2006 Omnibus Incentive Plan (incorporated by reference to</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17"/>
          </w:tcPr>
          <w:p>
            <w:pPr>
              <w:spacing w:after="0" w:line="163" w:lineRule="exact"/>
              <w:rPr>
                <w:rFonts w:ascii="Arial" w:cs="Arial" w:eastAsia="Arial" w:hAnsi="Arial"/>
                <w:sz w:val="15"/>
                <w:szCs w:val="15"/>
                <w:color w:val="0000EE"/>
                <w:w w:val="95"/>
              </w:rPr>
            </w:pPr>
            <w:hyperlink r:id="rId166">
              <w:r>
                <w:rPr>
                  <w:rFonts w:ascii="Arial" w:cs="Arial" w:eastAsia="Arial" w:hAnsi="Arial"/>
                  <w:sz w:val="15"/>
                  <w:szCs w:val="15"/>
                  <w:color w:val="0000EE"/>
                  <w:w w:val="95"/>
                </w:rPr>
                <w:t>Exhibit 10.46 to Weatherford International plc’s Annual Report on Form 10-K for the year ended December 31, 2006 (File No. 1-31339), filed February 23,</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88"/>
              </w:rPr>
            </w:pPr>
            <w:hyperlink r:id="rId166">
              <w:r>
                <w:rPr>
                  <w:rFonts w:ascii="Arial" w:cs="Arial" w:eastAsia="Arial" w:hAnsi="Arial"/>
                  <w:sz w:val="15"/>
                  <w:szCs w:val="15"/>
                  <w:color w:val="0000EE"/>
                  <w:w w:val="88"/>
                </w:rPr>
                <w:t>2007)</w:t>
              </w:r>
            </w:hyperlink>
          </w:p>
        </w:tc>
        <w:tc>
          <w:tcPr>
            <w:tcW w:w="840" w:type="dxa"/>
            <w:vAlign w:val="bottom"/>
            <w:tcBorders>
              <w:top w:val="single" w:sz="8" w:color="0000EE"/>
            </w:tcBorders>
          </w:tcPr>
          <w:p>
            <w:pPr>
              <w:spacing w:after="0"/>
              <w:rPr>
                <w:sz w:val="14"/>
                <w:szCs w:val="14"/>
                <w:color w:val="auto"/>
              </w:rPr>
            </w:pPr>
          </w:p>
        </w:tc>
        <w:tc>
          <w:tcPr>
            <w:tcW w:w="362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10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10.6†</w:t>
            </w:r>
          </w:p>
        </w:tc>
        <w:tc>
          <w:tcPr>
            <w:tcW w:w="620" w:type="dxa"/>
            <w:vAlign w:val="bottom"/>
          </w:tcPr>
          <w:p>
            <w:pPr>
              <w:spacing w:after="0"/>
              <w:rPr>
                <w:sz w:val="24"/>
                <w:szCs w:val="24"/>
                <w:color w:val="auto"/>
              </w:rPr>
            </w:pPr>
          </w:p>
        </w:tc>
        <w:tc>
          <w:tcPr>
            <w:tcW w:w="9680" w:type="dxa"/>
            <w:vAlign w:val="bottom"/>
            <w:tcBorders>
              <w:bottom w:val="single" w:sz="8" w:color="0000EE"/>
            </w:tcBorders>
            <w:gridSpan w:val="16"/>
          </w:tcPr>
          <w:p>
            <w:pPr>
              <w:spacing w:after="0"/>
              <w:rPr>
                <w:rFonts w:ascii="Arial" w:cs="Arial" w:eastAsia="Arial" w:hAnsi="Arial"/>
                <w:sz w:val="15"/>
                <w:szCs w:val="15"/>
                <w:color w:val="0000EE"/>
                <w:w w:val="92"/>
              </w:rPr>
            </w:pPr>
            <w:hyperlink r:id="rId167">
              <w:r>
                <w:rPr>
                  <w:rFonts w:ascii="Arial" w:cs="Arial" w:eastAsia="Arial" w:hAnsi="Arial"/>
                  <w:sz w:val="15"/>
                  <w:szCs w:val="15"/>
                  <w:color w:val="0000EE"/>
                  <w:w w:val="92"/>
                </w:rPr>
                <w:t>Weatherford International plc 2010 Omnibus Incentive Plan (as amended and restated) (incorporated by reference to Exhibit 10.6 of Weatherford International</w:t>
              </w:r>
            </w:hyperlink>
          </w:p>
        </w:tc>
        <w:tc>
          <w:tcPr>
            <w:tcW w:w="20" w:type="dxa"/>
            <w:vAlign w:val="bottom"/>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17"/>
          </w:tcPr>
          <w:p>
            <w:pPr>
              <w:spacing w:after="0" w:line="163" w:lineRule="exact"/>
              <w:rPr>
                <w:rFonts w:ascii="Arial" w:cs="Arial" w:eastAsia="Arial" w:hAnsi="Arial"/>
                <w:sz w:val="15"/>
                <w:szCs w:val="15"/>
                <w:color w:val="0000EE"/>
              </w:rPr>
            </w:pPr>
            <w:hyperlink r:id="rId167">
              <w:r>
                <w:rPr>
                  <w:rFonts w:ascii="Arial" w:cs="Arial" w:eastAsia="Arial" w:hAnsi="Arial"/>
                  <w:sz w:val="15"/>
                  <w:szCs w:val="15"/>
                  <w:color w:val="0000EE"/>
                </w:rPr>
                <w:t>plc’s Current Report on Form 8-K12B (File No. 1-36504), filed June 17, 2014)</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10.7†</w:t>
            </w:r>
          </w:p>
        </w:tc>
        <w:tc>
          <w:tcPr>
            <w:tcW w:w="6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5"/>
                <w:szCs w:val="15"/>
                <w:color w:val="0000EE"/>
                <w:w w:val="95"/>
              </w:rPr>
            </w:pPr>
            <w:hyperlink r:id="rId168">
              <w:r>
                <w:rPr>
                  <w:rFonts w:ascii="Arial" w:cs="Arial" w:eastAsia="Arial" w:hAnsi="Arial"/>
                  <w:sz w:val="15"/>
                  <w:szCs w:val="15"/>
                  <w:color w:val="0000EE"/>
                  <w:w w:val="95"/>
                </w:rPr>
                <w:t>First Amendment to Weatherford International plc 2010 Omnibus Incentive Plan (incorporated by reference to Annex A of Weatherford International plc’s</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0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94"/>
              </w:rPr>
            </w:pPr>
            <w:hyperlink r:id="rId168">
              <w:r>
                <w:rPr>
                  <w:rFonts w:ascii="Arial" w:cs="Arial" w:eastAsia="Arial" w:hAnsi="Arial"/>
                  <w:sz w:val="15"/>
                  <w:szCs w:val="15"/>
                  <w:color w:val="0000EE"/>
                  <w:w w:val="94"/>
                </w:rPr>
                <w:t>Definitive Proxy Statement on Schedule 14A (File No. 1-36504), filed April 29, 2015)</w:t>
              </w:r>
            </w:hyperlink>
          </w:p>
        </w:tc>
        <w:tc>
          <w:tcPr>
            <w:tcW w:w="4140" w:type="dxa"/>
            <w:vAlign w:val="bottom"/>
            <w:tcBorders>
              <w:top w:val="single" w:sz="8" w:color="0000EE"/>
            </w:tcBorders>
            <w:gridSpan w:val="7"/>
          </w:tcPr>
          <w:p>
            <w:pPr>
              <w:spacing w:after="0"/>
              <w:rPr>
                <w:sz w:val="14"/>
                <w:szCs w:val="14"/>
                <w:color w:val="auto"/>
              </w:rPr>
            </w:pPr>
          </w:p>
        </w:tc>
        <w:tc>
          <w:tcPr>
            <w:tcW w:w="260" w:type="dxa"/>
            <w:vAlign w:val="bottom"/>
            <w:gridSpan w:val="6"/>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10.8†</w:t>
            </w:r>
          </w:p>
        </w:tc>
        <w:tc>
          <w:tcPr>
            <w:tcW w:w="62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rFonts w:ascii="Arial" w:cs="Arial" w:eastAsia="Arial" w:hAnsi="Arial"/>
                <w:sz w:val="15"/>
                <w:szCs w:val="15"/>
                <w:color w:val="0000EE"/>
                <w:w w:val="93"/>
              </w:rPr>
            </w:pPr>
            <w:hyperlink r:id="rId169">
              <w:r>
                <w:rPr>
                  <w:rFonts w:ascii="Arial" w:cs="Arial" w:eastAsia="Arial" w:hAnsi="Arial"/>
                  <w:sz w:val="15"/>
                  <w:szCs w:val="15"/>
                  <w:color w:val="0000EE"/>
                  <w:w w:val="93"/>
                </w:rPr>
                <w:t>Second Amendment to Weatherford International plc 2010 Omnibus Incentive Plan (incorporated by reference to Annex A of Weatherford International plc’s</w:t>
              </w:r>
            </w:hyperlink>
          </w:p>
        </w:tc>
        <w:tc>
          <w:tcPr>
            <w:tcW w:w="80" w:type="dxa"/>
            <w:vAlign w:val="bottom"/>
            <w:gridSpan w:val="2"/>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00" w:type="dxa"/>
            <w:vAlign w:val="bottom"/>
            <w:tcBorders>
              <w:bottom w:val="single" w:sz="8" w:color="0000EE"/>
            </w:tcBorders>
            <w:gridSpan w:val="4"/>
          </w:tcPr>
          <w:p>
            <w:pPr>
              <w:spacing w:after="0" w:line="163" w:lineRule="exact"/>
              <w:rPr>
                <w:rFonts w:ascii="Arial" w:cs="Arial" w:eastAsia="Arial" w:hAnsi="Arial"/>
                <w:sz w:val="15"/>
                <w:szCs w:val="15"/>
                <w:color w:val="0000EE"/>
                <w:w w:val="94"/>
              </w:rPr>
            </w:pPr>
            <w:hyperlink r:id="rId169">
              <w:r>
                <w:rPr>
                  <w:rFonts w:ascii="Arial" w:cs="Arial" w:eastAsia="Arial" w:hAnsi="Arial"/>
                  <w:sz w:val="15"/>
                  <w:szCs w:val="15"/>
                  <w:color w:val="0000EE"/>
                  <w:w w:val="94"/>
                </w:rPr>
                <w:t>Definitive Proxy Statement on Schedule 14A (File No. 1-36504), filed April 25, 2017)</w:t>
              </w:r>
            </w:hyperlink>
          </w:p>
        </w:tc>
        <w:tc>
          <w:tcPr>
            <w:tcW w:w="4400" w:type="dxa"/>
            <w:vAlign w:val="bottom"/>
            <w:gridSpan w:val="13"/>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10.9†</w:t>
            </w:r>
          </w:p>
        </w:tc>
        <w:tc>
          <w:tcPr>
            <w:tcW w:w="620" w:type="dxa"/>
            <w:vAlign w:val="bottom"/>
          </w:tcPr>
          <w:p>
            <w:pPr>
              <w:spacing w:after="0"/>
              <w:rPr>
                <w:sz w:val="24"/>
                <w:szCs w:val="24"/>
                <w:color w:val="auto"/>
              </w:rPr>
            </w:pPr>
          </w:p>
        </w:tc>
        <w:tc>
          <w:tcPr>
            <w:tcW w:w="9240" w:type="dxa"/>
            <w:vAlign w:val="bottom"/>
            <w:tcBorders>
              <w:bottom w:val="single" w:sz="8" w:color="0000EE"/>
            </w:tcBorders>
            <w:gridSpan w:val="9"/>
          </w:tcPr>
          <w:p>
            <w:pPr>
              <w:spacing w:after="0"/>
              <w:rPr>
                <w:rFonts w:ascii="Arial" w:cs="Arial" w:eastAsia="Arial" w:hAnsi="Arial"/>
                <w:sz w:val="15"/>
                <w:szCs w:val="15"/>
                <w:color w:val="0000EE"/>
                <w:w w:val="92"/>
              </w:rPr>
            </w:pPr>
            <w:hyperlink r:id="rId170">
              <w:r>
                <w:rPr>
                  <w:rFonts w:ascii="Arial" w:cs="Arial" w:eastAsia="Arial" w:hAnsi="Arial"/>
                  <w:sz w:val="15"/>
                  <w:szCs w:val="15"/>
                  <w:color w:val="0000EE"/>
                  <w:w w:val="92"/>
                </w:rPr>
                <w:t>Form of Restricted Share Unit Award Agreement pursuant to Weatherford International plc 2010 Omnibus Incentive Plan (incorporated by reference to</w:t>
              </w:r>
            </w:hyperlink>
          </w:p>
        </w:tc>
        <w:tc>
          <w:tcPr>
            <w:tcW w:w="460" w:type="dxa"/>
            <w:vAlign w:val="bottom"/>
            <w:gridSpan w:val="8"/>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0" w:type="dxa"/>
            <w:vAlign w:val="bottom"/>
            <w:tcBorders>
              <w:bottom w:val="single" w:sz="8" w:color="0000EE"/>
            </w:tcBorders>
            <w:gridSpan w:val="5"/>
          </w:tcPr>
          <w:p>
            <w:pPr>
              <w:spacing w:after="0" w:line="163" w:lineRule="exact"/>
              <w:rPr>
                <w:rFonts w:ascii="Arial" w:cs="Arial" w:eastAsia="Arial" w:hAnsi="Arial"/>
                <w:sz w:val="15"/>
                <w:szCs w:val="15"/>
                <w:color w:val="0000EE"/>
                <w:w w:val="93"/>
              </w:rPr>
            </w:pPr>
            <w:hyperlink r:id="rId170">
              <w:r>
                <w:rPr>
                  <w:rFonts w:ascii="Arial" w:cs="Arial" w:eastAsia="Arial" w:hAnsi="Arial"/>
                  <w:sz w:val="15"/>
                  <w:szCs w:val="15"/>
                  <w:color w:val="0000EE"/>
                  <w:w w:val="93"/>
                </w:rPr>
                <w:t>Exhibit 10.7 of Weatherford International plc’s Current Report on Form 8-K12B (File No. 1-36504), filed June 17, 2014)</w:t>
              </w:r>
            </w:hyperlink>
          </w:p>
        </w:tc>
        <w:tc>
          <w:tcPr>
            <w:tcW w:w="2300" w:type="dxa"/>
            <w:vAlign w:val="bottom"/>
            <w:gridSpan w:val="12"/>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10.10†</w:t>
            </w:r>
          </w:p>
        </w:tc>
        <w:tc>
          <w:tcPr>
            <w:tcW w:w="620" w:type="dxa"/>
            <w:vAlign w:val="bottom"/>
          </w:tcPr>
          <w:p>
            <w:pPr>
              <w:spacing w:after="0"/>
              <w:rPr>
                <w:sz w:val="24"/>
                <w:szCs w:val="24"/>
                <w:color w:val="auto"/>
              </w:rPr>
            </w:pPr>
          </w:p>
        </w:tc>
        <w:tc>
          <w:tcPr>
            <w:tcW w:w="9040" w:type="dxa"/>
            <w:vAlign w:val="bottom"/>
            <w:tcBorders>
              <w:bottom w:val="single" w:sz="8" w:color="0000EE"/>
            </w:tcBorders>
            <w:gridSpan w:val="7"/>
          </w:tcPr>
          <w:p>
            <w:pPr>
              <w:spacing w:after="0"/>
              <w:rPr>
                <w:rFonts w:ascii="Arial" w:cs="Arial" w:eastAsia="Arial" w:hAnsi="Arial"/>
                <w:sz w:val="15"/>
                <w:szCs w:val="15"/>
                <w:color w:val="0000EE"/>
                <w:w w:val="92"/>
              </w:rPr>
            </w:pPr>
            <w:hyperlink r:id="rId171">
              <w:r>
                <w:rPr>
                  <w:rFonts w:ascii="Arial" w:cs="Arial" w:eastAsia="Arial" w:hAnsi="Arial"/>
                  <w:sz w:val="15"/>
                  <w:szCs w:val="15"/>
                  <w:color w:val="0000EE"/>
                  <w:w w:val="92"/>
                </w:rPr>
                <w:t>Form of Performance Unit Award Agreement pursuant to Weatherford International plc 2010 Omnibus Incentive Plan (incorporated by reference to</w:t>
              </w:r>
            </w:hyperlink>
          </w:p>
        </w:tc>
        <w:tc>
          <w:tcPr>
            <w:tcW w:w="660" w:type="dxa"/>
            <w:vAlign w:val="bottom"/>
            <w:gridSpan w:val="10"/>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tcBorders>
              <w:bottom w:val="single" w:sz="8" w:color="0000EE"/>
            </w:tcBorders>
            <w:gridSpan w:val="17"/>
          </w:tcPr>
          <w:p>
            <w:pPr>
              <w:spacing w:after="0" w:line="163" w:lineRule="exact"/>
              <w:rPr>
                <w:rFonts w:ascii="Arial" w:cs="Arial" w:eastAsia="Arial" w:hAnsi="Arial"/>
                <w:sz w:val="15"/>
                <w:szCs w:val="15"/>
                <w:color w:val="0000EE"/>
                <w:w w:val="93"/>
              </w:rPr>
            </w:pPr>
            <w:hyperlink r:id="rId171">
              <w:r>
                <w:rPr>
                  <w:rFonts w:ascii="Arial" w:cs="Arial" w:eastAsia="Arial" w:hAnsi="Arial"/>
                  <w:sz w:val="15"/>
                  <w:szCs w:val="15"/>
                  <w:color w:val="0000EE"/>
                  <w:w w:val="93"/>
                </w:rPr>
                <w:t>Exhibit 10.1 of Weatherford International plc’s Quarterly Report on Form 10-Q for the quarter ended March 31, 2015 (File No. 1-36504), filed April 24, 2015)</w:t>
              </w:r>
            </w:hyperlink>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10.11†</w:t>
            </w:r>
          </w:p>
        </w:tc>
        <w:tc>
          <w:tcPr>
            <w:tcW w:w="62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5"/>
                <w:szCs w:val="15"/>
                <w:color w:val="0000EE"/>
                <w:w w:val="93"/>
              </w:rPr>
            </w:pPr>
            <w:hyperlink r:id="rId172">
              <w:r>
                <w:rPr>
                  <w:rFonts w:ascii="Arial" w:cs="Arial" w:eastAsia="Arial" w:hAnsi="Arial"/>
                  <w:sz w:val="15"/>
                  <w:szCs w:val="15"/>
                  <w:color w:val="0000EE"/>
                  <w:w w:val="93"/>
                </w:rPr>
                <w:t>Form of Restricted Share Units Award Agreement (CIC—Officer) pursuant to the Weatherford International plc 2010 Omnibus Incentive Plan (incorporated</w:t>
              </w:r>
            </w:hyperlink>
          </w:p>
        </w:tc>
        <w:tc>
          <w:tcPr>
            <w:tcW w:w="140" w:type="dxa"/>
            <w:vAlign w:val="bottom"/>
            <w:gridSpan w:val="3"/>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17"/>
          </w:tcPr>
          <w:p>
            <w:pPr>
              <w:spacing w:after="0" w:line="163" w:lineRule="exact"/>
              <w:rPr>
                <w:rFonts w:ascii="Arial" w:cs="Arial" w:eastAsia="Arial" w:hAnsi="Arial"/>
                <w:sz w:val="15"/>
                <w:szCs w:val="15"/>
                <w:color w:val="0000EE"/>
              </w:rPr>
            </w:pPr>
            <w:hyperlink r:id="rId172">
              <w:r>
                <w:rPr>
                  <w:rFonts w:ascii="Arial" w:cs="Arial" w:eastAsia="Arial" w:hAnsi="Arial"/>
                  <w:sz w:val="15"/>
                  <w:szCs w:val="15"/>
                  <w:color w:val="0000EE"/>
                </w:rPr>
                <w:t>by reference to Exhibit 10.21 of Weatherford International plc’s Annual Report on Form 10-K (File No. 1-36504), filed February 16, 2016)</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300" w:type="dxa"/>
            <w:vAlign w:val="bottom"/>
            <w:gridSpan w:val="4"/>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10.12†</w:t>
            </w:r>
          </w:p>
        </w:tc>
        <w:tc>
          <w:tcPr>
            <w:tcW w:w="6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5"/>
                <w:szCs w:val="15"/>
                <w:color w:val="0000EE"/>
                <w:w w:val="93"/>
              </w:rPr>
            </w:pPr>
            <w:hyperlink r:id="rId173">
              <w:r>
                <w:rPr>
                  <w:rFonts w:ascii="Arial" w:cs="Arial" w:eastAsia="Arial" w:hAnsi="Arial"/>
                  <w:sz w:val="15"/>
                  <w:szCs w:val="15"/>
                  <w:color w:val="0000EE"/>
                  <w:w w:val="93"/>
                </w:rPr>
                <w:t>Form of Restricted Share Units Award Agreement (CIC—Director) pursuant to the Weatherford International plc 2010 Omnibus Incentive Plan (incorporated</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60" w:type="dxa"/>
            <w:vAlign w:val="bottom"/>
            <w:tcBorders>
              <w:top w:val="single" w:sz="8" w:color="0000EE"/>
              <w:bottom w:val="single" w:sz="8" w:color="0000EE"/>
            </w:tcBorders>
            <w:gridSpan w:val="12"/>
          </w:tcPr>
          <w:p>
            <w:pPr>
              <w:spacing w:after="0" w:line="163" w:lineRule="exact"/>
              <w:rPr>
                <w:rFonts w:ascii="Arial" w:cs="Arial" w:eastAsia="Arial" w:hAnsi="Arial"/>
                <w:sz w:val="15"/>
                <w:szCs w:val="15"/>
                <w:color w:val="0000EE"/>
                <w:w w:val="92"/>
              </w:rPr>
            </w:pPr>
            <w:hyperlink r:id="rId173">
              <w:r>
                <w:rPr>
                  <w:rFonts w:ascii="Arial" w:cs="Arial" w:eastAsia="Arial" w:hAnsi="Arial"/>
                  <w:sz w:val="15"/>
                  <w:szCs w:val="15"/>
                  <w:color w:val="0000EE"/>
                  <w:w w:val="92"/>
                </w:rPr>
                <w:t>by reference to Exhibit 10.5 of the Weatherford International plc’s Quarterly Report on Form 10-Q for the quarter ended June 30, 2015 (File No. 1-36504),</w:t>
              </w:r>
            </w:hyperlink>
          </w:p>
        </w:tc>
        <w:tc>
          <w:tcPr>
            <w:tcW w:w="160" w:type="dxa"/>
            <w:vAlign w:val="bottom"/>
            <w:tcBorders>
              <w:top w:val="single" w:sz="8" w:color="0000EE"/>
            </w:tcBorders>
            <w:gridSpan w:val="3"/>
          </w:tcPr>
          <w:p>
            <w:pPr>
              <w:spacing w:after="0"/>
              <w:rPr>
                <w:sz w:val="14"/>
                <w:szCs w:val="14"/>
                <w:color w:val="auto"/>
              </w:rPr>
            </w:pPr>
          </w:p>
        </w:tc>
        <w:tc>
          <w:tcPr>
            <w:tcW w:w="8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gridSpan w:val="17"/>
          </w:tcPr>
          <w:p>
            <w:pPr>
              <w:spacing w:after="0" w:line="163" w:lineRule="exact"/>
              <w:rPr>
                <w:rFonts w:ascii="Arial" w:cs="Arial" w:eastAsia="Arial" w:hAnsi="Arial"/>
                <w:sz w:val="15"/>
                <w:szCs w:val="15"/>
                <w:color w:val="0000EE"/>
              </w:rPr>
            </w:pPr>
            <w:hyperlink r:id="rId173">
              <w:r>
                <w:rPr>
                  <w:rFonts w:ascii="Arial" w:cs="Arial" w:eastAsia="Arial" w:hAnsi="Arial"/>
                  <w:sz w:val="15"/>
                  <w:szCs w:val="15"/>
                  <w:color w:val="0000EE"/>
                </w:rPr>
                <w:t>filed July 24, 2015)</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10.13†</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6"/>
              </w:rPr>
            </w:pPr>
            <w:hyperlink r:id="rId175">
              <w:r>
                <w:rPr>
                  <w:rFonts w:ascii="Arial" w:cs="Arial" w:eastAsia="Arial" w:hAnsi="Arial"/>
                  <w:sz w:val="15"/>
                  <w:szCs w:val="15"/>
                  <w:color w:val="0000EE"/>
                  <w:w w:val="96"/>
                </w:rPr>
                <w:t>Form of addendum for use with certain equity grants under the Weatherford International plc 2010 Omnibus Incentive Plan (incorporated by reference to</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40" w:type="dxa"/>
            <w:vAlign w:val="bottom"/>
            <w:tcBorders>
              <w:top w:val="single" w:sz="8" w:color="0000EE"/>
            </w:tcBorders>
            <w:gridSpan w:val="10"/>
          </w:tcPr>
          <w:p>
            <w:pPr>
              <w:spacing w:after="0" w:line="163" w:lineRule="exact"/>
              <w:rPr>
                <w:rFonts w:ascii="Arial" w:cs="Arial" w:eastAsia="Arial" w:hAnsi="Arial"/>
                <w:sz w:val="15"/>
                <w:szCs w:val="15"/>
                <w:color w:val="0000EE"/>
              </w:rPr>
            </w:pPr>
            <w:hyperlink r:id="rId175">
              <w:r>
                <w:rPr>
                  <w:rFonts w:ascii="Arial" w:cs="Arial" w:eastAsia="Arial" w:hAnsi="Arial"/>
                  <w:sz w:val="15"/>
                  <w:szCs w:val="15"/>
                  <w:color w:val="0000EE"/>
                </w:rPr>
                <w:t>Exhibit 10.26 to Weatherford International plc’s Annual Report on Form 10-K (File No. 1-36504), filed February 17, 2015)</w:t>
              </w:r>
            </w:hyperlink>
          </w:p>
        </w:tc>
        <w:tc>
          <w:tcPr>
            <w:tcW w:w="380" w:type="dxa"/>
            <w:vAlign w:val="bottom"/>
            <w:gridSpan w:val="9"/>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10.14†</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3"/>
              </w:rPr>
            </w:pPr>
            <w:hyperlink r:id="rId176">
              <w:r>
                <w:rPr>
                  <w:rFonts w:ascii="Arial" w:cs="Arial" w:eastAsia="Arial" w:hAnsi="Arial"/>
                  <w:sz w:val="15"/>
                  <w:szCs w:val="15"/>
                  <w:color w:val="0000EE"/>
                  <w:w w:val="93"/>
                </w:rPr>
                <w:t>Form of Restricted Share Unit Award Agreement—U.K. pursuant to Weatherford International plc 2010 Omnibus Incentive Plan (incorporated by reference to</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0" w:type="dxa"/>
            <w:vAlign w:val="bottom"/>
            <w:tcBorders>
              <w:top w:val="single" w:sz="8" w:color="0000EE"/>
              <w:bottom w:val="single" w:sz="8" w:color="0000EE"/>
            </w:tcBorders>
            <w:gridSpan w:val="3"/>
          </w:tcPr>
          <w:p>
            <w:pPr>
              <w:spacing w:after="0" w:line="163" w:lineRule="exact"/>
              <w:rPr>
                <w:rFonts w:ascii="Arial" w:cs="Arial" w:eastAsia="Arial" w:hAnsi="Arial"/>
                <w:sz w:val="15"/>
                <w:szCs w:val="15"/>
                <w:color w:val="0000EE"/>
                <w:w w:val="93"/>
              </w:rPr>
            </w:pPr>
            <w:hyperlink r:id="rId176">
              <w:r>
                <w:rPr>
                  <w:rFonts w:ascii="Arial" w:cs="Arial" w:eastAsia="Arial" w:hAnsi="Arial"/>
                  <w:sz w:val="15"/>
                  <w:szCs w:val="15"/>
                  <w:color w:val="0000EE"/>
                  <w:w w:val="93"/>
                </w:rPr>
                <w:t>Exhibit 10.9 of Weatherford International plc’s Current Report on Form 8-K12B (File No. 1-36504), filed June 17, 2014)</w:t>
              </w:r>
            </w:hyperlink>
          </w:p>
        </w:tc>
        <w:tc>
          <w:tcPr>
            <w:tcW w:w="228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10.15†</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4"/>
              </w:rPr>
            </w:pPr>
            <w:hyperlink r:id="rId177">
              <w:r>
                <w:rPr>
                  <w:rFonts w:ascii="Arial" w:cs="Arial" w:eastAsia="Arial" w:hAnsi="Arial"/>
                  <w:sz w:val="15"/>
                  <w:szCs w:val="15"/>
                  <w:color w:val="0000EE"/>
                  <w:w w:val="94"/>
                </w:rPr>
                <w:t>Form of Performance Unit Award Agreement pursuant to Weatherford International plc 2010 Omnibus Incentive Plan (Shareholder Return) (incorporated by</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80" w:type="dxa"/>
            <w:vAlign w:val="bottom"/>
            <w:tcBorders>
              <w:top w:val="single" w:sz="8" w:color="0000EE"/>
            </w:tcBorders>
            <w:gridSpan w:val="15"/>
          </w:tcPr>
          <w:p>
            <w:pPr>
              <w:spacing w:after="0" w:line="163" w:lineRule="exact"/>
              <w:rPr>
                <w:rFonts w:ascii="Arial" w:cs="Arial" w:eastAsia="Arial" w:hAnsi="Arial"/>
                <w:sz w:val="15"/>
                <w:szCs w:val="15"/>
                <w:color w:val="0000EE"/>
              </w:rPr>
            </w:pPr>
            <w:hyperlink r:id="rId177">
              <w:r>
                <w:rPr>
                  <w:rFonts w:ascii="Arial" w:cs="Arial" w:eastAsia="Arial" w:hAnsi="Arial"/>
                  <w:sz w:val="15"/>
                  <w:szCs w:val="15"/>
                  <w:color w:val="0000EE"/>
                </w:rPr>
                <w:t>reference to Exhibit 10.2 of Weatherford International plc’s Current Report on Form 8-K (File No. 1-36504), filed March 4, 2014)</w:t>
              </w:r>
            </w:hyperlink>
          </w:p>
        </w:tc>
        <w:tc>
          <w:tcPr>
            <w:tcW w:w="140" w:type="dxa"/>
            <w:vAlign w:val="bottom"/>
            <w:gridSpan w:val="4"/>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10.16†</w:t>
            </w:r>
          </w:p>
        </w:tc>
        <w:tc>
          <w:tcPr>
            <w:tcW w:w="62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5"/>
                <w:szCs w:val="15"/>
                <w:color w:val="0000EE"/>
                <w:w w:val="92"/>
              </w:rPr>
            </w:pPr>
            <w:hyperlink r:id="rId178">
              <w:r>
                <w:rPr>
                  <w:rFonts w:ascii="Arial" w:cs="Arial" w:eastAsia="Arial" w:hAnsi="Arial"/>
                  <w:sz w:val="15"/>
                  <w:szCs w:val="15"/>
                  <w:color w:val="0000EE"/>
                  <w:w w:val="92"/>
                </w:rPr>
                <w:t>Form of Performance Units Award Agreement (CIC) pursuant to the Weatherford International plc 2010 Omnibus Incentive Plan (incorporated by reference to</w:t>
              </w:r>
            </w:hyperlink>
          </w:p>
        </w:tc>
        <w:tc>
          <w:tcPr>
            <w:tcW w:w="20" w:type="dxa"/>
            <w:vAlign w:val="bottom"/>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19"/>
          </w:tcPr>
          <w:p>
            <w:pPr>
              <w:spacing w:after="0" w:line="163" w:lineRule="exact"/>
              <w:rPr>
                <w:rFonts w:ascii="Arial" w:cs="Arial" w:eastAsia="Arial" w:hAnsi="Arial"/>
                <w:sz w:val="15"/>
                <w:szCs w:val="15"/>
                <w:color w:val="0000EE"/>
              </w:rPr>
            </w:pPr>
            <w:hyperlink r:id="rId178">
              <w:r>
                <w:rPr>
                  <w:rFonts w:ascii="Arial" w:cs="Arial" w:eastAsia="Arial" w:hAnsi="Arial"/>
                  <w:sz w:val="15"/>
                  <w:szCs w:val="15"/>
                  <w:color w:val="0000EE"/>
                </w:rPr>
                <w:t>Exhibit 10.28 of Weatherford International plc’s Annual Report on Form 10-K (File No. 1-36504), filed February 16, 2016)</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10.17†</w:t>
            </w:r>
          </w:p>
        </w:tc>
        <w:tc>
          <w:tcPr>
            <w:tcW w:w="6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5"/>
                <w:szCs w:val="15"/>
                <w:color w:val="0000EE"/>
                <w:w w:val="93"/>
              </w:rPr>
            </w:pPr>
            <w:hyperlink r:id="rId179">
              <w:r>
                <w:rPr>
                  <w:rFonts w:ascii="Arial" w:cs="Arial" w:eastAsia="Arial" w:hAnsi="Arial"/>
                  <w:sz w:val="15"/>
                  <w:szCs w:val="15"/>
                  <w:color w:val="0000EE"/>
                  <w:w w:val="93"/>
                </w:rPr>
                <w:t>Form of Restricted Share Units Award Agreement (CIC: Retirement - Director) pursuant to the Weatherford International plc 2010 Omnibus Incentive Plan</w:t>
              </w:r>
            </w:hyperlink>
          </w:p>
        </w:tc>
        <w:tc>
          <w:tcPr>
            <w:tcW w:w="220" w:type="dxa"/>
            <w:vAlign w:val="bottom"/>
            <w:gridSpan w:val="5"/>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80" w:type="dxa"/>
            <w:vAlign w:val="bottom"/>
            <w:tcBorders>
              <w:bottom w:val="single" w:sz="8" w:color="0000EE"/>
            </w:tcBorders>
            <w:gridSpan w:val="13"/>
          </w:tcPr>
          <w:p>
            <w:pPr>
              <w:spacing w:after="0" w:line="163" w:lineRule="exact"/>
              <w:rPr>
                <w:rFonts w:ascii="Arial" w:cs="Arial" w:eastAsia="Arial" w:hAnsi="Arial"/>
                <w:sz w:val="15"/>
                <w:szCs w:val="15"/>
                <w:color w:val="0000EE"/>
                <w:w w:val="92"/>
              </w:rPr>
            </w:pPr>
            <w:hyperlink r:id="rId179">
              <w:r>
                <w:rPr>
                  <w:rFonts w:ascii="Arial" w:cs="Arial" w:eastAsia="Arial" w:hAnsi="Arial"/>
                  <w:sz w:val="15"/>
                  <w:szCs w:val="15"/>
                  <w:color w:val="0000EE"/>
                  <w:w w:val="92"/>
                </w:rPr>
                <w:t>(incorporated by reference to Exhibit 10.5 of the Weatherford International plc’s Quarterly Report on Form 10-Q for the quarter ended September 31, 2017</w:t>
              </w:r>
            </w:hyperlink>
          </w:p>
        </w:tc>
        <w:tc>
          <w:tcPr>
            <w:tcW w:w="240" w:type="dxa"/>
            <w:vAlign w:val="bottom"/>
            <w:gridSpan w:val="6"/>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19"/>
          </w:tcPr>
          <w:p>
            <w:pPr>
              <w:spacing w:after="0" w:line="163" w:lineRule="exact"/>
              <w:rPr>
                <w:rFonts w:ascii="Arial" w:cs="Arial" w:eastAsia="Arial" w:hAnsi="Arial"/>
                <w:sz w:val="15"/>
                <w:szCs w:val="15"/>
                <w:color w:val="0000EE"/>
              </w:rPr>
            </w:pPr>
            <w:hyperlink r:id="rId179">
              <w:r>
                <w:rPr>
                  <w:rFonts w:ascii="Arial" w:cs="Arial" w:eastAsia="Arial" w:hAnsi="Arial"/>
                  <w:sz w:val="15"/>
                  <w:szCs w:val="15"/>
                  <w:color w:val="0000EE"/>
                </w:rPr>
                <w:t>(File No. 1-36504), filed November 1, 2017)</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10.18†</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9"/>
              </w:rPr>
            </w:pPr>
            <w:hyperlink r:id="rId180">
              <w:r>
                <w:rPr>
                  <w:rFonts w:ascii="Arial" w:cs="Arial" w:eastAsia="Arial" w:hAnsi="Arial"/>
                  <w:sz w:val="15"/>
                  <w:szCs w:val="15"/>
                  <w:color w:val="0000EE"/>
                  <w:w w:val="99"/>
                </w:rPr>
                <w:t>Form of Restricted Share Units Award Agreement (CIC - Officer 2018 ) pursuant to the Weatherford International plc 2010 Omnibus Incentive Plan</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9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19"/>
          </w:tcPr>
          <w:p>
            <w:pPr>
              <w:spacing w:after="0" w:line="163" w:lineRule="exact"/>
              <w:rPr>
                <w:rFonts w:ascii="Arial" w:cs="Arial" w:eastAsia="Arial" w:hAnsi="Arial"/>
                <w:sz w:val="15"/>
                <w:szCs w:val="15"/>
                <w:color w:val="0000EE"/>
                <w:w w:val="97"/>
              </w:rPr>
            </w:pPr>
            <w:hyperlink r:id="rId180">
              <w:r>
                <w:rPr>
                  <w:rFonts w:ascii="Arial" w:cs="Arial" w:eastAsia="Arial" w:hAnsi="Arial"/>
                  <w:sz w:val="15"/>
                  <w:szCs w:val="15"/>
                  <w:color w:val="0000EE"/>
                  <w:w w:val="97"/>
                </w:rPr>
                <w:t>(incorporated by reference to Exhibit 10.27 of Weatherford International plc’s Annual Report on Form 10-K (File No. 1-36504), filed February 14, 2018)</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9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10.19†</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5"/>
              </w:rPr>
            </w:pPr>
            <w:hyperlink r:id="rId181">
              <w:r>
                <w:rPr>
                  <w:rFonts w:ascii="Arial" w:cs="Arial" w:eastAsia="Arial" w:hAnsi="Arial"/>
                  <w:sz w:val="15"/>
                  <w:szCs w:val="15"/>
                  <w:color w:val="0000EE"/>
                  <w:w w:val="95"/>
                </w:rPr>
                <w:t>Form of Performance Share Unit Award Agreement pursuant to Weatherford International plc 2010 Omnibus Incentive Plan (Relative Shareholder Return)</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60" w:type="dxa"/>
            <w:vAlign w:val="bottom"/>
            <w:tcBorders>
              <w:top w:val="single" w:sz="8" w:color="0000EE"/>
            </w:tcBorders>
            <w:gridSpan w:val="12"/>
          </w:tcPr>
          <w:p>
            <w:pPr>
              <w:spacing w:after="0" w:line="163" w:lineRule="exact"/>
              <w:rPr>
                <w:rFonts w:ascii="Arial" w:cs="Arial" w:eastAsia="Arial" w:hAnsi="Arial"/>
                <w:sz w:val="15"/>
                <w:szCs w:val="15"/>
                <w:color w:val="0000EE"/>
                <w:w w:val="94"/>
              </w:rPr>
            </w:pPr>
            <w:hyperlink r:id="rId181">
              <w:r>
                <w:rPr>
                  <w:rFonts w:ascii="Arial" w:cs="Arial" w:eastAsia="Arial" w:hAnsi="Arial"/>
                  <w:sz w:val="15"/>
                  <w:szCs w:val="15"/>
                  <w:color w:val="0000EE"/>
                  <w:w w:val="94"/>
                </w:rPr>
                <w:t>(incorporated by reference to Exhibit 10.28 of Weatherford International plc’s Annual Report on Form 10-K (File No. 1-36504), filed February 14, 2018)</w:t>
              </w:r>
            </w:hyperlink>
          </w:p>
        </w:tc>
        <w:tc>
          <w:tcPr>
            <w:tcW w:w="260" w:type="dxa"/>
            <w:vAlign w:val="bottom"/>
            <w:gridSpan w:val="7"/>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9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10.20†</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5"/>
              </w:rPr>
            </w:pPr>
            <w:hyperlink r:id="rId182">
              <w:r>
                <w:rPr>
                  <w:rFonts w:ascii="Arial" w:cs="Arial" w:eastAsia="Arial" w:hAnsi="Arial"/>
                  <w:sz w:val="15"/>
                  <w:szCs w:val="15"/>
                  <w:color w:val="0000EE"/>
                  <w:w w:val="95"/>
                </w:rPr>
                <w:t>Form of Performance Share Units Award Agreement pursuant to the Weatherford International plc 2010 Omnibus Incentive Plan (ROCE) (incorporated by</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20" w:type="dxa"/>
            <w:vAlign w:val="bottom"/>
            <w:tcBorders>
              <w:top w:val="single" w:sz="8" w:color="0000EE"/>
              <w:bottom w:val="single" w:sz="8" w:color="0000EE"/>
            </w:tcBorders>
            <w:gridSpan w:val="6"/>
          </w:tcPr>
          <w:p>
            <w:pPr>
              <w:spacing w:after="0" w:line="163" w:lineRule="exact"/>
              <w:rPr>
                <w:rFonts w:ascii="Arial" w:cs="Arial" w:eastAsia="Arial" w:hAnsi="Arial"/>
                <w:sz w:val="15"/>
                <w:szCs w:val="15"/>
                <w:color w:val="0000EE"/>
                <w:w w:val="93"/>
              </w:rPr>
            </w:pPr>
            <w:hyperlink r:id="rId182">
              <w:r>
                <w:rPr>
                  <w:rFonts w:ascii="Arial" w:cs="Arial" w:eastAsia="Arial" w:hAnsi="Arial"/>
                  <w:sz w:val="15"/>
                  <w:szCs w:val="15"/>
                  <w:color w:val="0000EE"/>
                  <w:w w:val="93"/>
                </w:rPr>
                <w:t>reference to Exhibit 10.29 of Weatherford International plc’s Annual Report on Form 10-K (File No. 1-36504), filed February 14, 2018)</w:t>
              </w:r>
            </w:hyperlink>
          </w:p>
        </w:tc>
        <w:tc>
          <w:tcPr>
            <w:tcW w:w="1140" w:type="dxa"/>
            <w:vAlign w:val="bottom"/>
            <w:tcBorders>
              <w:top w:val="single" w:sz="8" w:color="0000EE"/>
            </w:tcBorders>
            <w:gridSpan w:val="6"/>
          </w:tcPr>
          <w:p>
            <w:pPr>
              <w:spacing w:after="0"/>
              <w:rPr>
                <w:sz w:val="14"/>
                <w:szCs w:val="14"/>
                <w:color w:val="auto"/>
              </w:rPr>
            </w:pPr>
          </w:p>
        </w:tc>
        <w:tc>
          <w:tcPr>
            <w:tcW w:w="260" w:type="dxa"/>
            <w:vAlign w:val="bottom"/>
            <w:gridSpan w:val="7"/>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10.21†</w:t>
            </w:r>
          </w:p>
        </w:tc>
        <w:tc>
          <w:tcPr>
            <w:tcW w:w="620" w:type="dxa"/>
            <w:vAlign w:val="bottom"/>
          </w:tcPr>
          <w:p>
            <w:pPr>
              <w:spacing w:after="0"/>
              <w:rPr>
                <w:sz w:val="24"/>
                <w:szCs w:val="24"/>
                <w:color w:val="auto"/>
              </w:rPr>
            </w:pPr>
          </w:p>
        </w:tc>
        <w:tc>
          <w:tcPr>
            <w:tcW w:w="9720" w:type="dxa"/>
            <w:vAlign w:val="bottom"/>
            <w:tcBorders>
              <w:bottom w:val="single" w:sz="8" w:color="0000EE"/>
            </w:tcBorders>
            <w:gridSpan w:val="19"/>
          </w:tcPr>
          <w:p>
            <w:pPr>
              <w:spacing w:after="0"/>
              <w:rPr>
                <w:rFonts w:ascii="Arial" w:cs="Arial" w:eastAsia="Arial" w:hAnsi="Arial"/>
                <w:sz w:val="15"/>
                <w:szCs w:val="15"/>
                <w:color w:val="0000EE"/>
                <w:w w:val="92"/>
              </w:rPr>
            </w:pPr>
            <w:hyperlink r:id="rId183">
              <w:r>
                <w:rPr>
                  <w:rFonts w:ascii="Arial" w:cs="Arial" w:eastAsia="Arial" w:hAnsi="Arial"/>
                  <w:sz w:val="15"/>
                  <w:szCs w:val="15"/>
                  <w:color w:val="0000EE"/>
                  <w:w w:val="92"/>
                </w:rPr>
                <w:t>Weatherford International Ltd. (Switzerland) Executive Non-Equity Incentive Compensation Plan (as amended and restated, February 27, 2014) to be effective</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20" w:type="dxa"/>
            <w:vAlign w:val="bottom"/>
            <w:tcBorders>
              <w:bottom w:val="single" w:sz="8" w:color="0000EE"/>
            </w:tcBorders>
            <w:gridSpan w:val="16"/>
          </w:tcPr>
          <w:p>
            <w:pPr>
              <w:spacing w:after="0" w:line="163" w:lineRule="exact"/>
              <w:rPr>
                <w:rFonts w:ascii="Arial" w:cs="Arial" w:eastAsia="Arial" w:hAnsi="Arial"/>
                <w:sz w:val="15"/>
                <w:szCs w:val="15"/>
                <w:color w:val="0000EE"/>
                <w:w w:val="93"/>
              </w:rPr>
            </w:pPr>
            <w:hyperlink r:id="rId183">
              <w:r>
                <w:rPr>
                  <w:rFonts w:ascii="Arial" w:cs="Arial" w:eastAsia="Arial" w:hAnsi="Arial"/>
                  <w:sz w:val="15"/>
                  <w:szCs w:val="15"/>
                  <w:color w:val="0000EE"/>
                  <w:w w:val="93"/>
                </w:rPr>
                <w:t>January 1, 2014 (incorporated by reference to Exhibit 10.1 of Weatherford International plc’s Current Report on Form 8-K (File No. 1-34258), filed March 4,</w:t>
              </w:r>
            </w:hyperlink>
          </w:p>
        </w:tc>
        <w:tc>
          <w:tcPr>
            <w:tcW w:w="100" w:type="dxa"/>
            <w:vAlign w:val="bottom"/>
            <w:gridSpan w:val="3"/>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0000EE"/>
            </w:tcBorders>
          </w:tcPr>
          <w:p>
            <w:pPr>
              <w:spacing w:after="0" w:line="163" w:lineRule="exact"/>
              <w:rPr>
                <w:rFonts w:ascii="Arial" w:cs="Arial" w:eastAsia="Arial" w:hAnsi="Arial"/>
                <w:sz w:val="15"/>
                <w:szCs w:val="15"/>
                <w:color w:val="0000EE"/>
                <w:w w:val="88"/>
              </w:rPr>
            </w:pPr>
            <w:hyperlink r:id="rId183">
              <w:r>
                <w:rPr>
                  <w:rFonts w:ascii="Arial" w:cs="Arial" w:eastAsia="Arial" w:hAnsi="Arial"/>
                  <w:sz w:val="15"/>
                  <w:szCs w:val="15"/>
                  <w:color w:val="0000EE"/>
                  <w:w w:val="88"/>
                </w:rPr>
                <w:t>2014)</w:t>
              </w:r>
            </w:hyperlink>
          </w:p>
        </w:tc>
        <w:tc>
          <w:tcPr>
            <w:tcW w:w="2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10.22†</w:t>
            </w:r>
          </w:p>
        </w:tc>
        <w:tc>
          <w:tcPr>
            <w:tcW w:w="62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5"/>
                <w:szCs w:val="15"/>
                <w:color w:val="0000EE"/>
                <w:w w:val="98"/>
              </w:rPr>
            </w:pPr>
            <w:hyperlink r:id="rId184">
              <w:r>
                <w:rPr>
                  <w:rFonts w:ascii="Arial" w:cs="Arial" w:eastAsia="Arial" w:hAnsi="Arial"/>
                  <w:sz w:val="15"/>
                  <w:szCs w:val="15"/>
                  <w:color w:val="0000EE"/>
                  <w:w w:val="98"/>
                </w:rPr>
                <w:t>Employment Letter, dated March 3, 2017, between Weatherford International plc and Mark A. McCollum (incorporated by reference to Exhibit 10.3 to</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20" w:type="dxa"/>
            <w:vAlign w:val="bottom"/>
            <w:tcBorders>
              <w:top w:val="single" w:sz="8" w:color="0000EE"/>
            </w:tcBorders>
            <w:gridSpan w:val="9"/>
          </w:tcPr>
          <w:p>
            <w:pPr>
              <w:spacing w:after="0" w:line="163" w:lineRule="exact"/>
              <w:rPr>
                <w:rFonts w:ascii="Arial" w:cs="Arial" w:eastAsia="Arial" w:hAnsi="Arial"/>
                <w:sz w:val="15"/>
                <w:szCs w:val="15"/>
                <w:color w:val="0000EE"/>
                <w:w w:val="98"/>
              </w:rPr>
            </w:pPr>
            <w:hyperlink r:id="rId184">
              <w:r>
                <w:rPr>
                  <w:rFonts w:ascii="Arial" w:cs="Arial" w:eastAsia="Arial" w:hAnsi="Arial"/>
                  <w:sz w:val="15"/>
                  <w:szCs w:val="15"/>
                  <w:color w:val="0000EE"/>
                  <w:w w:val="98"/>
                </w:rPr>
                <w:t>Weatherford International plc’s Quarterly Report on Form 10-Q for the quarter ended March 31, 2017 (File No. 1-36504), filed April 28, 2017)</w:t>
              </w:r>
            </w:hyperlink>
          </w:p>
        </w:tc>
        <w:tc>
          <w:tcPr>
            <w:tcW w:w="500" w:type="dxa"/>
            <w:vAlign w:val="bottom"/>
            <w:gridSpan w:val="10"/>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2"/>
        </w:trPr>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10.23†</w:t>
            </w:r>
          </w:p>
        </w:tc>
        <w:tc>
          <w:tcPr>
            <w:tcW w:w="62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5"/>
                <w:szCs w:val="15"/>
                <w:color w:val="0000EE"/>
                <w:w w:val="94"/>
              </w:rPr>
            </w:pPr>
            <w:hyperlink r:id="rId186">
              <w:r>
                <w:rPr>
                  <w:rFonts w:ascii="Arial" w:cs="Arial" w:eastAsia="Arial" w:hAnsi="Arial"/>
                  <w:sz w:val="15"/>
                  <w:szCs w:val="15"/>
                  <w:color w:val="0000EE"/>
                  <w:w w:val="94"/>
                </w:rPr>
                <w:t>Form of Change of Control Agreement, entered into by Mark McCollum (April 24, 2017), Christina Ibrahim (May 4, 2015), Karl Blanchard (August 21, 2017)</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bottom w:val="single" w:sz="8" w:color="0000EE"/>
            </w:tcBorders>
            <w:gridSpan w:val="19"/>
          </w:tcPr>
          <w:p>
            <w:pPr>
              <w:spacing w:after="0" w:line="163" w:lineRule="exact"/>
              <w:rPr>
                <w:rFonts w:ascii="Arial" w:cs="Arial" w:eastAsia="Arial" w:hAnsi="Arial"/>
                <w:sz w:val="15"/>
                <w:szCs w:val="15"/>
                <w:color w:val="0000EE"/>
                <w:w w:val="93"/>
              </w:rPr>
            </w:pPr>
            <w:hyperlink r:id="rId186">
              <w:r>
                <w:rPr>
                  <w:rFonts w:ascii="Arial" w:cs="Arial" w:eastAsia="Arial" w:hAnsi="Arial"/>
                  <w:sz w:val="15"/>
                  <w:szCs w:val="15"/>
                  <w:color w:val="0000EE"/>
                  <w:w w:val="93"/>
                </w:rPr>
                <w:t>and Christoph Bausch (December 13, 2016) (incorporated by reference to Exhibit 10.1 of Weatherford International plc’s Current Report on Form 8-K (File</w:t>
              </w:r>
            </w:hyperlink>
          </w:p>
        </w:tc>
        <w:tc>
          <w:tcPr>
            <w:tcW w:w="180" w:type="dxa"/>
            <w:vAlign w:val="bottom"/>
            <w:gridSpan w:val="3"/>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80" w:type="dxa"/>
            <w:vAlign w:val="bottom"/>
            <w:tcBorders>
              <w:bottom w:val="single" w:sz="8" w:color="0000EE"/>
            </w:tcBorders>
            <w:gridSpan w:val="2"/>
          </w:tcPr>
          <w:p>
            <w:pPr>
              <w:spacing w:after="0" w:line="163" w:lineRule="exact"/>
              <w:rPr>
                <w:rFonts w:ascii="Arial" w:cs="Arial" w:eastAsia="Arial" w:hAnsi="Arial"/>
                <w:sz w:val="15"/>
                <w:szCs w:val="15"/>
                <w:color w:val="0000EE"/>
                <w:w w:val="93"/>
              </w:rPr>
            </w:pPr>
            <w:hyperlink r:id="rId186">
              <w:r>
                <w:rPr>
                  <w:rFonts w:ascii="Arial" w:cs="Arial" w:eastAsia="Arial" w:hAnsi="Arial"/>
                  <w:sz w:val="15"/>
                  <w:szCs w:val="15"/>
                  <w:color w:val="0000EE"/>
                  <w:w w:val="93"/>
                </w:rPr>
                <w:t>No. 1-36504), filed December 15, 2016)</w:t>
              </w:r>
            </w:hyperlink>
          </w:p>
        </w:tc>
        <w:tc>
          <w:tcPr>
            <w:tcW w:w="7240" w:type="dxa"/>
            <w:vAlign w:val="bottom"/>
            <w:gridSpan w:val="20"/>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10.24†</w:t>
            </w:r>
          </w:p>
        </w:tc>
        <w:tc>
          <w:tcPr>
            <w:tcW w:w="620" w:type="dxa"/>
            <w:vAlign w:val="bottom"/>
          </w:tcPr>
          <w:p>
            <w:pPr>
              <w:spacing w:after="0"/>
              <w:rPr>
                <w:sz w:val="24"/>
                <w:szCs w:val="24"/>
                <w:color w:val="auto"/>
              </w:rPr>
            </w:pPr>
          </w:p>
        </w:tc>
        <w:tc>
          <w:tcPr>
            <w:tcW w:w="9440" w:type="dxa"/>
            <w:vAlign w:val="bottom"/>
            <w:tcBorders>
              <w:bottom w:val="single" w:sz="8" w:color="0000EE"/>
            </w:tcBorders>
            <w:gridSpan w:val="16"/>
          </w:tcPr>
          <w:p>
            <w:pPr>
              <w:spacing w:after="0"/>
              <w:rPr>
                <w:rFonts w:ascii="Arial" w:cs="Arial" w:eastAsia="Arial" w:hAnsi="Arial"/>
                <w:sz w:val="15"/>
                <w:szCs w:val="15"/>
                <w:color w:val="0000EE"/>
                <w:w w:val="93"/>
              </w:rPr>
            </w:pPr>
            <w:hyperlink r:id="rId187">
              <w:r>
                <w:rPr>
                  <w:rFonts w:ascii="Arial" w:cs="Arial" w:eastAsia="Arial" w:hAnsi="Arial"/>
                  <w:sz w:val="15"/>
                  <w:szCs w:val="15"/>
                  <w:color w:val="0000EE"/>
                  <w:w w:val="93"/>
                </w:rPr>
                <w:t>Form of Deed of Indemnification of Weatherford International plc entered into by each director of Weatherford International plc and each of the following</w:t>
              </w:r>
            </w:hyperlink>
          </w:p>
        </w:tc>
        <w:tc>
          <w:tcPr>
            <w:tcW w:w="280" w:type="dxa"/>
            <w:vAlign w:val="bottom"/>
            <w:gridSpan w:val="6"/>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20" w:type="dxa"/>
            <w:vAlign w:val="bottom"/>
            <w:tcBorders>
              <w:bottom w:val="single" w:sz="8" w:color="0000EE"/>
            </w:tcBorders>
            <w:gridSpan w:val="18"/>
          </w:tcPr>
          <w:p>
            <w:pPr>
              <w:spacing w:after="0" w:line="163" w:lineRule="exact"/>
              <w:rPr>
                <w:rFonts w:ascii="Arial" w:cs="Arial" w:eastAsia="Arial" w:hAnsi="Arial"/>
                <w:sz w:val="15"/>
                <w:szCs w:val="15"/>
                <w:color w:val="0000EE"/>
                <w:w w:val="94"/>
              </w:rPr>
            </w:pPr>
            <w:hyperlink r:id="rId187">
              <w:r>
                <w:rPr>
                  <w:rFonts w:ascii="Arial" w:cs="Arial" w:eastAsia="Arial" w:hAnsi="Arial"/>
                  <w:sz w:val="15"/>
                  <w:szCs w:val="15"/>
                  <w:color w:val="0000EE"/>
                  <w:w w:val="94"/>
                </w:rPr>
                <w:t>executive officers of Weatherford International plc: Mark McCollum (April 24, 2017), Christina Ibrahim (May 4, 2015), Karl Blanchard (August 21, 2017),</w:t>
              </w:r>
            </w:hyperlink>
          </w:p>
        </w:tc>
        <w:tc>
          <w:tcPr>
            <w:tcW w:w="200" w:type="dxa"/>
            <w:vAlign w:val="bottom"/>
            <w:gridSpan w:val="4"/>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40" w:type="dxa"/>
            <w:vAlign w:val="bottom"/>
            <w:tcBorders>
              <w:bottom w:val="single" w:sz="8" w:color="0000EE"/>
            </w:tcBorders>
            <w:gridSpan w:val="14"/>
          </w:tcPr>
          <w:p>
            <w:pPr>
              <w:spacing w:after="0" w:line="163" w:lineRule="exact"/>
              <w:rPr>
                <w:rFonts w:ascii="Arial" w:cs="Arial" w:eastAsia="Arial" w:hAnsi="Arial"/>
                <w:sz w:val="15"/>
                <w:szCs w:val="15"/>
                <w:color w:val="0000EE"/>
                <w:w w:val="92"/>
              </w:rPr>
            </w:pPr>
            <w:hyperlink r:id="rId187">
              <w:r>
                <w:rPr>
                  <w:rFonts w:ascii="Arial" w:cs="Arial" w:eastAsia="Arial" w:hAnsi="Arial"/>
                  <w:sz w:val="15"/>
                  <w:szCs w:val="15"/>
                  <w:color w:val="0000EE"/>
                  <w:w w:val="92"/>
                </w:rPr>
                <w:t>Christoph Bausch (December 13, 2016) and Stuart Fraser (April 15, 2018) (incorporated by reference to Exhibit 10.11 of Weatherford International plc’s</w:t>
              </w:r>
            </w:hyperlink>
          </w:p>
        </w:tc>
        <w:tc>
          <w:tcPr>
            <w:tcW w:w="380" w:type="dxa"/>
            <w:vAlign w:val="bottom"/>
            <w:gridSpan w:val="8"/>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00" w:type="dxa"/>
            <w:vAlign w:val="bottom"/>
            <w:tcBorders>
              <w:bottom w:val="single" w:sz="8" w:color="0000EE"/>
            </w:tcBorders>
            <w:gridSpan w:val="3"/>
          </w:tcPr>
          <w:p>
            <w:pPr>
              <w:spacing w:after="0" w:line="163" w:lineRule="exact"/>
              <w:rPr>
                <w:rFonts w:ascii="Arial" w:cs="Arial" w:eastAsia="Arial" w:hAnsi="Arial"/>
                <w:sz w:val="15"/>
                <w:szCs w:val="15"/>
                <w:color w:val="0000EE"/>
                <w:w w:val="93"/>
              </w:rPr>
            </w:pPr>
            <w:hyperlink r:id="rId187">
              <w:r>
                <w:rPr>
                  <w:rFonts w:ascii="Arial" w:cs="Arial" w:eastAsia="Arial" w:hAnsi="Arial"/>
                  <w:sz w:val="15"/>
                  <w:szCs w:val="15"/>
                  <w:color w:val="0000EE"/>
                  <w:w w:val="93"/>
                </w:rPr>
                <w:t>Current Report on Form 8-K12B (File No. 1-36504), filed June 17, 2014)</w:t>
              </w:r>
            </w:hyperlink>
          </w:p>
        </w:tc>
        <w:tc>
          <w:tcPr>
            <w:tcW w:w="5220" w:type="dxa"/>
            <w:vAlign w:val="bottom"/>
            <w:gridSpan w:val="19"/>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10.25†</w:t>
            </w:r>
          </w:p>
        </w:tc>
        <w:tc>
          <w:tcPr>
            <w:tcW w:w="62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5"/>
                <w:szCs w:val="15"/>
                <w:color w:val="0000EE"/>
                <w:w w:val="94"/>
              </w:rPr>
            </w:pPr>
            <w:hyperlink r:id="rId188">
              <w:r>
                <w:rPr>
                  <w:rFonts w:ascii="Arial" w:cs="Arial" w:eastAsia="Arial" w:hAnsi="Arial"/>
                  <w:sz w:val="15"/>
                  <w:szCs w:val="15"/>
                  <w:color w:val="0000EE"/>
                  <w:w w:val="94"/>
                </w:rPr>
                <w:t>Form of Deed of Indemnification of Weatherford Bermuda entered into by each director of Weatherford International plc and each of the following executive</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60" w:type="dxa"/>
            <w:vAlign w:val="bottom"/>
            <w:tcBorders>
              <w:top w:val="single" w:sz="8" w:color="0000EE"/>
              <w:bottom w:val="single" w:sz="8" w:color="0000EE"/>
            </w:tcBorders>
            <w:gridSpan w:val="17"/>
          </w:tcPr>
          <w:p>
            <w:pPr>
              <w:spacing w:after="0" w:line="163" w:lineRule="exact"/>
              <w:rPr>
                <w:rFonts w:ascii="Arial" w:cs="Arial" w:eastAsia="Arial" w:hAnsi="Arial"/>
                <w:sz w:val="15"/>
                <w:szCs w:val="15"/>
                <w:color w:val="0000EE"/>
                <w:w w:val="94"/>
              </w:rPr>
            </w:pPr>
            <w:hyperlink r:id="rId188">
              <w:r>
                <w:rPr>
                  <w:rFonts w:ascii="Arial" w:cs="Arial" w:eastAsia="Arial" w:hAnsi="Arial"/>
                  <w:sz w:val="15"/>
                  <w:szCs w:val="15"/>
                  <w:color w:val="0000EE"/>
                  <w:w w:val="94"/>
                </w:rPr>
                <w:t>officers of Weatherford International plc: Mark McCollum (April 24, 2017), Christina Ibrahim (May 4, 2015), Christoph Bausch (December 13, 2016) and</w:t>
              </w:r>
            </w:hyperlink>
          </w:p>
        </w:tc>
        <w:tc>
          <w:tcPr>
            <w:tcW w:w="140" w:type="dxa"/>
            <w:vAlign w:val="bottom"/>
            <w:tcBorders>
              <w:top w:val="single" w:sz="8" w:color="0000EE"/>
            </w:tcBorders>
            <w:gridSpan w:val="4"/>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20" w:type="dxa"/>
            <w:vAlign w:val="bottom"/>
            <w:tcBorders>
              <w:bottom w:val="single" w:sz="8" w:color="0000EE"/>
            </w:tcBorders>
            <w:gridSpan w:val="15"/>
          </w:tcPr>
          <w:p>
            <w:pPr>
              <w:spacing w:after="0" w:line="163" w:lineRule="exact"/>
              <w:rPr>
                <w:rFonts w:ascii="Arial" w:cs="Arial" w:eastAsia="Arial" w:hAnsi="Arial"/>
                <w:sz w:val="15"/>
                <w:szCs w:val="15"/>
                <w:color w:val="0000EE"/>
                <w:w w:val="93"/>
              </w:rPr>
            </w:pPr>
            <w:hyperlink r:id="rId188">
              <w:r>
                <w:rPr>
                  <w:rFonts w:ascii="Arial" w:cs="Arial" w:eastAsia="Arial" w:hAnsi="Arial"/>
                  <w:sz w:val="15"/>
                  <w:szCs w:val="15"/>
                  <w:color w:val="0000EE"/>
                  <w:w w:val="93"/>
                </w:rPr>
                <w:t>Stuart Fraser (April 15, 2018) (incorporated by reference to Exhibit 10.12 of Weatherford International plc’s Current Report on Form 8-K12B (File No. 1-</w:t>
              </w:r>
            </w:hyperlink>
          </w:p>
        </w:tc>
        <w:tc>
          <w:tcPr>
            <w:tcW w:w="300" w:type="dxa"/>
            <w:vAlign w:val="bottom"/>
            <w:gridSpan w:val="7"/>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Borders>
              <w:bottom w:val="single" w:sz="8" w:color="0000EE"/>
            </w:tcBorders>
          </w:tcPr>
          <w:p>
            <w:pPr>
              <w:spacing w:after="0" w:line="163" w:lineRule="exact"/>
              <w:rPr>
                <w:rFonts w:ascii="Arial" w:cs="Arial" w:eastAsia="Arial" w:hAnsi="Arial"/>
                <w:sz w:val="15"/>
                <w:szCs w:val="15"/>
                <w:color w:val="0000EE"/>
                <w:w w:val="92"/>
              </w:rPr>
            </w:pPr>
            <w:hyperlink r:id="rId188">
              <w:r>
                <w:rPr>
                  <w:rFonts w:ascii="Arial" w:cs="Arial" w:eastAsia="Arial" w:hAnsi="Arial"/>
                  <w:sz w:val="15"/>
                  <w:szCs w:val="15"/>
                  <w:color w:val="0000EE"/>
                  <w:w w:val="92"/>
                </w:rPr>
                <w:t>36504)</w:t>
              </w:r>
              <w:r>
                <w:rPr>
                  <w:rFonts w:ascii="Arial" w:cs="Arial" w:eastAsia="Arial" w:hAnsi="Arial"/>
                  <w:sz w:val="15"/>
                  <w:szCs w:val="15"/>
                  <w:u w:val="single" w:color="auto"/>
                  <w:color w:val="0000EE"/>
                  <w:w w:val="92"/>
                </w:rPr>
                <w:t>,</w:t>
              </w:r>
              <w:r>
                <w:rPr>
                  <w:rFonts w:ascii="Arial" w:cs="Arial" w:eastAsia="Arial" w:hAnsi="Arial"/>
                  <w:sz w:val="15"/>
                  <w:szCs w:val="15"/>
                  <w:color w:val="0000EE"/>
                  <w:w w:val="92"/>
                </w:rPr>
                <w:t xml:space="preserve"> filed June 17, 2014)</w:t>
              </w:r>
            </w:hyperlink>
          </w:p>
        </w:tc>
        <w:tc>
          <w:tcPr>
            <w:tcW w:w="7980" w:type="dxa"/>
            <w:vAlign w:val="bottom"/>
            <w:gridSpan w:val="21"/>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10.26†</w:t>
            </w:r>
          </w:p>
        </w:tc>
        <w:tc>
          <w:tcPr>
            <w:tcW w:w="62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5"/>
                <w:szCs w:val="15"/>
                <w:color w:val="0000EE"/>
                <w:w w:val="93"/>
              </w:rPr>
            </w:pPr>
            <w:hyperlink r:id="rId189">
              <w:r>
                <w:rPr>
                  <w:rFonts w:ascii="Arial" w:cs="Arial" w:eastAsia="Arial" w:hAnsi="Arial"/>
                  <w:sz w:val="15"/>
                  <w:szCs w:val="15"/>
                  <w:color w:val="0000EE"/>
                  <w:w w:val="93"/>
                </w:rPr>
                <w:t>Deed of Indemnification of Weatherford Bermuda entered into by Karl Blanchard (August 21, 2017) (incorporated by reference to Exhibit 10.4 of Weatherford</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2"/>
          </w:tcPr>
          <w:p>
            <w:pPr>
              <w:spacing w:after="0" w:line="163" w:lineRule="exact"/>
              <w:rPr>
                <w:rFonts w:ascii="Arial" w:cs="Arial" w:eastAsia="Arial" w:hAnsi="Arial"/>
                <w:sz w:val="15"/>
                <w:szCs w:val="15"/>
                <w:color w:val="0000EE"/>
              </w:rPr>
            </w:pPr>
            <w:hyperlink r:id="rId189">
              <w:r>
                <w:rPr>
                  <w:rFonts w:ascii="Arial" w:cs="Arial" w:eastAsia="Arial" w:hAnsi="Arial"/>
                  <w:sz w:val="15"/>
                  <w:szCs w:val="15"/>
                  <w:color w:val="0000EE"/>
                </w:rPr>
                <w:t>International plc’s Quarterly Report on Form 10-Q (File No. 1-36504), for the quarter ended September 30, 2017, filed November 1, 2017)</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10.27**</w:t>
            </w:r>
          </w:p>
        </w:tc>
        <w:tc>
          <w:tcPr>
            <w:tcW w:w="620" w:type="dxa"/>
            <w:vAlign w:val="bottom"/>
          </w:tcPr>
          <w:p>
            <w:pPr>
              <w:spacing w:after="0"/>
              <w:rPr>
                <w:sz w:val="24"/>
                <w:szCs w:val="24"/>
                <w:color w:val="auto"/>
              </w:rPr>
            </w:pPr>
          </w:p>
        </w:tc>
        <w:tc>
          <w:tcPr>
            <w:tcW w:w="9040" w:type="dxa"/>
            <w:vAlign w:val="bottom"/>
            <w:tcBorders>
              <w:bottom w:val="single" w:sz="8" w:color="0000EE"/>
            </w:tcBorders>
            <w:gridSpan w:val="10"/>
          </w:tcPr>
          <w:p>
            <w:pPr>
              <w:spacing w:after="0"/>
              <w:rPr>
                <w:rFonts w:ascii="Arial" w:cs="Arial" w:eastAsia="Arial" w:hAnsi="Arial"/>
                <w:sz w:val="15"/>
                <w:szCs w:val="15"/>
                <w:color w:val="0000EE"/>
                <w:w w:val="92"/>
              </w:rPr>
            </w:pPr>
            <w:hyperlink r:id="rId190">
              <w:r>
                <w:rPr>
                  <w:rFonts w:ascii="Arial" w:cs="Arial" w:eastAsia="Arial" w:hAnsi="Arial"/>
                  <w:sz w:val="15"/>
                  <w:szCs w:val="15"/>
                  <w:color w:val="0000EE"/>
                  <w:w w:val="92"/>
                </w:rPr>
                <w:t>Amendment and Restatement Agreement, dated May 4, 2016, by and among Weatherford International plc (Ireland), Weatherford International Ltd.</w:t>
              </w:r>
            </w:hyperlink>
          </w:p>
        </w:tc>
        <w:tc>
          <w:tcPr>
            <w:tcW w:w="680" w:type="dxa"/>
            <w:vAlign w:val="bottom"/>
            <w:gridSpan w:val="12"/>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60" w:type="dxa"/>
            <w:vAlign w:val="bottom"/>
            <w:tcBorders>
              <w:bottom w:val="single" w:sz="8" w:color="0000EE"/>
            </w:tcBorders>
            <w:gridSpan w:val="20"/>
          </w:tcPr>
          <w:p>
            <w:pPr>
              <w:spacing w:after="0" w:line="163" w:lineRule="exact"/>
              <w:rPr>
                <w:rFonts w:ascii="Arial" w:cs="Arial" w:eastAsia="Arial" w:hAnsi="Arial"/>
                <w:sz w:val="15"/>
                <w:szCs w:val="15"/>
                <w:color w:val="0000EE"/>
                <w:w w:val="92"/>
              </w:rPr>
            </w:pPr>
            <w:hyperlink r:id="rId190">
              <w:r>
                <w:rPr>
                  <w:rFonts w:ascii="Arial" w:cs="Arial" w:eastAsia="Arial" w:hAnsi="Arial"/>
                  <w:sz w:val="15"/>
                  <w:szCs w:val="15"/>
                  <w:color w:val="0000EE"/>
                  <w:w w:val="92"/>
                </w:rPr>
                <w:t>(Bermuda), as the Borrower, Weatherford International, LLC (Delaware), the lenders party thereto and JPMorgan Chase Bank, N.A., as administrative agent</w:t>
              </w:r>
            </w:hyperlink>
          </w:p>
        </w:tc>
        <w:tc>
          <w:tcPr>
            <w:tcW w:w="160" w:type="dxa"/>
            <w:vAlign w:val="bottom"/>
            <w:gridSpan w:val="2"/>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60" w:type="dxa"/>
            <w:vAlign w:val="bottom"/>
            <w:tcBorders>
              <w:bottom w:val="single" w:sz="8" w:color="0000EE"/>
            </w:tcBorders>
            <w:gridSpan w:val="9"/>
          </w:tcPr>
          <w:p>
            <w:pPr>
              <w:spacing w:after="0" w:line="163" w:lineRule="exact"/>
              <w:rPr>
                <w:rFonts w:ascii="Arial" w:cs="Arial" w:eastAsia="Arial" w:hAnsi="Arial"/>
                <w:sz w:val="15"/>
                <w:szCs w:val="15"/>
                <w:color w:val="0000EE"/>
                <w:w w:val="93"/>
              </w:rPr>
            </w:pPr>
            <w:hyperlink r:id="rId190">
              <w:r>
                <w:rPr>
                  <w:rFonts w:ascii="Arial" w:cs="Arial" w:eastAsia="Arial" w:hAnsi="Arial"/>
                  <w:sz w:val="15"/>
                  <w:szCs w:val="15"/>
                  <w:color w:val="0000EE"/>
                  <w:w w:val="93"/>
                </w:rPr>
                <w:t>(incorporated by reference to Exhibit 10.1 of Weatherford International plc’s Current Report on Form 8-K (File No. 1-36504), filed May 10, 2016)</w:t>
              </w:r>
            </w:hyperlink>
          </w:p>
        </w:tc>
        <w:tc>
          <w:tcPr>
            <w:tcW w:w="760" w:type="dxa"/>
            <w:vAlign w:val="bottom"/>
            <w:gridSpan w:val="13"/>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10.28**</w:t>
            </w:r>
          </w:p>
        </w:tc>
        <w:tc>
          <w:tcPr>
            <w:tcW w:w="62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5"/>
                <w:szCs w:val="15"/>
                <w:color w:val="0000EE"/>
                <w:w w:val="92"/>
              </w:rPr>
            </w:pPr>
            <w:hyperlink r:id="rId191">
              <w:r>
                <w:rPr>
                  <w:rFonts w:ascii="Arial" w:cs="Arial" w:eastAsia="Arial" w:hAnsi="Arial"/>
                  <w:sz w:val="15"/>
                  <w:szCs w:val="15"/>
                  <w:color w:val="0000EE"/>
                  <w:w w:val="92"/>
                </w:rPr>
                <w:t>Amended and Restated Credit Agreement, effective as of May 9, 2016, by and among Weatherford International Ltd. (Bermuda), Weatherford International plc</w:t>
              </w:r>
            </w:hyperlink>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bottom w:val="single" w:sz="8" w:color="0000EE"/>
            </w:tcBorders>
            <w:gridSpan w:val="19"/>
          </w:tcPr>
          <w:p>
            <w:pPr>
              <w:spacing w:after="0" w:line="163" w:lineRule="exact"/>
              <w:rPr>
                <w:rFonts w:ascii="Arial" w:cs="Arial" w:eastAsia="Arial" w:hAnsi="Arial"/>
                <w:sz w:val="15"/>
                <w:szCs w:val="15"/>
                <w:color w:val="0000EE"/>
                <w:w w:val="91"/>
              </w:rPr>
            </w:pPr>
            <w:hyperlink r:id="rId191">
              <w:r>
                <w:rPr>
                  <w:rFonts w:ascii="Arial" w:cs="Arial" w:eastAsia="Arial" w:hAnsi="Arial"/>
                  <w:sz w:val="15"/>
                  <w:szCs w:val="15"/>
                  <w:color w:val="0000EE"/>
                  <w:w w:val="91"/>
                </w:rPr>
                <w:t>(Ireland), the other borrowers party thereto, the lenders party thereto and JPMorgan Chase Bank, N.A., as administrative agent (incorporated by reference to</w:t>
              </w:r>
            </w:hyperlink>
          </w:p>
        </w:tc>
        <w:tc>
          <w:tcPr>
            <w:tcW w:w="180" w:type="dxa"/>
            <w:vAlign w:val="bottom"/>
            <w:gridSpan w:val="3"/>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2"/>
          </w:tcPr>
          <w:p>
            <w:pPr>
              <w:spacing w:after="0" w:line="163" w:lineRule="exact"/>
              <w:rPr>
                <w:rFonts w:ascii="Arial" w:cs="Arial" w:eastAsia="Arial" w:hAnsi="Arial"/>
                <w:sz w:val="15"/>
                <w:szCs w:val="15"/>
                <w:color w:val="0000EE"/>
              </w:rPr>
            </w:pPr>
            <w:hyperlink r:id="rId191">
              <w:r>
                <w:rPr>
                  <w:rFonts w:ascii="Arial" w:cs="Arial" w:eastAsia="Arial" w:hAnsi="Arial"/>
                  <w:sz w:val="15"/>
                  <w:szCs w:val="15"/>
                  <w:color w:val="0000EE"/>
                </w:rPr>
                <w:t>Exhibit 10.2 of Weatherford International plc’s Current Report on Form 8-K (File No. 1-36504), filed May 10, 2016)</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10.29**</w:t>
            </w:r>
          </w:p>
        </w:tc>
        <w:tc>
          <w:tcPr>
            <w:tcW w:w="62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5"/>
                <w:szCs w:val="15"/>
                <w:color w:val="0000EE"/>
                <w:w w:val="98"/>
              </w:rPr>
            </w:pPr>
            <w:hyperlink r:id="rId192">
              <w:r>
                <w:rPr>
                  <w:rFonts w:ascii="Arial" w:cs="Arial" w:eastAsia="Arial" w:hAnsi="Arial"/>
                  <w:sz w:val="15"/>
                  <w:szCs w:val="15"/>
                  <w:color w:val="0000EE"/>
                  <w:w w:val="98"/>
                </w:rPr>
                <w:t>Amendment No. 1 to Amended and Restated Credit Agreement, dated July 19, 2016, among Weatherford International Ltd. (Bermuda), Weatherford</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60" w:type="dxa"/>
            <w:vAlign w:val="bottom"/>
            <w:tcBorders>
              <w:bottom w:val="single" w:sz="8" w:color="0000EE"/>
            </w:tcBorders>
            <w:gridSpan w:val="17"/>
          </w:tcPr>
          <w:p>
            <w:pPr>
              <w:spacing w:after="0" w:line="163" w:lineRule="exact"/>
              <w:rPr>
                <w:rFonts w:ascii="Arial" w:cs="Arial" w:eastAsia="Arial" w:hAnsi="Arial"/>
                <w:sz w:val="15"/>
                <w:szCs w:val="15"/>
                <w:color w:val="0000EE"/>
                <w:w w:val="92"/>
              </w:rPr>
            </w:pPr>
            <w:hyperlink r:id="rId192">
              <w:r>
                <w:rPr>
                  <w:rFonts w:ascii="Arial" w:cs="Arial" w:eastAsia="Arial" w:hAnsi="Arial"/>
                  <w:sz w:val="15"/>
                  <w:szCs w:val="15"/>
                  <w:color w:val="0000EE"/>
                  <w:w w:val="92"/>
                </w:rPr>
                <w:t>International plc (Ireland), the lenders party thereto and JPMorgan Chase Bank, N.A., as administrative agent (incorporated by reference to Exhibit 10.1 of</w:t>
              </w:r>
            </w:hyperlink>
          </w:p>
        </w:tc>
        <w:tc>
          <w:tcPr>
            <w:tcW w:w="260" w:type="dxa"/>
            <w:vAlign w:val="bottom"/>
            <w:gridSpan w:val="5"/>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160" w:type="dxa"/>
            <w:vAlign w:val="bottom"/>
            <w:tcBorders>
              <w:bottom w:val="single" w:sz="8" w:color="0000EE"/>
            </w:tcBorders>
            <w:gridSpan w:val="4"/>
          </w:tcPr>
          <w:p>
            <w:pPr>
              <w:spacing w:after="0" w:line="163" w:lineRule="exact"/>
              <w:rPr>
                <w:rFonts w:ascii="Arial" w:cs="Arial" w:eastAsia="Arial" w:hAnsi="Arial"/>
                <w:sz w:val="15"/>
                <w:szCs w:val="15"/>
                <w:color w:val="0000EE"/>
                <w:w w:val="93"/>
              </w:rPr>
            </w:pPr>
            <w:hyperlink r:id="rId192">
              <w:r>
                <w:rPr>
                  <w:rFonts w:ascii="Arial" w:cs="Arial" w:eastAsia="Arial" w:hAnsi="Arial"/>
                  <w:sz w:val="15"/>
                  <w:szCs w:val="15"/>
                  <w:color w:val="0000EE"/>
                  <w:w w:val="93"/>
                </w:rPr>
                <w:t>Weatherford International plc’s Current Report on Form 8-K (File No. 1-36504), filed July 22, 2016)</w:t>
              </w:r>
            </w:hyperlink>
          </w:p>
        </w:tc>
        <w:tc>
          <w:tcPr>
            <w:tcW w:w="3560" w:type="dxa"/>
            <w:vAlign w:val="bottom"/>
            <w:gridSpan w:val="18"/>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10.30**</w:t>
            </w:r>
          </w:p>
        </w:tc>
        <w:tc>
          <w:tcPr>
            <w:tcW w:w="620" w:type="dxa"/>
            <w:vAlign w:val="bottom"/>
          </w:tcPr>
          <w:p>
            <w:pPr>
              <w:spacing w:after="0"/>
              <w:rPr>
                <w:sz w:val="24"/>
                <w:szCs w:val="24"/>
                <w:color w:val="auto"/>
              </w:rPr>
            </w:pPr>
          </w:p>
        </w:tc>
        <w:tc>
          <w:tcPr>
            <w:tcW w:w="9160" w:type="dxa"/>
            <w:vAlign w:val="bottom"/>
            <w:tcBorders>
              <w:bottom w:val="single" w:sz="8" w:color="0000EE"/>
            </w:tcBorders>
            <w:gridSpan w:val="12"/>
          </w:tcPr>
          <w:p>
            <w:pPr>
              <w:spacing w:after="0"/>
              <w:rPr>
                <w:rFonts w:ascii="Arial" w:cs="Arial" w:eastAsia="Arial" w:hAnsi="Arial"/>
                <w:sz w:val="15"/>
                <w:szCs w:val="15"/>
                <w:color w:val="0000EE"/>
                <w:w w:val="92"/>
              </w:rPr>
            </w:pPr>
            <w:hyperlink r:id="rId193">
              <w:r>
                <w:rPr>
                  <w:rFonts w:ascii="Arial" w:cs="Arial" w:eastAsia="Arial" w:hAnsi="Arial"/>
                  <w:sz w:val="15"/>
                  <w:szCs w:val="15"/>
                  <w:color w:val="0000EE"/>
                  <w:w w:val="92"/>
                </w:rPr>
                <w:t>Amendment No. 2 to Amended and Restated Credit Agreement, dated April 17, 2017, among Weatherford International Ltd. (Bermuda), Weatherford</w:t>
              </w:r>
            </w:hyperlink>
          </w:p>
        </w:tc>
        <w:tc>
          <w:tcPr>
            <w:tcW w:w="560" w:type="dxa"/>
            <w:vAlign w:val="bottom"/>
            <w:gridSpan w:val="10"/>
          </w:tcPr>
          <w:p>
            <w:pPr>
              <w:spacing w:after="0"/>
              <w:rPr>
                <w:sz w:val="24"/>
                <w:szCs w:val="2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60" w:type="dxa"/>
            <w:vAlign w:val="bottom"/>
            <w:tcBorders>
              <w:bottom w:val="single" w:sz="8" w:color="0000EE"/>
            </w:tcBorders>
            <w:gridSpan w:val="17"/>
          </w:tcPr>
          <w:p>
            <w:pPr>
              <w:spacing w:after="0" w:line="163" w:lineRule="exact"/>
              <w:rPr>
                <w:rFonts w:ascii="Arial" w:cs="Arial" w:eastAsia="Arial" w:hAnsi="Arial"/>
                <w:sz w:val="15"/>
                <w:szCs w:val="15"/>
                <w:color w:val="0000EE"/>
                <w:w w:val="92"/>
              </w:rPr>
            </w:pPr>
            <w:hyperlink r:id="rId193">
              <w:r>
                <w:rPr>
                  <w:rFonts w:ascii="Arial" w:cs="Arial" w:eastAsia="Arial" w:hAnsi="Arial"/>
                  <w:sz w:val="15"/>
                  <w:szCs w:val="15"/>
                  <w:color w:val="0000EE"/>
                  <w:w w:val="92"/>
                </w:rPr>
                <w:t>International plc (Ireland), the lenders party thereto and JPMorgan Chase Bank, N.A., as administrative agent (incorporated by reference to Exhibit 10.1 of</w:t>
              </w:r>
            </w:hyperlink>
          </w:p>
        </w:tc>
        <w:tc>
          <w:tcPr>
            <w:tcW w:w="260" w:type="dxa"/>
            <w:vAlign w:val="bottom"/>
            <w:gridSpan w:val="5"/>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2"/>
          </w:tcPr>
          <w:p>
            <w:pPr>
              <w:spacing w:after="0" w:line="163" w:lineRule="exact"/>
              <w:rPr>
                <w:rFonts w:ascii="Arial" w:cs="Arial" w:eastAsia="Arial" w:hAnsi="Arial"/>
                <w:sz w:val="15"/>
                <w:szCs w:val="15"/>
                <w:color w:val="0000EE"/>
              </w:rPr>
            </w:pPr>
            <w:hyperlink r:id="rId193">
              <w:r>
                <w:rPr>
                  <w:rFonts w:ascii="Arial" w:cs="Arial" w:eastAsia="Arial" w:hAnsi="Arial"/>
                  <w:sz w:val="15"/>
                  <w:szCs w:val="15"/>
                  <w:color w:val="0000EE"/>
                </w:rPr>
                <w:t>Weatherford International plc’s Current Report on Form 8-K (File No. 1-36504), filed April 17, 2017)</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10.31**</w:t>
            </w:r>
          </w:p>
        </w:tc>
        <w:tc>
          <w:tcPr>
            <w:tcW w:w="62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5"/>
                <w:szCs w:val="15"/>
                <w:color w:val="0000EE"/>
                <w:w w:val="96"/>
              </w:rPr>
            </w:pPr>
            <w:hyperlink r:id="rId194">
              <w:r>
                <w:rPr>
                  <w:rFonts w:ascii="Arial" w:cs="Arial" w:eastAsia="Arial" w:hAnsi="Arial"/>
                  <w:sz w:val="15"/>
                  <w:szCs w:val="15"/>
                  <w:color w:val="0000EE"/>
                  <w:w w:val="96"/>
                </w:rPr>
                <w:t>Amendment No. 3 to Amended and Restated Credit Agreement, dated August 16, 2018, among Weatherford International Ltd. (Bermuda), Weatherford</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40" w:type="dxa"/>
            <w:vAlign w:val="bottom"/>
            <w:gridSpan w:val="6"/>
            <w:shd w:val="clear" w:color="auto" w:fill="0000EE"/>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60" w:type="dxa"/>
            <w:vAlign w:val="bottom"/>
            <w:tcBorders>
              <w:bottom w:val="single" w:sz="8" w:color="0000EE"/>
            </w:tcBorders>
            <w:gridSpan w:val="17"/>
          </w:tcPr>
          <w:p>
            <w:pPr>
              <w:spacing w:after="0" w:line="163" w:lineRule="exact"/>
              <w:rPr>
                <w:rFonts w:ascii="Arial" w:cs="Arial" w:eastAsia="Arial" w:hAnsi="Arial"/>
                <w:sz w:val="15"/>
                <w:szCs w:val="15"/>
                <w:color w:val="0000EE"/>
                <w:w w:val="92"/>
              </w:rPr>
            </w:pPr>
            <w:hyperlink r:id="rId194">
              <w:r>
                <w:rPr>
                  <w:rFonts w:ascii="Arial" w:cs="Arial" w:eastAsia="Arial" w:hAnsi="Arial"/>
                  <w:sz w:val="15"/>
                  <w:szCs w:val="15"/>
                  <w:color w:val="0000EE"/>
                  <w:w w:val="92"/>
                </w:rPr>
                <w:t>International plc (Ireland), the lenders party thereto and JPMorgan Chase Bank, N.A., as administrative agent (incorporated by reference to Exhibit 10.1 of</w:t>
              </w:r>
            </w:hyperlink>
          </w:p>
        </w:tc>
        <w:tc>
          <w:tcPr>
            <w:tcW w:w="260" w:type="dxa"/>
            <w:vAlign w:val="bottom"/>
            <w:gridSpan w:val="5"/>
          </w:tcPr>
          <w:p>
            <w:pPr>
              <w:spacing w:after="0"/>
              <w:rPr>
                <w:sz w:val="14"/>
                <w:szCs w:val="14"/>
                <w:color w:val="auto"/>
              </w:rPr>
            </w:pPr>
          </w:p>
        </w:tc>
      </w:tr>
      <w:tr>
        <w:trPr>
          <w:trHeight w:val="163"/>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gridSpan w:val="22"/>
          </w:tcPr>
          <w:p>
            <w:pPr>
              <w:spacing w:after="0" w:line="163" w:lineRule="exact"/>
              <w:rPr>
                <w:rFonts w:ascii="Arial" w:cs="Arial" w:eastAsia="Arial" w:hAnsi="Arial"/>
                <w:sz w:val="15"/>
                <w:szCs w:val="15"/>
                <w:color w:val="0000EE"/>
              </w:rPr>
            </w:pPr>
            <w:hyperlink r:id="rId194">
              <w:r>
                <w:rPr>
                  <w:rFonts w:ascii="Arial" w:cs="Arial" w:eastAsia="Arial" w:hAnsi="Arial"/>
                  <w:sz w:val="15"/>
                  <w:szCs w:val="15"/>
                  <w:color w:val="0000EE"/>
                </w:rPr>
                <w:t>Weatherford International plc’s Current Report on Form 8-K (File No. 1-36504), filed August 20, 2018)</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10.32**</w:t>
            </w:r>
          </w:p>
        </w:tc>
        <w:tc>
          <w:tcPr>
            <w:tcW w:w="62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5"/>
                <w:szCs w:val="15"/>
                <w:color w:val="0000EE"/>
                <w:w w:val="92"/>
              </w:rPr>
            </w:pPr>
            <w:hyperlink r:id="rId196">
              <w:r>
                <w:rPr>
                  <w:rFonts w:ascii="Arial" w:cs="Arial" w:eastAsia="Arial" w:hAnsi="Arial"/>
                  <w:sz w:val="15"/>
                  <w:szCs w:val="15"/>
                  <w:color w:val="0000EE"/>
                  <w:w w:val="92"/>
                </w:rPr>
                <w:t>Term Loan Agreement, dated May 4, 2016, by and among Weatherford International Ltd. (Bermuda), as the borrower, Weatherford International plc, (Ireland),</w:t>
              </w:r>
            </w:hyperlink>
          </w:p>
        </w:tc>
        <w:tc>
          <w:tcPr>
            <w:tcW w:w="60" w:type="dxa"/>
            <w:vAlign w:val="bottom"/>
            <w:gridSpan w:val="2"/>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20" w:type="dxa"/>
            <w:vAlign w:val="bottom"/>
            <w:tcBorders>
              <w:bottom w:val="single" w:sz="8" w:color="0000EE"/>
            </w:tcBorders>
            <w:gridSpan w:val="16"/>
          </w:tcPr>
          <w:p>
            <w:pPr>
              <w:spacing w:after="0" w:line="163" w:lineRule="exact"/>
              <w:rPr>
                <w:rFonts w:ascii="Arial" w:cs="Arial" w:eastAsia="Arial" w:hAnsi="Arial"/>
                <w:sz w:val="15"/>
                <w:szCs w:val="15"/>
                <w:color w:val="0000EE"/>
                <w:w w:val="91"/>
              </w:rPr>
            </w:pPr>
            <w:hyperlink r:id="rId196">
              <w:r>
                <w:rPr>
                  <w:rFonts w:ascii="Arial" w:cs="Arial" w:eastAsia="Arial" w:hAnsi="Arial"/>
                  <w:sz w:val="15"/>
                  <w:szCs w:val="15"/>
                  <w:color w:val="0000EE"/>
                  <w:w w:val="91"/>
                </w:rPr>
                <w:t>the lenders party thereto and JPMorgan Chase Bank, N.A., as administrative agent for the lenders (incorporated by reference to Exhibit 10.3 of Weatherford</w:t>
              </w:r>
            </w:hyperlink>
          </w:p>
        </w:tc>
        <w:tc>
          <w:tcPr>
            <w:tcW w:w="240" w:type="dxa"/>
            <w:vAlign w:val="bottom"/>
            <w:gridSpan w:val="6"/>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2"/>
          </w:tcPr>
          <w:p>
            <w:pPr>
              <w:spacing w:after="0" w:line="163" w:lineRule="exact"/>
              <w:rPr>
                <w:rFonts w:ascii="Arial" w:cs="Arial" w:eastAsia="Arial" w:hAnsi="Arial"/>
                <w:sz w:val="15"/>
                <w:szCs w:val="15"/>
                <w:color w:val="0000EE"/>
              </w:rPr>
            </w:pPr>
            <w:hyperlink r:id="rId196">
              <w:r>
                <w:rPr>
                  <w:rFonts w:ascii="Arial" w:cs="Arial" w:eastAsia="Arial" w:hAnsi="Arial"/>
                  <w:sz w:val="15"/>
                  <w:szCs w:val="15"/>
                  <w:color w:val="0000EE"/>
                </w:rPr>
                <w:t>International plc’s Current Report on Form 8-K (File No. 1-36504), filed May 10, 2016)</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10.33**</w:t>
            </w:r>
          </w:p>
        </w:tc>
        <w:tc>
          <w:tcPr>
            <w:tcW w:w="620" w:type="dxa"/>
            <w:vAlign w:val="bottom"/>
          </w:tcPr>
          <w:p>
            <w:pPr>
              <w:spacing w:after="0"/>
              <w:rPr>
                <w:sz w:val="24"/>
                <w:szCs w:val="24"/>
                <w:color w:val="auto"/>
              </w:rPr>
            </w:pPr>
          </w:p>
        </w:tc>
        <w:tc>
          <w:tcPr>
            <w:tcW w:w="9580" w:type="dxa"/>
            <w:vAlign w:val="bottom"/>
            <w:tcBorders>
              <w:bottom w:val="single" w:sz="8" w:color="0000EE"/>
            </w:tcBorders>
            <w:gridSpan w:val="18"/>
          </w:tcPr>
          <w:p>
            <w:pPr>
              <w:spacing w:after="0"/>
              <w:rPr>
                <w:rFonts w:ascii="Arial" w:cs="Arial" w:eastAsia="Arial" w:hAnsi="Arial"/>
                <w:sz w:val="15"/>
                <w:szCs w:val="15"/>
                <w:color w:val="0000EE"/>
                <w:w w:val="92"/>
              </w:rPr>
            </w:pPr>
            <w:hyperlink r:id="rId197">
              <w:r>
                <w:rPr>
                  <w:rFonts w:ascii="Arial" w:cs="Arial" w:eastAsia="Arial" w:hAnsi="Arial"/>
                  <w:sz w:val="15"/>
                  <w:szCs w:val="15"/>
                  <w:color w:val="0000EE"/>
                  <w:w w:val="92"/>
                </w:rPr>
                <w:t>Amendment No. 1 to Term Loan Agreement, dated July 19, 2016, among Weatherford International Ltd. (Bermuda), Weatherford International plc (Ireland),</w:t>
              </w:r>
            </w:hyperlink>
          </w:p>
        </w:tc>
        <w:tc>
          <w:tcPr>
            <w:tcW w:w="180" w:type="dxa"/>
            <w:vAlign w:val="bottom"/>
            <w:gridSpan w:val="4"/>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20" w:type="dxa"/>
            <w:vAlign w:val="bottom"/>
            <w:tcBorders>
              <w:bottom w:val="single" w:sz="8" w:color="0000EE"/>
            </w:tcBorders>
            <w:gridSpan w:val="15"/>
          </w:tcPr>
          <w:p>
            <w:pPr>
              <w:spacing w:after="0" w:line="163" w:lineRule="exact"/>
              <w:rPr>
                <w:rFonts w:ascii="Arial" w:cs="Arial" w:eastAsia="Arial" w:hAnsi="Arial"/>
                <w:sz w:val="15"/>
                <w:szCs w:val="15"/>
                <w:color w:val="0000EE"/>
                <w:w w:val="92"/>
              </w:rPr>
            </w:pPr>
            <w:hyperlink r:id="rId197">
              <w:r>
                <w:rPr>
                  <w:rFonts w:ascii="Arial" w:cs="Arial" w:eastAsia="Arial" w:hAnsi="Arial"/>
                  <w:sz w:val="15"/>
                  <w:szCs w:val="15"/>
                  <w:color w:val="0000EE"/>
                  <w:w w:val="92"/>
                </w:rPr>
                <w:t>the lenders party thereto and JPMorgan Chase Bank, N.A., as administrative agent (incorporated by reference to Exhibit 10.2 of Weatherford International</w:t>
              </w:r>
            </w:hyperlink>
          </w:p>
        </w:tc>
        <w:tc>
          <w:tcPr>
            <w:tcW w:w="340" w:type="dxa"/>
            <w:vAlign w:val="bottom"/>
            <w:gridSpan w:val="7"/>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2"/>
          </w:tcPr>
          <w:p>
            <w:pPr>
              <w:spacing w:after="0" w:line="163" w:lineRule="exact"/>
              <w:rPr>
                <w:rFonts w:ascii="Arial" w:cs="Arial" w:eastAsia="Arial" w:hAnsi="Arial"/>
                <w:sz w:val="15"/>
                <w:szCs w:val="15"/>
                <w:color w:val="0000EE"/>
              </w:rPr>
            </w:pPr>
            <w:hyperlink r:id="rId197">
              <w:r>
                <w:rPr>
                  <w:rFonts w:ascii="Arial" w:cs="Arial" w:eastAsia="Arial" w:hAnsi="Arial"/>
                  <w:sz w:val="15"/>
                  <w:szCs w:val="15"/>
                  <w:color w:val="0000EE"/>
                </w:rPr>
                <w:t>plc’s Current Report on Form 8-K (File No. 1-36504), filed July 22, 2016)</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10.34**</w:t>
            </w:r>
          </w:p>
        </w:tc>
        <w:tc>
          <w:tcPr>
            <w:tcW w:w="620" w:type="dxa"/>
            <w:vAlign w:val="bottom"/>
          </w:tcPr>
          <w:p>
            <w:pPr>
              <w:spacing w:after="0"/>
              <w:rPr>
                <w:sz w:val="24"/>
                <w:szCs w:val="24"/>
                <w:color w:val="auto"/>
              </w:rPr>
            </w:pPr>
          </w:p>
        </w:tc>
        <w:tc>
          <w:tcPr>
            <w:tcW w:w="9640" w:type="dxa"/>
            <w:vAlign w:val="bottom"/>
            <w:tcBorders>
              <w:bottom w:val="single" w:sz="8" w:color="0000EE"/>
            </w:tcBorders>
            <w:gridSpan w:val="19"/>
          </w:tcPr>
          <w:p>
            <w:pPr>
              <w:spacing w:after="0"/>
              <w:rPr>
                <w:rFonts w:ascii="Arial" w:cs="Arial" w:eastAsia="Arial" w:hAnsi="Arial"/>
                <w:sz w:val="15"/>
                <w:szCs w:val="15"/>
                <w:color w:val="0000EE"/>
                <w:w w:val="93"/>
              </w:rPr>
            </w:pPr>
            <w:hyperlink r:id="rId198">
              <w:r>
                <w:rPr>
                  <w:rFonts w:ascii="Arial" w:cs="Arial" w:eastAsia="Arial" w:hAnsi="Arial"/>
                  <w:sz w:val="15"/>
                  <w:szCs w:val="15"/>
                  <w:color w:val="0000EE"/>
                  <w:w w:val="93"/>
                </w:rPr>
                <w:t>Amendment No. 2 to Term Loan Agreement, dated April 17, 2017, among Weatherford International Ltd. (Bermuda), Weatherford International plc (Ireland),</w:t>
              </w:r>
            </w:hyperlink>
          </w:p>
        </w:tc>
        <w:tc>
          <w:tcPr>
            <w:tcW w:w="120" w:type="dxa"/>
            <w:vAlign w:val="bottom"/>
            <w:gridSpan w:val="3"/>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20" w:type="dxa"/>
            <w:vAlign w:val="bottom"/>
            <w:tcBorders>
              <w:bottom w:val="single" w:sz="8" w:color="0000EE"/>
            </w:tcBorders>
            <w:gridSpan w:val="15"/>
          </w:tcPr>
          <w:p>
            <w:pPr>
              <w:spacing w:after="0" w:line="163" w:lineRule="exact"/>
              <w:rPr>
                <w:rFonts w:ascii="Arial" w:cs="Arial" w:eastAsia="Arial" w:hAnsi="Arial"/>
                <w:sz w:val="15"/>
                <w:szCs w:val="15"/>
                <w:color w:val="0000EE"/>
                <w:w w:val="92"/>
              </w:rPr>
            </w:pPr>
            <w:hyperlink r:id="rId198">
              <w:r>
                <w:rPr>
                  <w:rFonts w:ascii="Arial" w:cs="Arial" w:eastAsia="Arial" w:hAnsi="Arial"/>
                  <w:sz w:val="15"/>
                  <w:szCs w:val="15"/>
                  <w:color w:val="0000EE"/>
                  <w:w w:val="92"/>
                </w:rPr>
                <w:t>the lenders party thereto and JPMorgan Chase Bank, N.A., as administrative agent (incorporated by reference to Exhibit 10.2 of Weatherford International</w:t>
              </w:r>
            </w:hyperlink>
          </w:p>
        </w:tc>
        <w:tc>
          <w:tcPr>
            <w:tcW w:w="340" w:type="dxa"/>
            <w:vAlign w:val="bottom"/>
            <w:gridSpan w:val="7"/>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20" w:type="dxa"/>
            <w:vAlign w:val="bottom"/>
            <w:tcBorders>
              <w:bottom w:val="single" w:sz="8" w:color="0000EE"/>
            </w:tcBorders>
            <w:gridSpan w:val="5"/>
          </w:tcPr>
          <w:p>
            <w:pPr>
              <w:spacing w:after="0" w:line="163" w:lineRule="exact"/>
              <w:rPr>
                <w:rFonts w:ascii="Arial" w:cs="Arial" w:eastAsia="Arial" w:hAnsi="Arial"/>
                <w:sz w:val="15"/>
                <w:szCs w:val="15"/>
                <w:color w:val="0000EE"/>
                <w:w w:val="95"/>
              </w:rPr>
            </w:pPr>
            <w:hyperlink r:id="rId198">
              <w:r>
                <w:rPr>
                  <w:rFonts w:ascii="Arial" w:cs="Arial" w:eastAsia="Arial" w:hAnsi="Arial"/>
                  <w:sz w:val="15"/>
                  <w:szCs w:val="15"/>
                  <w:color w:val="0000EE"/>
                  <w:w w:val="95"/>
                </w:rPr>
                <w:t>plc’s Current Report on Form 8-K (File No. 1-36504), filed April 17, 2017)</w:t>
              </w:r>
            </w:hyperlink>
          </w:p>
        </w:tc>
        <w:tc>
          <w:tcPr>
            <w:tcW w:w="5140" w:type="dxa"/>
            <w:vAlign w:val="bottom"/>
            <w:gridSpan w:val="17"/>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10.35**</w:t>
            </w:r>
          </w:p>
        </w:tc>
        <w:tc>
          <w:tcPr>
            <w:tcW w:w="6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5"/>
                <w:szCs w:val="15"/>
                <w:color w:val="0000EE"/>
                <w:w w:val="98"/>
              </w:rPr>
            </w:pPr>
            <w:hyperlink r:id="rId199">
              <w:r>
                <w:rPr>
                  <w:rFonts w:ascii="Arial" w:cs="Arial" w:eastAsia="Arial" w:hAnsi="Arial"/>
                  <w:sz w:val="15"/>
                  <w:szCs w:val="15"/>
                  <w:color w:val="0000EE"/>
                  <w:w w:val="98"/>
                </w:rPr>
                <w:t>Amendment No. 3 to Term Loan Agreement, dated August 16, 2018, among Weatherford International Ltd. (Bermuda), Weatherford International plc</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20" w:type="dxa"/>
            <w:vAlign w:val="bottom"/>
            <w:tcBorders>
              <w:bottom w:val="single" w:sz="8" w:color="0000EE"/>
            </w:tcBorders>
            <w:gridSpan w:val="11"/>
          </w:tcPr>
          <w:p>
            <w:pPr>
              <w:spacing w:after="0" w:line="163" w:lineRule="exact"/>
              <w:rPr>
                <w:rFonts w:ascii="Arial" w:cs="Arial" w:eastAsia="Arial" w:hAnsi="Arial"/>
                <w:sz w:val="15"/>
                <w:szCs w:val="15"/>
                <w:color w:val="0000EE"/>
                <w:w w:val="92"/>
              </w:rPr>
            </w:pPr>
            <w:hyperlink r:id="rId199">
              <w:r>
                <w:rPr>
                  <w:rFonts w:ascii="Arial" w:cs="Arial" w:eastAsia="Arial" w:hAnsi="Arial"/>
                  <w:sz w:val="15"/>
                  <w:szCs w:val="15"/>
                  <w:color w:val="0000EE"/>
                  <w:w w:val="92"/>
                </w:rPr>
                <w:t>(Ireland), the lenders party thereto and JPMorgan Chase Bank, N.A., as administrative agent (incorporated by reference to Exhibit 10.2 of Weatherford</w:t>
              </w:r>
            </w:hyperlink>
          </w:p>
        </w:tc>
        <w:tc>
          <w:tcPr>
            <w:tcW w:w="540" w:type="dxa"/>
            <w:vAlign w:val="bottom"/>
            <w:gridSpan w:val="11"/>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2"/>
          </w:tcPr>
          <w:p>
            <w:pPr>
              <w:spacing w:after="0" w:line="163" w:lineRule="exact"/>
              <w:rPr>
                <w:rFonts w:ascii="Arial" w:cs="Arial" w:eastAsia="Arial" w:hAnsi="Arial"/>
                <w:sz w:val="15"/>
                <w:szCs w:val="15"/>
                <w:color w:val="0000EE"/>
              </w:rPr>
            </w:pPr>
            <w:hyperlink r:id="rId199">
              <w:r>
                <w:rPr>
                  <w:rFonts w:ascii="Arial" w:cs="Arial" w:eastAsia="Arial" w:hAnsi="Arial"/>
                  <w:sz w:val="15"/>
                  <w:szCs w:val="15"/>
                  <w:color w:val="0000EE"/>
                </w:rPr>
                <w:t>International plc’s Current Report on Form 8-K (File No. 1-36504), filed August 20, 2018)</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10.36**</w:t>
            </w:r>
          </w:p>
        </w:tc>
        <w:tc>
          <w:tcPr>
            <w:tcW w:w="6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5"/>
                <w:szCs w:val="15"/>
                <w:color w:val="0000EE"/>
                <w:w w:val="98"/>
              </w:rPr>
            </w:pPr>
            <w:hyperlink r:id="rId200">
              <w:r>
                <w:rPr>
                  <w:rFonts w:ascii="Arial" w:cs="Arial" w:eastAsia="Arial" w:hAnsi="Arial"/>
                  <w:sz w:val="15"/>
                  <w:szCs w:val="15"/>
                  <w:color w:val="0000EE"/>
                  <w:w w:val="98"/>
                </w:rPr>
                <w:t>364-Day Revolving Credit Agreement, dated August 16, 2018, by and among Weatherford International Ltd. (Bermuda), as the borrower, Weatherford</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80" w:type="dxa"/>
            <w:vAlign w:val="bottom"/>
            <w:tcBorders>
              <w:bottom w:val="single" w:sz="8" w:color="0000EE"/>
            </w:tcBorders>
            <w:gridSpan w:val="13"/>
          </w:tcPr>
          <w:p>
            <w:pPr>
              <w:spacing w:after="0" w:line="163" w:lineRule="exact"/>
              <w:rPr>
                <w:rFonts w:ascii="Arial" w:cs="Arial" w:eastAsia="Arial" w:hAnsi="Arial"/>
                <w:sz w:val="15"/>
                <w:szCs w:val="15"/>
                <w:color w:val="0000EE"/>
                <w:w w:val="92"/>
              </w:rPr>
            </w:pPr>
            <w:hyperlink r:id="rId200">
              <w:r>
                <w:rPr>
                  <w:rFonts w:ascii="Arial" w:cs="Arial" w:eastAsia="Arial" w:hAnsi="Arial"/>
                  <w:sz w:val="15"/>
                  <w:szCs w:val="15"/>
                  <w:color w:val="0000EE"/>
                  <w:w w:val="92"/>
                </w:rPr>
                <w:t>International plc, (Ireland), the lenders party thereto, JPMorgan Chase Bank, N.A., as administrative agent and Morgan Stanley Senior Funding, Inc., as</w:t>
              </w:r>
            </w:hyperlink>
          </w:p>
        </w:tc>
        <w:tc>
          <w:tcPr>
            <w:tcW w:w="480" w:type="dxa"/>
            <w:vAlign w:val="bottom"/>
            <w:gridSpan w:val="9"/>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tcBorders>
              <w:bottom w:val="single" w:sz="8" w:color="0000EE"/>
            </w:tcBorders>
            <w:gridSpan w:val="20"/>
          </w:tcPr>
          <w:p>
            <w:pPr>
              <w:spacing w:after="0" w:line="163" w:lineRule="exact"/>
              <w:rPr>
                <w:rFonts w:ascii="Arial" w:cs="Arial" w:eastAsia="Arial" w:hAnsi="Arial"/>
                <w:sz w:val="15"/>
                <w:szCs w:val="15"/>
                <w:color w:val="0000EE"/>
                <w:w w:val="93"/>
              </w:rPr>
            </w:pPr>
            <w:hyperlink r:id="rId200">
              <w:r>
                <w:rPr>
                  <w:rFonts w:ascii="Arial" w:cs="Arial" w:eastAsia="Arial" w:hAnsi="Arial"/>
                  <w:sz w:val="15"/>
                  <w:szCs w:val="15"/>
                  <w:color w:val="0000EE"/>
                  <w:w w:val="93"/>
                </w:rPr>
                <w:t>collateral agent (incorporated by reference to Exhibit 10.3 of Weatherford International plc’s Current Report on Form 8-K (File No. 1-36504), filed August 20,</w:t>
              </w:r>
            </w:hyperlink>
          </w:p>
        </w:tc>
        <w:tc>
          <w:tcPr>
            <w:tcW w:w="60" w:type="dxa"/>
            <w:vAlign w:val="bottom"/>
            <w:gridSpan w:val="2"/>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0000EE"/>
            </w:tcBorders>
          </w:tcPr>
          <w:p>
            <w:pPr>
              <w:spacing w:after="0" w:line="163" w:lineRule="exact"/>
              <w:rPr>
                <w:rFonts w:ascii="Arial" w:cs="Arial" w:eastAsia="Arial" w:hAnsi="Arial"/>
                <w:sz w:val="15"/>
                <w:szCs w:val="15"/>
                <w:color w:val="0000EE"/>
                <w:w w:val="88"/>
              </w:rPr>
            </w:pPr>
            <w:hyperlink r:id="rId200">
              <w:r>
                <w:rPr>
                  <w:rFonts w:ascii="Arial" w:cs="Arial" w:eastAsia="Arial" w:hAnsi="Arial"/>
                  <w:sz w:val="15"/>
                  <w:szCs w:val="15"/>
                  <w:color w:val="0000EE"/>
                  <w:w w:val="88"/>
                </w:rPr>
                <w:t>2018)</w:t>
              </w:r>
            </w:hyperlink>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10.37**</w:t>
            </w:r>
          </w:p>
        </w:tc>
        <w:tc>
          <w:tcPr>
            <w:tcW w:w="6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5"/>
                <w:szCs w:val="15"/>
                <w:color w:val="0000EE"/>
                <w:w w:val="93"/>
              </w:rPr>
            </w:pPr>
            <w:hyperlink r:id="rId201">
              <w:r>
                <w:rPr>
                  <w:rFonts w:ascii="Arial" w:cs="Arial" w:eastAsia="Arial" w:hAnsi="Arial"/>
                  <w:sz w:val="15"/>
                  <w:szCs w:val="15"/>
                  <w:color w:val="0000EE"/>
                  <w:w w:val="93"/>
                </w:rPr>
                <w:t>U.S. Pledge and Security Agreement, dated as of August 16, 2018, by and among the subsidiary parties thereto and Morgan Stanley Senior Funding, Inc., as</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20" w:type="dxa"/>
            <w:vAlign w:val="bottom"/>
            <w:tcBorders>
              <w:bottom w:val="single" w:sz="8" w:color="0000EE"/>
            </w:tcBorders>
            <w:gridSpan w:val="21"/>
          </w:tcPr>
          <w:p>
            <w:pPr>
              <w:spacing w:after="0" w:line="163" w:lineRule="exact"/>
              <w:rPr>
                <w:rFonts w:ascii="Arial" w:cs="Arial" w:eastAsia="Arial" w:hAnsi="Arial"/>
                <w:sz w:val="15"/>
                <w:szCs w:val="15"/>
                <w:color w:val="0000EE"/>
                <w:w w:val="92"/>
              </w:rPr>
            </w:pPr>
            <w:hyperlink r:id="rId201">
              <w:r>
                <w:rPr>
                  <w:rFonts w:ascii="Arial" w:cs="Arial" w:eastAsia="Arial" w:hAnsi="Arial"/>
                  <w:sz w:val="15"/>
                  <w:szCs w:val="15"/>
                  <w:color w:val="0000EE"/>
                  <w:w w:val="92"/>
                </w:rPr>
                <w:t>collateral agent of the 364-Day Credit Agreement, dated August 16, 2018 (incorporated by reference to Exhibit 10.4 of Weatherford International plc’s Current</w:t>
              </w:r>
            </w:hyperlink>
          </w:p>
        </w:tc>
        <w:tc>
          <w:tcPr>
            <w:tcW w:w="4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2"/>
          </w:tcPr>
          <w:p>
            <w:pPr>
              <w:spacing w:after="0" w:line="163" w:lineRule="exact"/>
              <w:rPr>
                <w:rFonts w:ascii="Arial" w:cs="Arial" w:eastAsia="Arial" w:hAnsi="Arial"/>
                <w:sz w:val="15"/>
                <w:szCs w:val="15"/>
                <w:color w:val="0000EE"/>
              </w:rPr>
            </w:pPr>
            <w:hyperlink r:id="rId201">
              <w:r>
                <w:rPr>
                  <w:rFonts w:ascii="Arial" w:cs="Arial" w:eastAsia="Arial" w:hAnsi="Arial"/>
                  <w:sz w:val="15"/>
                  <w:szCs w:val="15"/>
                  <w:color w:val="0000EE"/>
                </w:rPr>
                <w:t>Report on Form 8-K (File No. 1-36504), filed August 20, 2018)</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10.38**</w:t>
            </w:r>
          </w:p>
        </w:tc>
        <w:tc>
          <w:tcPr>
            <w:tcW w:w="620" w:type="dxa"/>
            <w:vAlign w:val="bottom"/>
          </w:tcPr>
          <w:p>
            <w:pPr>
              <w:spacing w:after="0"/>
              <w:rPr>
                <w:sz w:val="24"/>
                <w:szCs w:val="24"/>
                <w:color w:val="auto"/>
              </w:rPr>
            </w:pPr>
          </w:p>
        </w:tc>
        <w:tc>
          <w:tcPr>
            <w:tcW w:w="9720" w:type="dxa"/>
            <w:vAlign w:val="bottom"/>
            <w:tcBorders>
              <w:bottom w:val="single" w:sz="8" w:color="0000EE"/>
            </w:tcBorders>
            <w:gridSpan w:val="21"/>
          </w:tcPr>
          <w:p>
            <w:pPr>
              <w:spacing w:after="0"/>
              <w:rPr>
                <w:rFonts w:ascii="Arial" w:cs="Arial" w:eastAsia="Arial" w:hAnsi="Arial"/>
                <w:sz w:val="15"/>
                <w:szCs w:val="15"/>
                <w:color w:val="0000EE"/>
                <w:w w:val="91"/>
              </w:rPr>
            </w:pPr>
            <w:hyperlink r:id="rId202">
              <w:r>
                <w:rPr>
                  <w:rFonts w:ascii="Arial" w:cs="Arial" w:eastAsia="Arial" w:hAnsi="Arial"/>
                  <w:sz w:val="15"/>
                  <w:szCs w:val="15"/>
                  <w:color w:val="0000EE"/>
                  <w:w w:val="91"/>
                </w:rPr>
                <w:t>U.S. Pledge and Security Agreement, dated as of May 9, 2016, by and among the subsidiary parties thereto and JPMorgan Chase Bank, N.A., as administrative</w:t>
              </w:r>
            </w:hyperlink>
          </w:p>
        </w:tc>
        <w:tc>
          <w:tcPr>
            <w:tcW w:w="4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40" w:type="dxa"/>
            <w:vAlign w:val="bottom"/>
            <w:tcBorders>
              <w:bottom w:val="single" w:sz="8" w:color="0000EE"/>
            </w:tcBorders>
            <w:gridSpan w:val="12"/>
          </w:tcPr>
          <w:p>
            <w:pPr>
              <w:spacing w:after="0" w:line="163" w:lineRule="exact"/>
              <w:rPr>
                <w:rFonts w:ascii="Arial" w:cs="Arial" w:eastAsia="Arial" w:hAnsi="Arial"/>
                <w:sz w:val="15"/>
                <w:szCs w:val="15"/>
                <w:color w:val="0000EE"/>
                <w:w w:val="92"/>
              </w:rPr>
            </w:pPr>
            <w:hyperlink r:id="rId202">
              <w:r>
                <w:rPr>
                  <w:rFonts w:ascii="Arial" w:cs="Arial" w:eastAsia="Arial" w:hAnsi="Arial"/>
                  <w:sz w:val="15"/>
                  <w:szCs w:val="15"/>
                  <w:color w:val="0000EE"/>
                  <w:w w:val="92"/>
                </w:rPr>
                <w:t>agent of the Term Loan Agreement, dated May 4, 2016 (incorporated by reference to Exhibit 10.4 of Weatherford International plc’s Current Report on</w:t>
              </w:r>
            </w:hyperlink>
          </w:p>
        </w:tc>
        <w:tc>
          <w:tcPr>
            <w:tcW w:w="520" w:type="dxa"/>
            <w:vAlign w:val="bottom"/>
            <w:gridSpan w:val="10"/>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00" w:type="dxa"/>
            <w:vAlign w:val="bottom"/>
            <w:tcBorders>
              <w:bottom w:val="single" w:sz="8" w:color="0000EE"/>
            </w:tcBorders>
            <w:gridSpan w:val="2"/>
          </w:tcPr>
          <w:p>
            <w:pPr>
              <w:spacing w:after="0" w:line="163" w:lineRule="exact"/>
              <w:rPr>
                <w:rFonts w:ascii="Arial" w:cs="Arial" w:eastAsia="Arial" w:hAnsi="Arial"/>
                <w:sz w:val="15"/>
                <w:szCs w:val="15"/>
                <w:color w:val="0000EE"/>
                <w:w w:val="95"/>
              </w:rPr>
            </w:pPr>
            <w:hyperlink r:id="rId202">
              <w:r>
                <w:rPr>
                  <w:rFonts w:ascii="Arial" w:cs="Arial" w:eastAsia="Arial" w:hAnsi="Arial"/>
                  <w:sz w:val="15"/>
                  <w:szCs w:val="15"/>
                  <w:color w:val="0000EE"/>
                  <w:w w:val="95"/>
                </w:rPr>
                <w:t>Form 8-K (File No. 1-36504), filed May 10, 2016)</w:t>
              </w:r>
            </w:hyperlink>
          </w:p>
        </w:tc>
        <w:tc>
          <w:tcPr>
            <w:tcW w:w="6660" w:type="dxa"/>
            <w:vAlign w:val="bottom"/>
            <w:gridSpan w:val="20"/>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10.39**</w:t>
            </w:r>
          </w:p>
        </w:tc>
        <w:tc>
          <w:tcPr>
            <w:tcW w:w="6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5"/>
                <w:szCs w:val="15"/>
                <w:color w:val="0000EE"/>
                <w:w w:val="96"/>
              </w:rPr>
            </w:pPr>
            <w:hyperlink r:id="rId203">
              <w:r>
                <w:rPr>
                  <w:rFonts w:ascii="Arial" w:cs="Arial" w:eastAsia="Arial" w:hAnsi="Arial"/>
                  <w:sz w:val="15"/>
                  <w:szCs w:val="15"/>
                  <w:color w:val="0000EE"/>
                  <w:w w:val="96"/>
                </w:rPr>
                <w:t>Guaranty Agreement, dated as of May 9, 2016, by Weatherford International plc (Ireland) and certain subsidiary parties thereto, as guarantors, in favor of</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300" w:type="dxa"/>
            <w:vAlign w:val="bottom"/>
            <w:gridSpan w:val="8"/>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2"/>
          </w:tcPr>
          <w:p>
            <w:pPr>
              <w:spacing w:after="0" w:line="163" w:lineRule="exact"/>
              <w:rPr>
                <w:rFonts w:ascii="Arial" w:cs="Arial" w:eastAsia="Arial" w:hAnsi="Arial"/>
                <w:sz w:val="15"/>
                <w:szCs w:val="15"/>
                <w:color w:val="0000EE"/>
                <w:w w:val="93"/>
              </w:rPr>
            </w:pPr>
            <w:hyperlink r:id="rId203">
              <w:r>
                <w:rPr>
                  <w:rFonts w:ascii="Arial" w:cs="Arial" w:eastAsia="Arial" w:hAnsi="Arial"/>
                  <w:sz w:val="15"/>
                  <w:szCs w:val="15"/>
                  <w:color w:val="0000EE"/>
                  <w:w w:val="93"/>
                </w:rPr>
                <w:t>JPMorgan Chase Bank, N.A., as administrative agent of the Amended and Restated Credit Agreement, effective as of May 9, 2016 (incorporated by reference</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300" w:type="dxa"/>
            <w:vAlign w:val="bottom"/>
            <w:tcBorders>
              <w:top w:val="single" w:sz="8" w:color="0000EE"/>
              <w:bottom w:val="single" w:sz="8" w:color="0000EE"/>
            </w:tcBorders>
            <w:gridSpan w:val="8"/>
          </w:tcPr>
          <w:p>
            <w:pPr>
              <w:spacing w:after="0" w:line="163" w:lineRule="exact"/>
              <w:rPr>
                <w:rFonts w:ascii="Arial" w:cs="Arial" w:eastAsia="Arial" w:hAnsi="Arial"/>
                <w:sz w:val="15"/>
                <w:szCs w:val="15"/>
                <w:color w:val="0000EE"/>
                <w:w w:val="94"/>
              </w:rPr>
            </w:pPr>
            <w:hyperlink r:id="rId203">
              <w:r>
                <w:rPr>
                  <w:rFonts w:ascii="Arial" w:cs="Arial" w:eastAsia="Arial" w:hAnsi="Arial"/>
                  <w:sz w:val="15"/>
                  <w:szCs w:val="15"/>
                  <w:color w:val="0000EE"/>
                  <w:w w:val="94"/>
                </w:rPr>
                <w:t>to Exhibit 10.5 of Weatherford International plc’s Current Report on Form 8-K (File No. 1-36504), filed May 10, 2016)</w:t>
              </w:r>
            </w:hyperlink>
          </w:p>
        </w:tc>
        <w:tc>
          <w:tcPr>
            <w:tcW w:w="2340" w:type="dxa"/>
            <w:vAlign w:val="bottom"/>
            <w:tcBorders>
              <w:top w:val="single" w:sz="8" w:color="0000EE"/>
            </w:tcBorders>
            <w:gridSpan w:val="11"/>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38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60" w:type="dxa"/>
            <w:vAlign w:val="bottom"/>
            <w:gridSpan w:val="20"/>
          </w:tcPr>
          <w:p>
            <w:pPr>
              <w:ind w:left="760"/>
              <w:spacing w:after="0"/>
              <w:rPr>
                <w:sz w:val="20"/>
                <w:szCs w:val="20"/>
                <w:color w:val="auto"/>
              </w:rPr>
            </w:pPr>
            <w:r>
              <w:rPr>
                <w:rFonts w:ascii="Arial" w:cs="Arial" w:eastAsia="Arial" w:hAnsi="Arial"/>
                <w:sz w:val="15"/>
                <w:szCs w:val="15"/>
                <w:color w:val="auto"/>
              </w:rPr>
              <w:t>II-10</w:t>
            </w:r>
          </w:p>
        </w:tc>
      </w:tr>
      <w:tr>
        <w:trPr>
          <w:trHeight w:val="110"/>
        </w:trPr>
        <w:tc>
          <w:tcPr>
            <w:tcW w:w="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16" w:right="1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10.40**</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w w:val="96"/>
              </w:rPr>
            </w:pPr>
            <w:hyperlink r:id="rId206">
              <w:r>
                <w:rPr>
                  <w:rFonts w:ascii="Arial" w:cs="Arial" w:eastAsia="Arial" w:hAnsi="Arial"/>
                  <w:sz w:val="15"/>
                  <w:szCs w:val="15"/>
                  <w:color w:val="0000EE"/>
                  <w:w w:val="96"/>
                </w:rPr>
                <w:t>Guaranty Agreement, dated as of May 9, 2016, by Weatherford International plc (Ireland) and certain subsidiary parties thereto, as guarantors, in favor of</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0" w:type="dxa"/>
            <w:vAlign w:val="bottom"/>
            <w:tcBorders>
              <w:bottom w:val="single" w:sz="8" w:color="0000EE"/>
            </w:tcBorders>
            <w:gridSpan w:val="15"/>
          </w:tcPr>
          <w:p>
            <w:pPr>
              <w:spacing w:after="0" w:line="163" w:lineRule="exact"/>
              <w:rPr>
                <w:rFonts w:ascii="Arial" w:cs="Arial" w:eastAsia="Arial" w:hAnsi="Arial"/>
                <w:sz w:val="15"/>
                <w:szCs w:val="15"/>
                <w:color w:val="0000EE"/>
                <w:w w:val="92"/>
              </w:rPr>
            </w:pPr>
            <w:hyperlink r:id="rId206">
              <w:r>
                <w:rPr>
                  <w:rFonts w:ascii="Arial" w:cs="Arial" w:eastAsia="Arial" w:hAnsi="Arial"/>
                  <w:sz w:val="15"/>
                  <w:szCs w:val="15"/>
                  <w:color w:val="0000EE"/>
                  <w:w w:val="92"/>
                </w:rPr>
                <w:t>JPMorgan Chase Bank, N.A., as administrative agent of the Term Loan Agreement, dated as of May 4, 2016 (incorporated by reference to Exhibit 10.6 of</w:t>
              </w:r>
            </w:hyperlink>
          </w:p>
        </w:tc>
        <w:tc>
          <w:tcPr>
            <w:tcW w:w="360" w:type="dxa"/>
            <w:vAlign w:val="bottom"/>
            <w:gridSpan w:val="6"/>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1"/>
          </w:tcPr>
          <w:p>
            <w:pPr>
              <w:spacing w:after="0" w:line="163" w:lineRule="exact"/>
              <w:rPr>
                <w:rFonts w:ascii="Arial" w:cs="Arial" w:eastAsia="Arial" w:hAnsi="Arial"/>
                <w:sz w:val="15"/>
                <w:szCs w:val="15"/>
                <w:color w:val="0000EE"/>
              </w:rPr>
            </w:pPr>
            <w:hyperlink r:id="rId206">
              <w:r>
                <w:rPr>
                  <w:rFonts w:ascii="Arial" w:cs="Arial" w:eastAsia="Arial" w:hAnsi="Arial"/>
                  <w:sz w:val="15"/>
                  <w:szCs w:val="15"/>
                  <w:color w:val="0000EE"/>
                </w:rPr>
                <w:t>Weatherford International plc’s Current Report on Form 8-K (File No. 1-36504), filed May 10, 2016)</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10.41**</w:t>
            </w:r>
          </w:p>
        </w:tc>
        <w:tc>
          <w:tcPr>
            <w:tcW w:w="620" w:type="dxa"/>
            <w:vAlign w:val="bottom"/>
          </w:tcPr>
          <w:p>
            <w:pPr>
              <w:spacing w:after="0"/>
              <w:rPr>
                <w:sz w:val="24"/>
                <w:szCs w:val="24"/>
                <w:color w:val="auto"/>
              </w:rPr>
            </w:pPr>
          </w:p>
        </w:tc>
        <w:tc>
          <w:tcPr>
            <w:tcW w:w="9440" w:type="dxa"/>
            <w:vAlign w:val="bottom"/>
            <w:tcBorders>
              <w:bottom w:val="single" w:sz="8" w:color="0000EE"/>
            </w:tcBorders>
            <w:gridSpan w:val="16"/>
          </w:tcPr>
          <w:p>
            <w:pPr>
              <w:spacing w:after="0"/>
              <w:rPr>
                <w:rFonts w:ascii="Arial" w:cs="Arial" w:eastAsia="Arial" w:hAnsi="Arial"/>
                <w:sz w:val="15"/>
                <w:szCs w:val="15"/>
                <w:color w:val="0000EE"/>
                <w:w w:val="92"/>
              </w:rPr>
            </w:pPr>
            <w:hyperlink r:id="rId207">
              <w:r>
                <w:rPr>
                  <w:rFonts w:ascii="Arial" w:cs="Arial" w:eastAsia="Arial" w:hAnsi="Arial"/>
                  <w:sz w:val="15"/>
                  <w:szCs w:val="15"/>
                  <w:color w:val="0000EE"/>
                  <w:w w:val="92"/>
                </w:rPr>
                <w:t>Affiliate Guaranty, dated as of August 16, 2018, by Weatherford International plc (Ireland) and certain subsidiary parties thereto, as guarantors, in favor of</w:t>
              </w:r>
            </w:hyperlink>
          </w:p>
        </w:tc>
        <w:tc>
          <w:tcPr>
            <w:tcW w:w="320" w:type="dxa"/>
            <w:vAlign w:val="bottom"/>
            <w:gridSpan w:val="5"/>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60" w:type="dxa"/>
            <w:vAlign w:val="bottom"/>
            <w:tcBorders>
              <w:bottom w:val="single" w:sz="8" w:color="0000EE"/>
            </w:tcBorders>
            <w:gridSpan w:val="11"/>
          </w:tcPr>
          <w:p>
            <w:pPr>
              <w:spacing w:after="0" w:line="163" w:lineRule="exact"/>
              <w:rPr>
                <w:rFonts w:ascii="Arial" w:cs="Arial" w:eastAsia="Arial" w:hAnsi="Arial"/>
                <w:sz w:val="15"/>
                <w:szCs w:val="15"/>
                <w:color w:val="0000EE"/>
                <w:w w:val="92"/>
              </w:rPr>
            </w:pPr>
            <w:hyperlink r:id="rId207">
              <w:r>
                <w:rPr>
                  <w:rFonts w:ascii="Arial" w:cs="Arial" w:eastAsia="Arial" w:hAnsi="Arial"/>
                  <w:sz w:val="15"/>
                  <w:szCs w:val="15"/>
                  <w:color w:val="0000EE"/>
                  <w:w w:val="92"/>
                </w:rPr>
                <w:t>JPMorgan Chase Bank, N.A., as administrative agent of the 364-Day Credit Agreement, dated as of August 16, 2018 (incorporated by reference to</w:t>
              </w:r>
            </w:hyperlink>
          </w:p>
        </w:tc>
        <w:tc>
          <w:tcPr>
            <w:tcW w:w="800" w:type="dxa"/>
            <w:vAlign w:val="bottom"/>
            <w:gridSpan w:val="10"/>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1"/>
          </w:tcPr>
          <w:p>
            <w:pPr>
              <w:spacing w:after="0" w:line="163" w:lineRule="exact"/>
              <w:rPr>
                <w:rFonts w:ascii="Arial" w:cs="Arial" w:eastAsia="Arial" w:hAnsi="Arial"/>
                <w:sz w:val="15"/>
                <w:szCs w:val="15"/>
                <w:color w:val="0000EE"/>
              </w:rPr>
            </w:pPr>
            <w:hyperlink r:id="rId207">
              <w:r>
                <w:rPr>
                  <w:rFonts w:ascii="Arial" w:cs="Arial" w:eastAsia="Arial" w:hAnsi="Arial"/>
                  <w:sz w:val="15"/>
                  <w:szCs w:val="15"/>
                  <w:color w:val="0000EE"/>
                </w:rPr>
                <w:t>Exhibit 10.5 of Weatherford International plc’s Current Report on Form 8-K (File No. 1-36504), filed August 20, 2018)</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10.42**</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w w:val="96"/>
              </w:rPr>
            </w:pPr>
            <w:hyperlink r:id="rId208">
              <w:r>
                <w:rPr>
                  <w:rFonts w:ascii="Arial" w:cs="Arial" w:eastAsia="Arial" w:hAnsi="Arial"/>
                  <w:sz w:val="15"/>
                  <w:szCs w:val="15"/>
                  <w:color w:val="0000EE"/>
                  <w:w w:val="96"/>
                </w:rPr>
                <w:t>Sale and Purchase Agreement by and between Weatherford Worldwide Holdings GmbH and ADES International Holding Ltd., dated as of July 11, 2018</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1"/>
          </w:tcPr>
          <w:p>
            <w:pPr>
              <w:spacing w:after="0" w:line="163" w:lineRule="exact"/>
              <w:rPr>
                <w:rFonts w:ascii="Arial" w:cs="Arial" w:eastAsia="Arial" w:hAnsi="Arial"/>
                <w:sz w:val="15"/>
                <w:szCs w:val="15"/>
                <w:color w:val="0000EE"/>
                <w:w w:val="94"/>
              </w:rPr>
            </w:pPr>
            <w:hyperlink r:id="rId208">
              <w:r>
                <w:rPr>
                  <w:rFonts w:ascii="Arial" w:cs="Arial" w:eastAsia="Arial" w:hAnsi="Arial"/>
                  <w:sz w:val="15"/>
                  <w:szCs w:val="15"/>
                  <w:color w:val="0000EE"/>
                  <w:w w:val="94"/>
                </w:rPr>
                <w:t>(incorporated by reference to Exhibit 10.6 to Weatherford International plc’s Quarterly Report on Form 10-Q for the quarter ended September 30, 2018 (File</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93"/>
              </w:rPr>
            </w:pPr>
            <w:hyperlink r:id="rId208">
              <w:r>
                <w:rPr>
                  <w:rFonts w:ascii="Arial" w:cs="Arial" w:eastAsia="Arial" w:hAnsi="Arial"/>
                  <w:sz w:val="15"/>
                  <w:szCs w:val="15"/>
                  <w:color w:val="0000EE"/>
                  <w:w w:val="93"/>
                </w:rPr>
                <w:t>No. 1-36504), filed November 2, 2018)</w:t>
              </w:r>
            </w:hyperlink>
          </w:p>
        </w:tc>
        <w:tc>
          <w:tcPr>
            <w:tcW w:w="7140" w:type="dxa"/>
            <w:vAlign w:val="bottom"/>
            <w:tcBorders>
              <w:top w:val="single" w:sz="8" w:color="0000EE"/>
            </w:tcBorders>
            <w:gridSpan w:val="13"/>
          </w:tcPr>
          <w:p>
            <w:pPr>
              <w:spacing w:after="0"/>
              <w:rPr>
                <w:sz w:val="14"/>
                <w:szCs w:val="14"/>
                <w:color w:val="auto"/>
              </w:rPr>
            </w:pPr>
          </w:p>
        </w:tc>
        <w:tc>
          <w:tcPr>
            <w:tcW w:w="200" w:type="dxa"/>
            <w:vAlign w:val="bottom"/>
            <w:gridSpan w:val="4"/>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11.43**</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w w:val="96"/>
              </w:rPr>
            </w:pPr>
            <w:hyperlink r:id="rId209">
              <w:r>
                <w:rPr>
                  <w:rFonts w:ascii="Arial" w:cs="Arial" w:eastAsia="Arial" w:hAnsi="Arial"/>
                  <w:sz w:val="15"/>
                  <w:szCs w:val="15"/>
                  <w:color w:val="0000EE"/>
                  <w:w w:val="96"/>
                </w:rPr>
                <w:t>Sale and Purchase Agreement by and between Weatherford Worldwide Holdings GmbH and ADES International Holding Ltd., dated as of July 11, 2018</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1"/>
          </w:tcPr>
          <w:p>
            <w:pPr>
              <w:spacing w:after="0" w:line="163" w:lineRule="exact"/>
              <w:rPr>
                <w:rFonts w:ascii="Arial" w:cs="Arial" w:eastAsia="Arial" w:hAnsi="Arial"/>
                <w:sz w:val="15"/>
                <w:szCs w:val="15"/>
                <w:color w:val="0000EE"/>
                <w:w w:val="94"/>
              </w:rPr>
            </w:pPr>
            <w:hyperlink r:id="rId209">
              <w:r>
                <w:rPr>
                  <w:rFonts w:ascii="Arial" w:cs="Arial" w:eastAsia="Arial" w:hAnsi="Arial"/>
                  <w:sz w:val="15"/>
                  <w:szCs w:val="15"/>
                  <w:color w:val="0000EE"/>
                  <w:w w:val="94"/>
                </w:rPr>
                <w:t>(incorporated by reference to Exhibit 10.7 to Weatherford International plc’s Quarterly Report on Form 10-Q for the quarter ended September 30, 2018 (File</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93"/>
              </w:rPr>
            </w:pPr>
            <w:hyperlink r:id="rId209">
              <w:r>
                <w:rPr>
                  <w:rFonts w:ascii="Arial" w:cs="Arial" w:eastAsia="Arial" w:hAnsi="Arial"/>
                  <w:sz w:val="15"/>
                  <w:szCs w:val="15"/>
                  <w:color w:val="0000EE"/>
                  <w:w w:val="93"/>
                </w:rPr>
                <w:t>No. 1-36504), filed November 2, 2018)</w:t>
              </w:r>
            </w:hyperlink>
          </w:p>
        </w:tc>
        <w:tc>
          <w:tcPr>
            <w:tcW w:w="7140" w:type="dxa"/>
            <w:vAlign w:val="bottom"/>
            <w:tcBorders>
              <w:top w:val="single" w:sz="8" w:color="0000EE"/>
            </w:tcBorders>
            <w:gridSpan w:val="13"/>
          </w:tcPr>
          <w:p>
            <w:pPr>
              <w:spacing w:after="0"/>
              <w:rPr>
                <w:sz w:val="14"/>
                <w:szCs w:val="14"/>
                <w:color w:val="auto"/>
              </w:rPr>
            </w:pPr>
          </w:p>
        </w:tc>
        <w:tc>
          <w:tcPr>
            <w:tcW w:w="200" w:type="dxa"/>
            <w:vAlign w:val="bottom"/>
            <w:gridSpan w:val="4"/>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11.44**</w:t>
            </w:r>
          </w:p>
        </w:tc>
        <w:tc>
          <w:tcPr>
            <w:tcW w:w="620" w:type="dxa"/>
            <w:vAlign w:val="bottom"/>
          </w:tcPr>
          <w:p>
            <w:pPr>
              <w:spacing w:after="0"/>
              <w:rPr>
                <w:sz w:val="24"/>
                <w:szCs w:val="24"/>
                <w:color w:val="auto"/>
              </w:rPr>
            </w:pPr>
          </w:p>
        </w:tc>
        <w:tc>
          <w:tcPr>
            <w:tcW w:w="9620" w:type="dxa"/>
            <w:vAlign w:val="bottom"/>
            <w:tcBorders>
              <w:bottom w:val="single" w:sz="8" w:color="0000EE"/>
            </w:tcBorders>
            <w:gridSpan w:val="18"/>
          </w:tcPr>
          <w:p>
            <w:pPr>
              <w:spacing w:after="0"/>
              <w:rPr>
                <w:rFonts w:ascii="Arial" w:cs="Arial" w:eastAsia="Arial" w:hAnsi="Arial"/>
                <w:sz w:val="15"/>
                <w:szCs w:val="15"/>
                <w:color w:val="0000EE"/>
                <w:w w:val="93"/>
              </w:rPr>
            </w:pPr>
            <w:hyperlink r:id="rId210">
              <w:r>
                <w:rPr>
                  <w:rFonts w:ascii="Arial" w:cs="Arial" w:eastAsia="Arial" w:hAnsi="Arial"/>
                  <w:sz w:val="15"/>
                  <w:szCs w:val="15"/>
                  <w:color w:val="0000EE"/>
                  <w:w w:val="93"/>
                </w:rPr>
                <w:t>Bridging Agreement and between Weatherford Worldwide Holdings GmbH and ADES International Holding Ltd., dated as of July 11, 2018 (incorporated by</w:t>
              </w:r>
            </w:hyperlink>
          </w:p>
        </w:tc>
        <w:tc>
          <w:tcPr>
            <w:tcW w:w="140" w:type="dxa"/>
            <w:vAlign w:val="bottom"/>
            <w:gridSpan w:val="3"/>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60" w:type="dxa"/>
            <w:vAlign w:val="bottom"/>
            <w:gridSpan w:val="21"/>
          </w:tcPr>
          <w:p>
            <w:pPr>
              <w:spacing w:after="0" w:line="163" w:lineRule="exact"/>
              <w:rPr>
                <w:rFonts w:ascii="Arial" w:cs="Arial" w:eastAsia="Arial" w:hAnsi="Arial"/>
                <w:sz w:val="15"/>
                <w:szCs w:val="15"/>
                <w:color w:val="0000EE"/>
                <w:w w:val="93"/>
              </w:rPr>
            </w:pPr>
            <w:hyperlink r:id="rId210">
              <w:r>
                <w:rPr>
                  <w:rFonts w:ascii="Arial" w:cs="Arial" w:eastAsia="Arial" w:hAnsi="Arial"/>
                  <w:sz w:val="15"/>
                  <w:szCs w:val="15"/>
                  <w:color w:val="0000EE"/>
                  <w:w w:val="93"/>
                </w:rPr>
                <w:t>reference to Exhibit 10.8 to Weatherford International plc’s Quarterly Report on Form 10-Q for the quarter ended September 30, 2018 (File No. 1-36504), filed</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91"/>
              </w:rPr>
            </w:pPr>
            <w:hyperlink r:id="rId210">
              <w:r>
                <w:rPr>
                  <w:rFonts w:ascii="Arial" w:cs="Arial" w:eastAsia="Arial" w:hAnsi="Arial"/>
                  <w:sz w:val="15"/>
                  <w:szCs w:val="15"/>
                  <w:color w:val="0000EE"/>
                  <w:w w:val="91"/>
                </w:rPr>
                <w:t>November 2, 2018)</w:t>
              </w:r>
            </w:hyperlink>
          </w:p>
        </w:tc>
        <w:tc>
          <w:tcPr>
            <w:tcW w:w="8520" w:type="dxa"/>
            <w:vAlign w:val="bottom"/>
            <w:tcBorders>
              <w:top w:val="single" w:sz="8" w:color="0000EE"/>
            </w:tcBorders>
            <w:gridSpan w:val="19"/>
          </w:tcPr>
          <w:p>
            <w:pPr>
              <w:spacing w:after="0"/>
              <w:rPr>
                <w:sz w:val="14"/>
                <w:szCs w:val="14"/>
                <w:color w:val="auto"/>
              </w:rPr>
            </w:pPr>
          </w:p>
        </w:tc>
        <w:tc>
          <w:tcPr>
            <w:tcW w:w="40" w:type="dxa"/>
            <w:vAlign w:val="bottom"/>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21.1**</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w w:val="94"/>
              </w:rPr>
            </w:pPr>
            <w:hyperlink r:id="rId211">
              <w:r>
                <w:rPr>
                  <w:rFonts w:ascii="Arial" w:cs="Arial" w:eastAsia="Arial" w:hAnsi="Arial"/>
                  <w:sz w:val="15"/>
                  <w:szCs w:val="15"/>
                  <w:color w:val="0000EE"/>
                  <w:w w:val="94"/>
                </w:rPr>
                <w:t>List of Subsidiaries of Weatherford International plc (incorporated by reference to Exhibit 21.1 of Weatherford International plc’s Annual Report on Form 10-</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5"/>
          </w:tcPr>
          <w:p>
            <w:pPr>
              <w:spacing w:after="0" w:line="163" w:lineRule="exact"/>
              <w:rPr>
                <w:rFonts w:ascii="Arial" w:cs="Arial" w:eastAsia="Arial" w:hAnsi="Arial"/>
                <w:sz w:val="15"/>
                <w:szCs w:val="15"/>
                <w:color w:val="0000EE"/>
                <w:w w:val="94"/>
              </w:rPr>
            </w:pPr>
            <w:hyperlink r:id="rId211">
              <w:r>
                <w:rPr>
                  <w:rFonts w:ascii="Arial" w:cs="Arial" w:eastAsia="Arial" w:hAnsi="Arial"/>
                  <w:sz w:val="15"/>
                  <w:szCs w:val="15"/>
                  <w:color w:val="0000EE"/>
                  <w:w w:val="94"/>
                </w:rPr>
                <w:t>K (File No. 1-36504), filed February 14, 2018)</w:t>
              </w:r>
            </w:hyperlink>
          </w:p>
        </w:tc>
        <w:tc>
          <w:tcPr>
            <w:tcW w:w="6760" w:type="dxa"/>
            <w:vAlign w:val="bottom"/>
            <w:tcBorders>
              <w:top w:val="single" w:sz="8" w:color="0000EE"/>
            </w:tcBorders>
            <w:gridSpan w:val="14"/>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23.1*</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rPr>
            </w:pPr>
            <w:hyperlink r:id="rId158">
              <w:r>
                <w:rPr>
                  <w:rFonts w:ascii="Arial" w:cs="Arial" w:eastAsia="Arial" w:hAnsi="Arial"/>
                  <w:sz w:val="15"/>
                  <w:szCs w:val="15"/>
                  <w:color w:val="0000EE"/>
                </w:rPr>
                <w:t>Consent of Latham &amp; Watkins LLP (included in its opinion filed as Exhibit 5.1)</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23.2*</w:t>
            </w:r>
          </w:p>
        </w:tc>
        <w:tc>
          <w:tcPr>
            <w:tcW w:w="620" w:type="dxa"/>
            <w:vAlign w:val="bottom"/>
          </w:tcPr>
          <w:p>
            <w:pPr>
              <w:spacing w:after="0"/>
              <w:rPr>
                <w:sz w:val="24"/>
                <w:szCs w:val="24"/>
                <w:color w:val="auto"/>
              </w:rPr>
            </w:pPr>
          </w:p>
        </w:tc>
        <w:tc>
          <w:tcPr>
            <w:tcW w:w="5460" w:type="dxa"/>
            <w:vAlign w:val="bottom"/>
            <w:tcBorders>
              <w:bottom w:val="single" w:sz="8" w:color="0000EE"/>
            </w:tcBorders>
            <w:gridSpan w:val="8"/>
          </w:tcPr>
          <w:p>
            <w:pPr>
              <w:spacing w:after="0"/>
              <w:rPr>
                <w:rFonts w:ascii="Arial" w:cs="Arial" w:eastAsia="Arial" w:hAnsi="Arial"/>
                <w:sz w:val="15"/>
                <w:szCs w:val="15"/>
                <w:color w:val="0000EE"/>
                <w:w w:val="94"/>
              </w:rPr>
            </w:pPr>
            <w:hyperlink r:id="rId159">
              <w:r>
                <w:rPr>
                  <w:rFonts w:ascii="Arial" w:cs="Arial" w:eastAsia="Arial" w:hAnsi="Arial"/>
                  <w:sz w:val="15"/>
                  <w:szCs w:val="15"/>
                  <w:color w:val="0000EE"/>
                  <w:w w:val="94"/>
                </w:rPr>
                <w:t>Consent of Conyers Dill &amp; Pearman Limited (included in its opinion filed as Exhibit 5.2)</w:t>
              </w:r>
            </w:hyperlink>
          </w:p>
        </w:tc>
        <w:tc>
          <w:tcPr>
            <w:tcW w:w="4300" w:type="dxa"/>
            <w:vAlign w:val="bottom"/>
            <w:gridSpan w:val="13"/>
          </w:tcPr>
          <w:p>
            <w:pPr>
              <w:spacing w:after="0"/>
              <w:rPr>
                <w:sz w:val="24"/>
                <w:szCs w:val="2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23.3*</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rPr>
            </w:pPr>
            <w:hyperlink r:id="rId212">
              <w:r>
                <w:rPr>
                  <w:rFonts w:ascii="Arial" w:cs="Arial" w:eastAsia="Arial" w:hAnsi="Arial"/>
                  <w:sz w:val="15"/>
                  <w:szCs w:val="15"/>
                  <w:color w:val="0000EE"/>
                </w:rPr>
                <w:t>Consent of KPMG LLP</w:t>
              </w:r>
            </w:hyperlink>
          </w:p>
        </w:tc>
      </w:tr>
      <w:tr>
        <w:trPr>
          <w:trHeight w:val="20"/>
        </w:trPr>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23.4*</w:t>
            </w:r>
          </w:p>
        </w:tc>
        <w:tc>
          <w:tcPr>
            <w:tcW w:w="620" w:type="dxa"/>
            <w:vAlign w:val="bottom"/>
          </w:tcPr>
          <w:p>
            <w:pPr>
              <w:spacing w:after="0"/>
              <w:rPr>
                <w:sz w:val="24"/>
                <w:szCs w:val="24"/>
                <w:color w:val="auto"/>
              </w:rPr>
            </w:pPr>
          </w:p>
        </w:tc>
        <w:tc>
          <w:tcPr>
            <w:tcW w:w="4420" w:type="dxa"/>
            <w:vAlign w:val="bottom"/>
            <w:tcBorders>
              <w:bottom w:val="single" w:sz="8" w:color="0000EE"/>
            </w:tcBorders>
            <w:gridSpan w:val="6"/>
          </w:tcPr>
          <w:p>
            <w:pPr>
              <w:spacing w:after="0"/>
              <w:rPr>
                <w:rFonts w:ascii="Arial" w:cs="Arial" w:eastAsia="Arial" w:hAnsi="Arial"/>
                <w:sz w:val="15"/>
                <w:szCs w:val="15"/>
                <w:color w:val="0000EE"/>
                <w:w w:val="93"/>
              </w:rPr>
            </w:pPr>
            <w:hyperlink r:id="rId160">
              <w:r>
                <w:rPr>
                  <w:rFonts w:ascii="Arial" w:cs="Arial" w:eastAsia="Arial" w:hAnsi="Arial"/>
                  <w:sz w:val="15"/>
                  <w:szCs w:val="15"/>
                  <w:color w:val="0000EE"/>
                  <w:w w:val="93"/>
                </w:rPr>
                <w:t>Consent of Matheson (included in its opinion filed as exhibit 5.3 hereto)</w:t>
              </w:r>
            </w:hyperlink>
          </w:p>
        </w:tc>
        <w:tc>
          <w:tcPr>
            <w:tcW w:w="5340" w:type="dxa"/>
            <w:vAlign w:val="bottom"/>
            <w:gridSpan w:val="15"/>
          </w:tcPr>
          <w:p>
            <w:pPr>
              <w:spacing w:after="0"/>
              <w:rPr>
                <w:sz w:val="24"/>
                <w:szCs w:val="2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24.1*</w:t>
            </w:r>
          </w:p>
        </w:tc>
        <w:tc>
          <w:tcPr>
            <w:tcW w:w="620" w:type="dxa"/>
            <w:vAlign w:val="bottom"/>
          </w:tcPr>
          <w:p>
            <w:pPr>
              <w:spacing w:after="0"/>
              <w:rPr>
                <w:sz w:val="24"/>
                <w:szCs w:val="24"/>
                <w:color w:val="auto"/>
              </w:rPr>
            </w:pPr>
          </w:p>
        </w:tc>
        <w:tc>
          <w:tcPr>
            <w:tcW w:w="9120" w:type="dxa"/>
            <w:vAlign w:val="bottom"/>
            <w:tcBorders>
              <w:bottom w:val="single" w:sz="8" w:color="0000EE"/>
            </w:tcBorders>
            <w:gridSpan w:val="12"/>
          </w:tcPr>
          <w:p>
            <w:pPr>
              <w:spacing w:after="0"/>
              <w:rPr>
                <w:rFonts w:ascii="Arial" w:cs="Arial" w:eastAsia="Arial" w:hAnsi="Arial"/>
                <w:sz w:val="15"/>
                <w:szCs w:val="15"/>
                <w:color w:val="0000EE"/>
                <w:w w:val="93"/>
              </w:rPr>
            </w:pPr>
            <w:hyperlink w:anchor="page112">
              <w:r>
                <w:rPr>
                  <w:rFonts w:ascii="Arial" w:cs="Arial" w:eastAsia="Arial" w:hAnsi="Arial"/>
                  <w:sz w:val="15"/>
                  <w:szCs w:val="15"/>
                  <w:color w:val="0000EE"/>
                  <w:w w:val="93"/>
                </w:rPr>
                <w:t>Power of Attorney for officers and directors of Weatherford International plc, an Irish public limited company (included in the signature pages to this</w:t>
              </w:r>
            </w:hyperlink>
          </w:p>
        </w:tc>
        <w:tc>
          <w:tcPr>
            <w:tcW w:w="640" w:type="dxa"/>
            <w:vAlign w:val="bottom"/>
            <w:gridSpan w:val="9"/>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Borders>
              <w:bottom w:val="single" w:sz="8" w:color="0000EE"/>
            </w:tcBorders>
            <w:gridSpan w:val="2"/>
          </w:tcPr>
          <w:p>
            <w:pPr>
              <w:spacing w:after="0" w:line="163" w:lineRule="exact"/>
              <w:rPr>
                <w:rFonts w:ascii="Arial" w:cs="Arial" w:eastAsia="Arial" w:hAnsi="Arial"/>
                <w:sz w:val="15"/>
                <w:szCs w:val="15"/>
                <w:color w:val="0000EE"/>
                <w:w w:val="91"/>
              </w:rPr>
            </w:pPr>
            <w:hyperlink w:anchor="page112">
              <w:r>
                <w:rPr>
                  <w:rFonts w:ascii="Arial" w:cs="Arial" w:eastAsia="Arial" w:hAnsi="Arial"/>
                  <w:sz w:val="15"/>
                  <w:szCs w:val="15"/>
                  <w:color w:val="0000EE"/>
                  <w:w w:val="91"/>
                </w:rPr>
                <w:t>registration statement)</w:t>
              </w:r>
            </w:hyperlink>
          </w:p>
        </w:tc>
        <w:tc>
          <w:tcPr>
            <w:tcW w:w="8380" w:type="dxa"/>
            <w:vAlign w:val="bottom"/>
            <w:gridSpan w:val="19"/>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24.2*</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w w:val="99"/>
              </w:rPr>
            </w:pPr>
            <w:hyperlink w:anchor="page115">
              <w:r>
                <w:rPr>
                  <w:rFonts w:ascii="Arial" w:cs="Arial" w:eastAsia="Arial" w:hAnsi="Arial"/>
                  <w:sz w:val="15"/>
                  <w:szCs w:val="15"/>
                  <w:color w:val="0000EE"/>
                  <w:w w:val="99"/>
                </w:rPr>
                <w:t>Power of Attorney for officers and directors of Weatherford International Ltd., a Bermuda exempted company (included in the signature pages to this</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2"/>
          </w:tcPr>
          <w:p>
            <w:pPr>
              <w:spacing w:after="0" w:line="163" w:lineRule="exact"/>
              <w:rPr>
                <w:rFonts w:ascii="Arial" w:cs="Arial" w:eastAsia="Arial" w:hAnsi="Arial"/>
                <w:sz w:val="15"/>
                <w:szCs w:val="15"/>
                <w:color w:val="0000EE"/>
                <w:w w:val="91"/>
              </w:rPr>
            </w:pPr>
            <w:hyperlink w:anchor="page115">
              <w:r>
                <w:rPr>
                  <w:rFonts w:ascii="Arial" w:cs="Arial" w:eastAsia="Arial" w:hAnsi="Arial"/>
                  <w:sz w:val="15"/>
                  <w:szCs w:val="15"/>
                  <w:color w:val="0000EE"/>
                  <w:w w:val="91"/>
                </w:rPr>
                <w:t>registration statement)</w:t>
              </w:r>
            </w:hyperlink>
          </w:p>
        </w:tc>
        <w:tc>
          <w:tcPr>
            <w:tcW w:w="7740" w:type="dxa"/>
            <w:vAlign w:val="bottom"/>
            <w:tcBorders>
              <w:top w:val="single" w:sz="8" w:color="0000EE"/>
            </w:tcBorders>
            <w:gridSpan w:val="10"/>
          </w:tcPr>
          <w:p>
            <w:pPr>
              <w:spacing w:after="0"/>
              <w:rPr>
                <w:sz w:val="14"/>
                <w:szCs w:val="14"/>
                <w:color w:val="auto"/>
              </w:rPr>
            </w:pPr>
          </w:p>
        </w:tc>
        <w:tc>
          <w:tcPr>
            <w:tcW w:w="640" w:type="dxa"/>
            <w:vAlign w:val="bottom"/>
            <w:gridSpan w:val="9"/>
          </w:tcPr>
          <w:p>
            <w:pPr>
              <w:spacing w:after="0"/>
              <w:rPr>
                <w:sz w:val="14"/>
                <w:szCs w:val="14"/>
                <w:color w:val="auto"/>
              </w:rPr>
            </w:pPr>
          </w:p>
        </w:tc>
      </w:tr>
      <w:tr>
        <w:trPr>
          <w:trHeight w:val="346"/>
        </w:trPr>
        <w:tc>
          <w:tcPr>
            <w:tcW w:w="1100" w:type="dxa"/>
            <w:vAlign w:val="bottom"/>
            <w:gridSpan w:val="2"/>
          </w:tcPr>
          <w:p>
            <w:pPr>
              <w:ind w:left="20"/>
              <w:spacing w:after="0"/>
              <w:rPr>
                <w:sz w:val="20"/>
                <w:szCs w:val="20"/>
                <w:color w:val="auto"/>
              </w:rPr>
            </w:pPr>
            <w:r>
              <w:rPr>
                <w:rFonts w:ascii="Arial" w:cs="Arial" w:eastAsia="Arial" w:hAnsi="Arial"/>
                <w:sz w:val="15"/>
                <w:szCs w:val="15"/>
                <w:color w:val="auto"/>
              </w:rPr>
              <w:t>24.3*</w:t>
            </w:r>
          </w:p>
        </w:tc>
        <w:tc>
          <w:tcPr>
            <w:tcW w:w="62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5"/>
                <w:szCs w:val="15"/>
                <w:color w:val="0000EE"/>
                <w:w w:val="98"/>
              </w:rPr>
            </w:pPr>
            <w:hyperlink w:anchor="page117">
              <w:r>
                <w:rPr>
                  <w:rFonts w:ascii="Arial" w:cs="Arial" w:eastAsia="Arial" w:hAnsi="Arial"/>
                  <w:sz w:val="15"/>
                  <w:szCs w:val="15"/>
                  <w:color w:val="0000EE"/>
                  <w:w w:val="98"/>
                </w:rPr>
                <w:t>Power of Attorney for officers and directors of Weatherford Delaware, LLC a Delaware limited liability company (included in the signature pages to this</w:t>
              </w:r>
            </w:hyperlink>
          </w:p>
        </w:tc>
      </w:tr>
      <w:tr>
        <w:trPr>
          <w:trHeight w:val="163"/>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60" w:type="dxa"/>
            <w:vAlign w:val="bottom"/>
            <w:tcBorders>
              <w:top w:val="single" w:sz="8" w:color="0000EE"/>
            </w:tcBorders>
            <w:gridSpan w:val="14"/>
          </w:tcPr>
          <w:p>
            <w:pPr>
              <w:spacing w:after="0" w:line="163" w:lineRule="exact"/>
              <w:rPr>
                <w:rFonts w:ascii="Arial" w:cs="Arial" w:eastAsia="Arial" w:hAnsi="Arial"/>
                <w:sz w:val="15"/>
                <w:szCs w:val="15"/>
                <w:color w:val="0000EE"/>
              </w:rPr>
            </w:pPr>
            <w:hyperlink w:anchor="page117">
              <w:r>
                <w:rPr>
                  <w:rFonts w:ascii="Arial" w:cs="Arial" w:eastAsia="Arial" w:hAnsi="Arial"/>
                  <w:sz w:val="15"/>
                  <w:szCs w:val="15"/>
                  <w:color w:val="0000EE"/>
                </w:rPr>
                <w:t>registration statement)</w:t>
              </w:r>
            </w:hyperlink>
          </w:p>
        </w:tc>
        <w:tc>
          <w:tcPr>
            <w:tcW w:w="400" w:type="dxa"/>
            <w:vAlign w:val="bottom"/>
            <w:gridSpan w:val="7"/>
          </w:tcPr>
          <w:p>
            <w:pPr>
              <w:spacing w:after="0"/>
              <w:rPr>
                <w:sz w:val="14"/>
                <w:szCs w:val="14"/>
                <w:color w:val="auto"/>
              </w:rPr>
            </w:pPr>
          </w:p>
        </w:tc>
      </w:tr>
      <w:tr>
        <w:trPr>
          <w:trHeight w:val="38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80" w:type="dxa"/>
            <w:vAlign w:val="bottom"/>
            <w:gridSpan w:val="16"/>
          </w:tcPr>
          <w:p>
            <w:pPr>
              <w:ind w:left="980"/>
              <w:spacing w:after="0"/>
              <w:rPr>
                <w:sz w:val="20"/>
                <w:szCs w:val="20"/>
                <w:color w:val="auto"/>
              </w:rPr>
            </w:pPr>
            <w:r>
              <w:rPr>
                <w:rFonts w:ascii="Arial" w:cs="Arial" w:eastAsia="Arial" w:hAnsi="Arial"/>
                <w:sz w:val="15"/>
                <w:szCs w:val="15"/>
                <w:color w:val="auto"/>
              </w:rPr>
              <w:t>II-11</w:t>
            </w:r>
          </w:p>
        </w:tc>
      </w:tr>
      <w:tr>
        <w:trPr>
          <w:trHeight w:val="110"/>
        </w:trPr>
        <w:tc>
          <w:tcPr>
            <w:tcW w:w="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16" w:right="199" w:bottom="1440" w:gutter="0" w:footer="0" w:header="0"/>
        </w:sectPr>
      </w:pPr>
    </w:p>
    <w:bookmarkStart w:id="109" w:name="page110"/>
    <w:bookmarkEnd w:id="109"/>
    <w:tbl>
      <w:tblPr>
        <w:tblLayout w:type="fixed"/>
        <w:tblInd w:w="8" w:type="dxa"/>
        <w:tblCellMar>
          <w:top w:w="0" w:type="dxa"/>
          <w:left w:w="0" w:type="dxa"/>
          <w:bottom w:w="0" w:type="dxa"/>
          <w:right w:w="0" w:type="dxa"/>
        </w:tblCellMar>
      </w:tblPr>
      <w:tr>
        <w:trPr>
          <w:trHeight w:val="172"/>
        </w:trPr>
        <w:tc>
          <w:tcPr>
            <w:tcW w:w="1080" w:type="dxa"/>
            <w:vAlign w:val="bottom"/>
            <w:tcBorders>
              <w:bottom w:val="single" w:sz="8" w:color="0000EE"/>
            </w:tcBorders>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Table of Contents</w:t>
              </w:r>
            </w:hyperlink>
          </w:p>
        </w:tc>
        <w:tc>
          <w:tcPr>
            <w:tcW w:w="6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25.1*</w:t>
            </w:r>
          </w:p>
        </w:tc>
        <w:tc>
          <w:tcPr>
            <w:tcW w:w="620" w:type="dxa"/>
            <w:vAlign w:val="bottom"/>
          </w:tcPr>
          <w:p>
            <w:pPr>
              <w:spacing w:after="0"/>
              <w:rPr>
                <w:sz w:val="24"/>
                <w:szCs w:val="24"/>
                <w:color w:val="auto"/>
              </w:rPr>
            </w:pPr>
          </w:p>
        </w:tc>
        <w:tc>
          <w:tcPr>
            <w:tcW w:w="7140" w:type="dxa"/>
            <w:vAlign w:val="bottom"/>
            <w:tcBorders>
              <w:bottom w:val="single" w:sz="8" w:color="0000EE"/>
            </w:tcBorders>
            <w:gridSpan w:val="2"/>
          </w:tcPr>
          <w:p>
            <w:pPr>
              <w:spacing w:after="0"/>
              <w:rPr>
                <w:rFonts w:ascii="Arial" w:cs="Arial" w:eastAsia="Arial" w:hAnsi="Arial"/>
                <w:sz w:val="15"/>
                <w:szCs w:val="15"/>
                <w:color w:val="0000EE"/>
                <w:w w:val="93"/>
              </w:rPr>
            </w:pPr>
            <w:hyperlink r:id="rId215">
              <w:r>
                <w:rPr>
                  <w:rFonts w:ascii="Arial" w:cs="Arial" w:eastAsia="Arial" w:hAnsi="Arial"/>
                  <w:sz w:val="15"/>
                  <w:szCs w:val="15"/>
                  <w:color w:val="0000EE"/>
                  <w:w w:val="93"/>
                </w:rPr>
                <w:t>Form T-1 Statement of Eligibility under the Trust Indenture Act of 1939 of Deutsche Bank Trust Company Americas</w:t>
              </w:r>
            </w:hyperlink>
          </w:p>
        </w:tc>
      </w:tr>
      <w:tr>
        <w:trPr>
          <w:trHeight w:val="346"/>
        </w:trPr>
        <w:tc>
          <w:tcPr>
            <w:tcW w:w="1080" w:type="dxa"/>
            <w:vAlign w:val="bottom"/>
          </w:tcPr>
          <w:p>
            <w:pPr>
              <w:spacing w:after="0"/>
              <w:rPr>
                <w:sz w:val="20"/>
                <w:szCs w:val="20"/>
                <w:color w:val="auto"/>
              </w:rPr>
            </w:pPr>
            <w:r>
              <w:rPr>
                <w:rFonts w:ascii="Arial" w:cs="Arial" w:eastAsia="Arial" w:hAnsi="Arial"/>
                <w:sz w:val="15"/>
                <w:szCs w:val="15"/>
                <w:color w:val="auto"/>
              </w:rPr>
              <w:t>99.1*</w:t>
            </w:r>
          </w:p>
        </w:tc>
        <w:tc>
          <w:tcPr>
            <w:tcW w:w="620" w:type="dxa"/>
            <w:vAlign w:val="bottom"/>
          </w:tcPr>
          <w:p>
            <w:pPr>
              <w:spacing w:after="0"/>
              <w:rPr>
                <w:sz w:val="24"/>
                <w:szCs w:val="24"/>
                <w:color w:val="auto"/>
              </w:rPr>
            </w:pPr>
          </w:p>
        </w:tc>
        <w:tc>
          <w:tcPr>
            <w:tcW w:w="7140" w:type="dxa"/>
            <w:vAlign w:val="bottom"/>
            <w:gridSpan w:val="2"/>
          </w:tcPr>
          <w:p>
            <w:pPr>
              <w:spacing w:after="0"/>
              <w:rPr>
                <w:rFonts w:ascii="Arial" w:cs="Arial" w:eastAsia="Arial" w:hAnsi="Arial"/>
                <w:sz w:val="15"/>
                <w:szCs w:val="15"/>
                <w:color w:val="0000EE"/>
              </w:rPr>
            </w:pPr>
            <w:hyperlink w:anchor="page93">
              <w:r>
                <w:rPr>
                  <w:rFonts w:ascii="Arial" w:cs="Arial" w:eastAsia="Arial" w:hAnsi="Arial"/>
                  <w:sz w:val="15"/>
                  <w:szCs w:val="15"/>
                  <w:color w:val="0000EE"/>
                </w:rPr>
                <w:t>Form of Letter of Transmittal (included as Annex A to the prospectus).</w:t>
              </w:r>
            </w:hyperlink>
          </w:p>
        </w:tc>
      </w:tr>
      <w:tr>
        <w:trPr>
          <w:trHeight w:val="20"/>
        </w:trPr>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18313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6">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370" w:lineRule="exact"/>
        <w:rPr>
          <w:sz w:val="20"/>
          <w:szCs w:val="20"/>
          <w:color w:val="auto"/>
        </w:rPr>
      </w:pPr>
    </w:p>
    <w:p>
      <w:pPr>
        <w:ind w:left="788" w:hanging="159"/>
        <w:spacing w:after="0"/>
        <w:tabs>
          <w:tab w:leader="none" w:pos="788" w:val="left"/>
        </w:tabs>
        <w:numPr>
          <w:ilvl w:val="1"/>
          <w:numId w:val="109"/>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193" w:lineRule="exact"/>
        <w:rPr>
          <w:rFonts w:ascii="Arial" w:cs="Arial" w:eastAsia="Arial" w:hAnsi="Arial"/>
          <w:sz w:val="15"/>
          <w:szCs w:val="15"/>
          <w:color w:val="auto"/>
        </w:rPr>
      </w:pPr>
    </w:p>
    <w:p>
      <w:pPr>
        <w:ind w:left="768" w:hanging="219"/>
        <w:spacing w:after="0"/>
        <w:tabs>
          <w:tab w:leader="none" w:pos="76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—Filed previously.</w:t>
      </w:r>
    </w:p>
    <w:p>
      <w:pPr>
        <w:spacing w:after="0" w:line="194" w:lineRule="exact"/>
        <w:rPr>
          <w:sz w:val="20"/>
          <w:szCs w:val="20"/>
          <w:color w:val="auto"/>
        </w:rPr>
      </w:pPr>
    </w:p>
    <w:p>
      <w:pPr>
        <w:ind w:left="628"/>
        <w:spacing w:after="0"/>
        <w:rPr>
          <w:sz w:val="20"/>
          <w:szCs w:val="20"/>
          <w:color w:val="auto"/>
        </w:rPr>
      </w:pPr>
      <w:r>
        <w:rPr>
          <w:rFonts w:ascii="Arial" w:cs="Arial" w:eastAsia="Arial" w:hAnsi="Arial"/>
          <w:sz w:val="15"/>
          <w:szCs w:val="15"/>
          <w:color w:val="auto"/>
        </w:rPr>
        <w:t>† —Management contract or compensatory plan or arrangement.</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Item 22. Undertakings.</w:t>
      </w:r>
    </w:p>
    <w:p>
      <w:pPr>
        <w:spacing w:after="0" w:line="198" w:lineRule="exact"/>
        <w:rPr>
          <w:sz w:val="20"/>
          <w:szCs w:val="20"/>
          <w:color w:val="auto"/>
        </w:rPr>
      </w:pPr>
    </w:p>
    <w:p>
      <w:pPr>
        <w:ind w:left="548"/>
        <w:spacing w:after="0"/>
        <w:rPr>
          <w:sz w:val="20"/>
          <w:szCs w:val="20"/>
          <w:color w:val="auto"/>
        </w:rPr>
      </w:pPr>
      <w:r>
        <w:rPr>
          <w:rFonts w:ascii="Arial" w:cs="Arial" w:eastAsia="Arial" w:hAnsi="Arial"/>
          <w:sz w:val="15"/>
          <w:szCs w:val="15"/>
          <w:color w:val="auto"/>
        </w:rPr>
        <w:t>The undersigned registrants hereby undertake:</w:t>
      </w:r>
    </w:p>
    <w:p>
      <w:pPr>
        <w:spacing w:after="0" w:line="194" w:lineRule="exact"/>
        <w:rPr>
          <w:sz w:val="20"/>
          <w:szCs w:val="20"/>
          <w:color w:val="auto"/>
        </w:rPr>
      </w:pPr>
    </w:p>
    <w:p>
      <w:pPr>
        <w:ind w:left="528" w:hanging="528"/>
        <w:spacing w:after="0"/>
        <w:tabs>
          <w:tab w:leader="none" w:pos="528"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193" w:lineRule="exact"/>
        <w:rPr>
          <w:rFonts w:ascii="Arial" w:cs="Arial" w:eastAsia="Arial" w:hAnsi="Arial"/>
          <w:sz w:val="15"/>
          <w:szCs w:val="15"/>
          <w:color w:val="auto"/>
        </w:rPr>
      </w:pPr>
    </w:p>
    <w:p>
      <w:pPr>
        <w:ind w:left="1648" w:hanging="550"/>
        <w:spacing w:after="0"/>
        <w:tabs>
          <w:tab w:leader="none" w:pos="1648"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193" w:lineRule="exact"/>
        <w:rPr>
          <w:rFonts w:ascii="Arial" w:cs="Arial" w:eastAsia="Arial" w:hAnsi="Arial"/>
          <w:sz w:val="15"/>
          <w:szCs w:val="15"/>
          <w:color w:val="auto"/>
        </w:rPr>
      </w:pPr>
    </w:p>
    <w:p>
      <w:pPr>
        <w:ind w:left="1648" w:hanging="550"/>
        <w:spacing w:after="0" w:line="282" w:lineRule="auto"/>
        <w:tabs>
          <w:tab w:leader="none" w:pos="1652" w:val="left"/>
        </w:tabs>
        <w:numPr>
          <w:ilvl w:val="1"/>
          <w:numId w:val="110"/>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46" w:lineRule="exact"/>
        <w:rPr>
          <w:rFonts w:ascii="Arial" w:cs="Arial" w:eastAsia="Arial" w:hAnsi="Arial"/>
          <w:sz w:val="14"/>
          <w:szCs w:val="14"/>
          <w:color w:val="auto"/>
        </w:rPr>
      </w:pPr>
    </w:p>
    <w:p>
      <w:pPr>
        <w:ind w:left="1648" w:right="40" w:hanging="550"/>
        <w:spacing w:after="0" w:line="284" w:lineRule="auto"/>
        <w:tabs>
          <w:tab w:leader="none" w:pos="166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41" w:lineRule="exact"/>
        <w:rPr>
          <w:rFonts w:ascii="Arial" w:cs="Arial" w:eastAsia="Arial" w:hAnsi="Arial"/>
          <w:sz w:val="15"/>
          <w:szCs w:val="15"/>
          <w:color w:val="auto"/>
        </w:rPr>
      </w:pPr>
    </w:p>
    <w:p>
      <w:pPr>
        <w:ind w:left="548" w:right="100" w:hanging="548"/>
        <w:spacing w:after="0" w:line="284" w:lineRule="auto"/>
        <w:tabs>
          <w:tab w:leader="none" w:pos="53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1" w:lineRule="exact"/>
        <w:rPr>
          <w:rFonts w:ascii="Arial" w:cs="Arial" w:eastAsia="Arial" w:hAnsi="Arial"/>
          <w:sz w:val="15"/>
          <w:szCs w:val="15"/>
          <w:color w:val="auto"/>
        </w:rPr>
      </w:pPr>
    </w:p>
    <w:p>
      <w:pPr>
        <w:ind w:left="528" w:hanging="528"/>
        <w:spacing w:after="0"/>
        <w:tabs>
          <w:tab w:leader="none" w:pos="528"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93" w:lineRule="exact"/>
        <w:rPr>
          <w:rFonts w:ascii="Arial" w:cs="Arial" w:eastAsia="Arial" w:hAnsi="Arial"/>
          <w:sz w:val="15"/>
          <w:szCs w:val="15"/>
          <w:color w:val="auto"/>
        </w:rPr>
      </w:pPr>
    </w:p>
    <w:p>
      <w:pPr>
        <w:ind w:left="548" w:hanging="548"/>
        <w:spacing w:after="0" w:line="259" w:lineRule="auto"/>
        <w:tabs>
          <w:tab w:leader="none" w:pos="53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16" w:right="239" w:bottom="1440" w:gutter="0" w:footer="0" w:header="0"/>
        </w:sectPr>
      </w:pPr>
    </w:p>
    <w:bookmarkStart w:id="110" w:name="page111"/>
    <w:bookmarkEnd w:id="110"/>
    <w:p>
      <w:pPr>
        <w:ind w:left="8"/>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548" w:hanging="548"/>
        <w:spacing w:after="0" w:line="264" w:lineRule="auto"/>
        <w:tabs>
          <w:tab w:leader="none" w:pos="5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5"/>
          <w:szCs w:val="15"/>
          <w:color w:val="auto"/>
        </w:rPr>
      </w:pPr>
    </w:p>
    <w:p>
      <w:pPr>
        <w:jc w:val="both"/>
        <w:ind w:left="548" w:right="20" w:hanging="548"/>
        <w:spacing w:after="0" w:line="269" w:lineRule="auto"/>
        <w:tabs>
          <w:tab w:leader="none" w:pos="5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52" w:lineRule="exact"/>
        <w:rPr>
          <w:rFonts w:ascii="Arial" w:cs="Arial" w:eastAsia="Arial" w:hAnsi="Arial"/>
          <w:sz w:val="15"/>
          <w:szCs w:val="15"/>
          <w:color w:val="auto"/>
        </w:rPr>
      </w:pPr>
    </w:p>
    <w:p>
      <w:pPr>
        <w:ind w:left="548" w:right="260" w:hanging="548"/>
        <w:spacing w:after="0" w:line="284" w:lineRule="auto"/>
        <w:tabs>
          <w:tab w:leader="none" w:pos="5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41" w:lineRule="exact"/>
        <w:rPr>
          <w:rFonts w:ascii="Arial" w:cs="Arial" w:eastAsia="Arial" w:hAnsi="Arial"/>
          <w:sz w:val="15"/>
          <w:szCs w:val="15"/>
          <w:color w:val="auto"/>
        </w:rPr>
      </w:pPr>
    </w:p>
    <w:p>
      <w:pPr>
        <w:ind w:left="548" w:hanging="548"/>
        <w:spacing w:after="0" w:line="282" w:lineRule="auto"/>
        <w:tabs>
          <w:tab w:leader="none" w:pos="53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That, for purposes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6" w:lineRule="exact"/>
        <w:rPr>
          <w:rFonts w:ascii="Arial" w:cs="Arial" w:eastAsia="Arial" w:hAnsi="Arial"/>
          <w:sz w:val="14"/>
          <w:szCs w:val="14"/>
          <w:color w:val="auto"/>
        </w:rPr>
      </w:pPr>
    </w:p>
    <w:p>
      <w:pPr>
        <w:ind w:left="548" w:right="140" w:hanging="548"/>
        <w:spacing w:after="0" w:line="264" w:lineRule="auto"/>
        <w:tabs>
          <w:tab w:leader="none" w:pos="5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6" w:lineRule="exact"/>
        <w:rPr>
          <w:rFonts w:ascii="Arial" w:cs="Arial" w:eastAsia="Arial" w:hAnsi="Arial"/>
          <w:sz w:val="15"/>
          <w:szCs w:val="15"/>
          <w:color w:val="auto"/>
        </w:rPr>
      </w:pPr>
    </w:p>
    <w:p>
      <w:pPr>
        <w:ind w:left="1648" w:hanging="550"/>
        <w:spacing w:after="0"/>
        <w:tabs>
          <w:tab w:leader="none" w:pos="164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93" w:lineRule="exact"/>
        <w:rPr>
          <w:rFonts w:ascii="Arial" w:cs="Arial" w:eastAsia="Arial" w:hAnsi="Arial"/>
          <w:sz w:val="15"/>
          <w:szCs w:val="15"/>
          <w:color w:val="auto"/>
        </w:rPr>
      </w:pPr>
    </w:p>
    <w:p>
      <w:pPr>
        <w:ind w:left="1648" w:hanging="550"/>
        <w:spacing w:after="0"/>
        <w:tabs>
          <w:tab w:leader="none" w:pos="1648"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205" w:lineRule="exact"/>
        <w:rPr>
          <w:rFonts w:ascii="Arial" w:cs="Arial" w:eastAsia="Arial" w:hAnsi="Arial"/>
          <w:sz w:val="14"/>
          <w:szCs w:val="14"/>
          <w:color w:val="auto"/>
        </w:rPr>
      </w:pPr>
    </w:p>
    <w:p>
      <w:pPr>
        <w:ind w:left="1648" w:right="460" w:hanging="550"/>
        <w:spacing w:after="0" w:line="284" w:lineRule="auto"/>
        <w:tabs>
          <w:tab w:leader="none" w:pos="166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1" w:lineRule="exact"/>
        <w:rPr>
          <w:rFonts w:ascii="Arial" w:cs="Arial" w:eastAsia="Arial" w:hAnsi="Arial"/>
          <w:sz w:val="15"/>
          <w:szCs w:val="15"/>
          <w:color w:val="auto"/>
        </w:rPr>
      </w:pPr>
    </w:p>
    <w:p>
      <w:pPr>
        <w:ind w:left="1648" w:hanging="550"/>
        <w:spacing w:after="0"/>
        <w:tabs>
          <w:tab w:leader="none" w:pos="1648" w:val="left"/>
        </w:tabs>
        <w:numPr>
          <w:ilvl w:val="1"/>
          <w:numId w:val="111"/>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111" w:name="page112"/>
    <w:bookmarkEnd w:id="1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SIGNATURES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Weatherford International plc</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 Irish public limited company)</w:t>
      </w:r>
    </w:p>
    <w:p>
      <w:pPr>
        <w:spacing w:after="0" w:line="183"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Lorzensaal Cham, Cham, Canton of Zug, Switzerland on December 14, 2018.</w:t>
      </w: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WEATHERFORD INTERNATIONAL PLC</w:t>
      </w:r>
    </w:p>
    <w:p>
      <w:pPr>
        <w:spacing w:after="0" w:line="198"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13335</wp:posOffset>
            </wp:positionV>
            <wp:extent cx="33286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9">
                      <a:extLst>
                        <a:ext uri="{28A0092B-C50C-407E-A947-70E740481C1C}"/>
                      </a:extLst>
                    </a:blip>
                    <a:srcRect/>
                    <a:stretch>
                      <a:fillRect/>
                    </a:stretch>
                  </pic:blipFill>
                  <pic:spPr bwMode="auto">
                    <a:xfrm>
                      <a:off x="0" y="0"/>
                      <a:ext cx="3328670" cy="698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Mark A. McCollum</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00"/>
          </w:cols>
          <w:pgMar w:left="240" w:top="129" w:right="35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98" w:lineRule="exact"/>
        <w:rPr>
          <w:sz w:val="20"/>
          <w:szCs w:val="20"/>
          <w:color w:val="auto"/>
        </w:rPr>
      </w:pPr>
    </w:p>
    <w:p>
      <w:pPr>
        <w:ind w:right="60" w:firstLine="549"/>
        <w:spacing w:after="0" w:line="279"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Christina M. Ibrahim and Christine M. Morrison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below on December 14,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2018.</w:t>
      </w:r>
    </w:p>
    <w:p>
      <w:pPr>
        <w:sectPr>
          <w:pgSz w:w="11900" w:h="16838" w:orient="portrait"/>
          <w:cols w:equalWidth="0" w:num="1">
            <w:col w:w="11420"/>
          </w:cols>
          <w:pgMar w:left="240" w:top="129" w:right="239" w:bottom="1440" w:gutter="0" w:footer="0" w:header="0"/>
        </w:sectPr>
      </w:pPr>
    </w:p>
    <w:p>
      <w:pPr>
        <w:spacing w:after="0" w:line="174" w:lineRule="exact"/>
        <w:rPr>
          <w:sz w:val="20"/>
          <w:szCs w:val="20"/>
          <w:color w:val="auto"/>
        </w:rPr>
      </w:pPr>
    </w:p>
    <w:p>
      <w:pPr>
        <w:ind w:left="250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351726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1">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17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2">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Mark A. McCollum</w:t>
      </w:r>
    </w:p>
    <w:p>
      <w:pPr>
        <w:spacing w:after="0" w:line="377"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3">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Christoph Bausch</w:t>
      </w:r>
    </w:p>
    <w:p>
      <w:pPr>
        <w:spacing w:after="0" w:line="377"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4">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Stuart Fraser</w:t>
      </w:r>
    </w:p>
    <w:p>
      <w:pPr>
        <w:spacing w:after="0" w:line="377" w:lineRule="exact"/>
        <w:rPr>
          <w:sz w:val="20"/>
          <w:szCs w:val="20"/>
          <w:color w:val="auto"/>
        </w:rPr>
      </w:pPr>
    </w:p>
    <w:p>
      <w:pPr>
        <w:jc w:val="center"/>
        <w:ind w:left="400"/>
        <w:spacing w:after="0"/>
        <w:rPr>
          <w:sz w:val="20"/>
          <w:szCs w:val="20"/>
          <w:color w:val="auto"/>
        </w:rPr>
      </w:pPr>
      <w:r>
        <w:rPr>
          <w:rFonts w:ascii="Arial" w:cs="Arial" w:eastAsia="Arial" w:hAnsi="Arial"/>
          <w:sz w:val="14"/>
          <w:szCs w:val="14"/>
          <w:color w:val="auto"/>
        </w:rPr>
        <w:t>/s/ 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51726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5">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14"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William E. Macaulay</w:t>
      </w: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Mohamed A.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6">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Mohamed A. Awad</w:t>
      </w: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Roxanne J. Decyk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7">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Roxanne J. Decyk</w:t>
      </w: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8">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John D. Gass</w:t>
      </w: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3"/>
          <w:szCs w:val="13"/>
          <w:color w:val="auto"/>
        </w:rPr>
        <w:t>/s/ Sir 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51726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9">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5"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Sir Emyr Jones Parry</w:t>
      </w: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0">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Francis S. Kalman</w:t>
      </w:r>
    </w:p>
    <w:p>
      <w:pPr>
        <w:spacing w:after="0" w:line="194"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/s/ David S.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1726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1">
                      <a:extLst>
                        <a:ext uri="{28A0092B-C50C-407E-A947-70E740481C1C}"/>
                      </a:extLst>
                    </a:blip>
                    <a:srcRect/>
                    <a:stretch>
                      <a:fillRect/>
                    </a:stretch>
                  </pic:blipFill>
                  <pic:spPr bwMode="auto">
                    <a:xfrm>
                      <a:off x="0" y="0"/>
                      <a:ext cx="3517265" cy="6985"/>
                    </a:xfrm>
                    <a:prstGeom prst="rect">
                      <a:avLst/>
                    </a:prstGeom>
                    <a:noFill/>
                  </pic:spPr>
                </pic:pic>
              </a:graphicData>
            </a:graphic>
          </wp:anchor>
        </w:drawing>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David S. King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680"/>
        <w:spacing w:after="0"/>
        <w:rPr>
          <w:sz w:val="20"/>
          <w:szCs w:val="20"/>
          <w:color w:val="auto"/>
        </w:rPr>
      </w:pP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5540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2">
                      <a:extLst>
                        <a:ext uri="{28A0092B-C50C-407E-A947-70E740481C1C}"/>
                      </a:extLst>
                    </a:blip>
                    <a:srcRect/>
                    <a:stretch>
                      <a:fillRect/>
                    </a:stretch>
                  </pic:blipFill>
                  <pic:spPr bwMode="auto">
                    <a:xfrm>
                      <a:off x="0" y="0"/>
                      <a:ext cx="3554095" cy="698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(Principal Executive Officer)</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Chief Financial Officer (Principal Financial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and Chief Accounting Officer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(Principal Accounting Officer)</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 Director</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192405</wp:posOffset>
            </wp:positionV>
            <wp:extent cx="7287260" cy="27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2">
            <w:col w:w="5120" w:space="720"/>
            <w:col w:w="5580"/>
          </w:cols>
          <w:pgMar w:left="240" w:top="129" w:right="239" w:bottom="1440" w:gutter="0" w:footer="0" w:header="0"/>
          <w:type w:val="continuous"/>
        </w:sectPr>
      </w:pPr>
    </w:p>
    <w:bookmarkStart w:id="113" w:name="page114"/>
    <w:bookmarkEnd w:id="113"/>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Angela A. Minas</w:t>
            </w:r>
          </w:p>
        </w:tc>
        <w:tc>
          <w:tcPr>
            <w:tcW w:w="5920" w:type="dxa"/>
            <w:vAlign w:val="bottom"/>
            <w:vMerge w:val="restart"/>
          </w:tcPr>
          <w:p>
            <w:pPr>
              <w:ind w:left="30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5"/>
                <w:szCs w:val="15"/>
                <w:color w:val="auto"/>
                <w:w w:val="95"/>
              </w:rPr>
              <w:t>Angela A. Minas</w:t>
            </w:r>
          </w:p>
        </w:tc>
        <w:tc>
          <w:tcPr>
            <w:tcW w:w="5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Dr. Guillermo Ortiz</w:t>
            </w:r>
          </w:p>
        </w:tc>
        <w:tc>
          <w:tcPr>
            <w:tcW w:w="5920" w:type="dxa"/>
            <w:vAlign w:val="bottom"/>
            <w:vMerge w:val="restart"/>
          </w:tcPr>
          <w:p>
            <w:pPr>
              <w:ind w:left="30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5"/>
                <w:szCs w:val="15"/>
                <w:color w:val="auto"/>
                <w:w w:val="96"/>
              </w:rPr>
              <w:t>Dr. Guillermo Ortiz</w:t>
            </w:r>
          </w:p>
        </w:tc>
        <w:tc>
          <w:tcPr>
            <w:tcW w:w="5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Christina M. Ibrahim</w:t>
            </w:r>
          </w:p>
        </w:tc>
        <w:tc>
          <w:tcPr>
            <w:tcW w:w="5920" w:type="dxa"/>
            <w:vAlign w:val="bottom"/>
            <w:vMerge w:val="restart"/>
          </w:tcPr>
          <w:p>
            <w:pPr>
              <w:ind w:left="300"/>
              <w:spacing w:after="0"/>
              <w:rPr>
                <w:sz w:val="20"/>
                <w:szCs w:val="20"/>
                <w:color w:val="auto"/>
              </w:rPr>
            </w:pPr>
            <w:r>
              <w:rPr>
                <w:rFonts w:ascii="Arial" w:cs="Arial" w:eastAsia="Arial" w:hAnsi="Arial"/>
                <w:sz w:val="15"/>
                <w:szCs w:val="15"/>
                <w:color w:val="auto"/>
              </w:rPr>
              <w:t>Authorized U.S. Representative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5"/>
                <w:szCs w:val="15"/>
                <w:color w:val="auto"/>
                <w:w w:val="95"/>
              </w:rPr>
              <w:t>Christina M. Ibrahim</w:t>
            </w:r>
          </w:p>
        </w:tc>
        <w:tc>
          <w:tcPr>
            <w:tcW w:w="5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14" w:name="page115"/>
    <w:bookmarkEnd w:id="114"/>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Weatherford International Ltd.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 Bermuda exempted company)</w:t>
      </w:r>
    </w:p>
    <w:p>
      <w:pPr>
        <w:spacing w:after="0" w:line="183" w:lineRule="exact"/>
        <w:rPr>
          <w:sz w:val="20"/>
          <w:szCs w:val="20"/>
          <w:color w:val="auto"/>
        </w:rPr>
      </w:pPr>
    </w:p>
    <w:p>
      <w:pPr>
        <w:ind w:left="20" w:right="320" w:firstLine="374"/>
        <w:spacing w:after="0" w:line="284"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Houston, Texas on December 14, 2018.</w:t>
      </w:r>
    </w:p>
    <w:p>
      <w:pPr>
        <w:spacing w:after="0" w:line="320"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WEATHERFORD INTERNATIONAL LTD.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20" w:type="dxa"/>
            <w:vAlign w:val="bottom"/>
          </w:tcPr>
          <w:p>
            <w:pPr>
              <w:ind w:left="5740"/>
              <w:spacing w:after="0"/>
              <w:rPr>
                <w:sz w:val="20"/>
                <w:szCs w:val="20"/>
                <w:color w:val="auto"/>
              </w:rPr>
            </w:pPr>
            <w:r>
              <w:rPr>
                <w:rFonts w:ascii="Arial" w:cs="Arial" w:eastAsia="Arial" w:hAnsi="Arial"/>
                <w:sz w:val="15"/>
                <w:szCs w:val="15"/>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4"/>
                <w:szCs w:val="14"/>
                <w:color w:val="auto"/>
              </w:rPr>
              <w:t>Stuart Fraser</w:t>
            </w:r>
          </w:p>
        </w:tc>
        <w:tc>
          <w:tcPr>
            <w:tcW w:w="20" w:type="dxa"/>
            <w:vAlign w:val="bottom"/>
          </w:tcPr>
          <w:p>
            <w:pPr>
              <w:spacing w:after="0"/>
              <w:rPr>
                <w:sz w:val="16"/>
                <w:szCs w:val="16"/>
                <w:color w:val="auto"/>
              </w:rPr>
            </w:pPr>
          </w:p>
        </w:tc>
      </w:tr>
      <w:tr>
        <w:trPr>
          <w:trHeight w:val="164"/>
        </w:trPr>
        <w:tc>
          <w:tcPr>
            <w:tcW w:w="6220" w:type="dxa"/>
            <w:vAlign w:val="bottom"/>
          </w:tcPr>
          <w:p>
            <w:pPr>
              <w:spacing w:after="0"/>
              <w:rPr>
                <w:sz w:val="14"/>
                <w:szCs w:val="14"/>
                <w:color w:val="auto"/>
              </w:rPr>
            </w:pPr>
          </w:p>
        </w:tc>
        <w:tc>
          <w:tcPr>
            <w:tcW w:w="5240" w:type="dxa"/>
            <w:vAlign w:val="bottom"/>
          </w:tcPr>
          <w:p>
            <w:pPr>
              <w:spacing w:after="0" w:line="164" w:lineRule="exact"/>
              <w:rPr>
                <w:sz w:val="20"/>
                <w:szCs w:val="20"/>
                <w:color w:val="auto"/>
              </w:rPr>
            </w:pPr>
            <w:r>
              <w:rPr>
                <w:rFonts w:ascii="Arial" w:cs="Arial" w:eastAsia="Arial" w:hAnsi="Arial"/>
                <w:sz w:val="15"/>
                <w:szCs w:val="15"/>
                <w:color w:val="auto"/>
              </w:rPr>
              <w:t>Stuart Fraser</w:t>
            </w:r>
          </w:p>
        </w:tc>
        <w:tc>
          <w:tcPr>
            <w:tcW w:w="20" w:type="dxa"/>
            <w:vAlign w:val="bottom"/>
          </w:tcPr>
          <w:p>
            <w:pPr>
              <w:spacing w:after="0"/>
              <w:rPr>
                <w:sz w:val="14"/>
                <w:szCs w:val="14"/>
                <w:color w:val="auto"/>
              </w:rPr>
            </w:pPr>
          </w:p>
        </w:tc>
      </w:tr>
      <w:tr>
        <w:trPr>
          <w:trHeight w:val="194"/>
        </w:trPr>
        <w:tc>
          <w:tcPr>
            <w:tcW w:w="622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President and Chief Financial Officer</w:t>
            </w:r>
          </w:p>
        </w:tc>
        <w:tc>
          <w:tcPr>
            <w:tcW w:w="20" w:type="dxa"/>
            <w:vAlign w:val="bottom"/>
          </w:tcPr>
          <w:p>
            <w:pPr>
              <w:spacing w:after="0"/>
              <w:rPr>
                <w:sz w:val="16"/>
                <w:szCs w:val="16"/>
                <w:color w:val="auto"/>
              </w:rPr>
            </w:pPr>
          </w:p>
        </w:tc>
      </w:tr>
      <w:tr>
        <w:trPr>
          <w:trHeight w:val="293"/>
        </w:trPr>
        <w:tc>
          <w:tcPr>
            <w:tcW w:w="62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15" w:name="page116"/>
    <w:bookmarkEnd w:id="115"/>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POWER OF ATTORNEY</w:t>
      </w:r>
    </w:p>
    <w:p>
      <w:pPr>
        <w:spacing w:after="0" w:line="198" w:lineRule="exact"/>
        <w:rPr>
          <w:sz w:val="20"/>
          <w:szCs w:val="20"/>
          <w:color w:val="auto"/>
        </w:rPr>
      </w:pPr>
    </w:p>
    <w:p>
      <w:pPr>
        <w:ind w:left="20" w:right="60" w:firstLine="374"/>
        <w:spacing w:after="0" w:line="259"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Christina M. Ibrahim and Christine M. Morrison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below on December 14,</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Signature</w:t>
            </w:r>
          </w:p>
        </w:tc>
        <w:tc>
          <w:tcPr>
            <w:tcW w:w="220" w:type="dxa"/>
            <w:vAlign w:val="bottom"/>
          </w:tcPr>
          <w:p>
            <w:pPr>
              <w:spacing w:after="0"/>
              <w:rPr>
                <w:sz w:val="12"/>
                <w:szCs w:val="12"/>
                <w:color w:val="auto"/>
              </w:rPr>
            </w:pPr>
          </w:p>
        </w:tc>
        <w:tc>
          <w:tcPr>
            <w:tcW w:w="5600" w:type="dxa"/>
            <w:vAlign w:val="bottom"/>
            <w:tcBorders>
              <w:bottom w:val="single" w:sz="8" w:color="auto"/>
            </w:tcBorders>
          </w:tcPr>
          <w:p>
            <w:pPr>
              <w:ind w:left="268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/s/ Stuart Fraser</w:t>
            </w:r>
          </w:p>
        </w:tc>
        <w:tc>
          <w:tcPr>
            <w:tcW w:w="5820" w:type="dxa"/>
            <w:vAlign w:val="bottom"/>
            <w:gridSpan w:val="2"/>
            <w:vMerge w:val="restart"/>
          </w:tcPr>
          <w:p>
            <w:pPr>
              <w:ind w:left="220"/>
              <w:spacing w:after="0"/>
              <w:rPr>
                <w:sz w:val="20"/>
                <w:szCs w:val="20"/>
                <w:color w:val="auto"/>
              </w:rPr>
            </w:pPr>
            <w:r>
              <w:rPr>
                <w:rFonts w:ascii="Arial" w:cs="Arial" w:eastAsia="Arial" w:hAnsi="Arial"/>
                <w:sz w:val="15"/>
                <w:szCs w:val="15"/>
                <w:color w:val="auto"/>
              </w:rPr>
              <w:t>President and Chief Financial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20" w:type="dxa"/>
            <w:vAlign w:val="bottom"/>
          </w:tcPr>
          <w:p>
            <w:pPr>
              <w:jc w:val="center"/>
              <w:spacing w:after="0" w:line="153" w:lineRule="exact"/>
              <w:rPr>
                <w:sz w:val="20"/>
                <w:szCs w:val="20"/>
                <w:color w:val="auto"/>
              </w:rPr>
            </w:pPr>
            <w:r>
              <w:rPr>
                <w:rFonts w:ascii="Arial" w:cs="Arial" w:eastAsia="Arial" w:hAnsi="Arial"/>
                <w:sz w:val="15"/>
                <w:szCs w:val="15"/>
                <w:color w:val="auto"/>
                <w:w w:val="91"/>
              </w:rPr>
              <w:t>Stuart Fraser</w:t>
            </w:r>
          </w:p>
        </w:tc>
        <w:tc>
          <w:tcPr>
            <w:tcW w:w="58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Arial" w:cs="Arial" w:eastAsia="Arial" w:hAnsi="Arial"/>
                <w:sz w:val="15"/>
                <w:szCs w:val="15"/>
                <w:color w:val="auto"/>
                <w:w w:val="96"/>
              </w:rPr>
              <w:t>(Principal Executive Officer, Principal Financial Officer and Principal Accounting Officer)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Christina M. Ibrahim</w:t>
            </w:r>
          </w:p>
        </w:tc>
        <w:tc>
          <w:tcPr>
            <w:tcW w:w="5820" w:type="dxa"/>
            <w:vAlign w:val="bottom"/>
            <w:gridSpan w:val="2"/>
            <w:vMerge w:val="restart"/>
          </w:tcPr>
          <w:p>
            <w:pPr>
              <w:ind w:left="220"/>
              <w:spacing w:after="0"/>
              <w:rPr>
                <w:sz w:val="20"/>
                <w:szCs w:val="20"/>
                <w:color w:val="auto"/>
              </w:rPr>
            </w:pPr>
            <w:r>
              <w:rPr>
                <w:rFonts w:ascii="Arial" w:cs="Arial" w:eastAsia="Arial" w:hAnsi="Arial"/>
                <w:sz w:val="15"/>
                <w:szCs w:val="15"/>
                <w:color w:val="auto"/>
              </w:rPr>
              <w:t>Authorized U.S. Representative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5"/>
              </w:rPr>
              <w:t>Christina M. Ibrahim</w:t>
            </w:r>
          </w:p>
        </w:tc>
        <w:tc>
          <w:tcPr>
            <w:tcW w:w="5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SIGNATURES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Weatherford International, LLC</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Delaware limited liability company)</w:t>
      </w:r>
    </w:p>
    <w:p>
      <w:pPr>
        <w:spacing w:after="0" w:line="183"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 xml:space="preserve">Pursuant to the requirements of the Securities Act of 1933, the registrant has duly caused this registration statement to be signed on its behalf by the undersigned, thereunto duly authorized, in Houston, Texas on </w:t>
      </w:r>
      <w:r>
        <w:rPr>
          <w:rFonts w:ascii="Arial" w:cs="Arial" w:eastAsia="Arial" w:hAnsi="Arial"/>
          <w:sz w:val="14"/>
          <w:szCs w:val="14"/>
          <w:color w:val="auto"/>
        </w:rPr>
        <w:t>December 14</w:t>
      </w:r>
      <w:r>
        <w:rPr>
          <w:rFonts w:ascii="Arial" w:cs="Arial" w:eastAsia="Arial" w:hAnsi="Arial"/>
          <w:sz w:val="15"/>
          <w:szCs w:val="15"/>
          <w:color w:val="auto"/>
        </w:rPr>
        <w:t>, 2018.</w:t>
      </w: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WEATHERFORD INTERNATIONAL, LLC</w:t>
      </w:r>
    </w:p>
    <w:p>
      <w:pPr>
        <w:spacing w:after="0" w:line="198"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 xml:space="preserve">/s/ </w:t>
      </w:r>
      <w:r>
        <w:rPr>
          <w:rFonts w:ascii="Arial" w:cs="Arial" w:eastAsia="Arial" w:hAnsi="Arial"/>
          <w:sz w:val="14"/>
          <w:szCs w:val="14"/>
          <w:color w:val="auto"/>
        </w:rPr>
        <w:t>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13335</wp:posOffset>
            </wp:positionV>
            <wp:extent cx="332867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0">
                      <a:extLst>
                        <a:ext uri="{28A0092B-C50C-407E-A947-70E740481C1C}"/>
                      </a:extLst>
                    </a:blip>
                    <a:srcRect/>
                    <a:stretch>
                      <a:fillRect/>
                    </a:stretch>
                  </pic:blipFill>
                  <pic:spPr bwMode="auto">
                    <a:xfrm>
                      <a:off x="0" y="0"/>
                      <a:ext cx="3328670" cy="6985"/>
                    </a:xfrm>
                    <a:prstGeom prst="rect">
                      <a:avLst/>
                    </a:prstGeom>
                    <a:noFill/>
                  </pic:spPr>
                </pic:pic>
              </a:graphicData>
            </a:graphic>
          </wp:anchor>
        </w:drawing>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E. Kyle Chapman</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00"/>
          </w:cols>
          <w:pgMar w:left="240" w:top="129" w:right="359" w:bottom="1440" w:gutter="0" w:footer="0" w:header="0"/>
        </w:sectPr>
      </w:pPr>
    </w:p>
    <w:bookmarkStart w:id="117" w:name="page118"/>
    <w:bookmarkEnd w:id="1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POWER OF ATTORNEY</w:t>
      </w:r>
    </w:p>
    <w:p>
      <w:pPr>
        <w:spacing w:after="0" w:line="198" w:lineRule="exact"/>
        <w:rPr>
          <w:sz w:val="20"/>
          <w:szCs w:val="20"/>
          <w:color w:val="auto"/>
        </w:rPr>
      </w:pPr>
    </w:p>
    <w:p>
      <w:pPr>
        <w:ind w:firstLine="549"/>
        <w:spacing w:after="0" w:line="279"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Christina M. Ibrahim and Christine M. Morrison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51"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 xml:space="preserve">Pursuant to the requirements of the Securities Act of 1933, as amended, this registration statement has been signed by the following persons in the capacities below on </w:t>
      </w:r>
      <w:r>
        <w:rPr>
          <w:rFonts w:ascii="Arial" w:cs="Arial" w:eastAsia="Arial" w:hAnsi="Arial"/>
          <w:sz w:val="14"/>
          <w:szCs w:val="14"/>
          <w:color w:val="auto"/>
        </w:rPr>
        <w:t>December</w:t>
      </w:r>
      <w:r>
        <w:rPr>
          <w:rFonts w:ascii="Arial" w:cs="Arial" w:eastAsia="Arial" w:hAnsi="Arial"/>
          <w:sz w:val="15"/>
          <w:szCs w:val="15"/>
          <w:color w:val="auto"/>
        </w:rPr>
        <w:t xml:space="preserve"> </w:t>
      </w:r>
      <w:r>
        <w:rPr>
          <w:rFonts w:ascii="Arial" w:cs="Arial" w:eastAsia="Arial" w:hAnsi="Arial"/>
          <w:sz w:val="14"/>
          <w:szCs w:val="14"/>
          <w:color w:val="auto"/>
        </w:rPr>
        <w:t>14</w:t>
      </w:r>
      <w:r>
        <w:rPr>
          <w:rFonts w:ascii="Arial" w:cs="Arial" w:eastAsia="Arial" w:hAnsi="Arial"/>
          <w:sz w:val="15"/>
          <w:szCs w:val="15"/>
          <w:color w:val="auto"/>
        </w:rPr>
        <w:t>, 2018.</w:t>
      </w:r>
    </w:p>
    <w:p>
      <w:pPr>
        <w:spacing w:after="0" w:line="132" w:lineRule="exact"/>
        <w:rPr>
          <w:sz w:val="20"/>
          <w:szCs w:val="20"/>
          <w:color w:val="auto"/>
        </w:rPr>
      </w:pPr>
    </w:p>
    <w:p>
      <w:pPr>
        <w:ind w:left="2540"/>
        <w:spacing w:after="0"/>
        <w:tabs>
          <w:tab w:leader="none" w:pos="850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26757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72" w:lineRule="exact"/>
        <w:rPr>
          <w:sz w:val="20"/>
          <w:szCs w:val="20"/>
          <w:color w:val="auto"/>
        </w:rPr>
      </w:pPr>
    </w:p>
    <w:p>
      <w:pPr>
        <w:ind w:left="2160"/>
        <w:spacing w:after="0"/>
        <w:rPr>
          <w:sz w:val="20"/>
          <w:szCs w:val="20"/>
          <w:color w:val="auto"/>
        </w:rPr>
      </w:pPr>
      <w:r>
        <w:rPr>
          <w:rFonts w:ascii="Arial" w:cs="Arial" w:eastAsia="Arial" w:hAnsi="Arial"/>
          <w:sz w:val="15"/>
          <w:szCs w:val="15"/>
          <w:color w:val="auto"/>
        </w:rPr>
        <w:t>/s/ 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6108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3">
                      <a:extLst>
                        <a:ext uri="{28A0092B-C50C-407E-A947-70E740481C1C}"/>
                      </a:extLst>
                    </a:blip>
                    <a:srcRect/>
                    <a:stretch>
                      <a:fillRect/>
                    </a:stretch>
                  </pic:blipFill>
                  <pic:spPr bwMode="auto">
                    <a:xfrm>
                      <a:off x="0" y="0"/>
                      <a:ext cx="3561080" cy="6985"/>
                    </a:xfrm>
                    <a:prstGeom prst="rect">
                      <a:avLst/>
                    </a:prstGeom>
                    <a:noFill/>
                  </pic:spPr>
                </pic:pic>
              </a:graphicData>
            </a:graphic>
          </wp:anchor>
        </w:drawing>
      </w:r>
    </w:p>
    <w:p>
      <w:pPr>
        <w:spacing w:after="0" w:line="1" w:lineRule="exact"/>
        <w:rPr>
          <w:sz w:val="20"/>
          <w:szCs w:val="20"/>
          <w:color w:val="auto"/>
        </w:rPr>
      </w:pPr>
    </w:p>
    <w:p>
      <w:pPr>
        <w:ind w:left="2260"/>
        <w:spacing w:after="0"/>
        <w:tabs>
          <w:tab w:leader="none" w:pos="5800" w:val="left"/>
        </w:tabs>
        <w:rPr>
          <w:sz w:val="20"/>
          <w:szCs w:val="20"/>
          <w:color w:val="auto"/>
        </w:rPr>
      </w:pPr>
      <w:r>
        <w:rPr>
          <w:rFonts w:ascii="Arial" w:cs="Arial" w:eastAsia="Arial" w:hAnsi="Arial"/>
          <w:sz w:val="15"/>
          <w:szCs w:val="15"/>
          <w:color w:val="auto"/>
        </w:rPr>
        <w:t>E. Kyle Chapman</w:t>
      </w:r>
      <w:r>
        <w:rPr>
          <w:sz w:val="20"/>
          <w:szCs w:val="20"/>
          <w:color w:val="auto"/>
        </w:rPr>
        <w:tab/>
      </w:r>
      <w:r>
        <w:rPr>
          <w:rFonts w:ascii="Arial" w:cs="Arial" w:eastAsia="Arial" w:hAnsi="Arial"/>
          <w:sz w:val="13"/>
          <w:szCs w:val="13"/>
          <w:color w:val="auto"/>
        </w:rPr>
        <w:t>President</w:t>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(Principal Executive Officer)</w:t>
      </w:r>
    </w:p>
    <w:p>
      <w:pPr>
        <w:spacing w:after="0" w:line="183"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/s/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6108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4">
                      <a:extLst>
                        <a:ext uri="{28A0092B-C50C-407E-A947-70E740481C1C}"/>
                      </a:extLst>
                    </a:blip>
                    <a:srcRect/>
                    <a:stretch>
                      <a:fillRect/>
                    </a:stretch>
                  </pic:blipFill>
                  <pic:spPr bwMode="auto">
                    <a:xfrm>
                      <a:off x="0" y="0"/>
                      <a:ext cx="3561080" cy="6985"/>
                    </a:xfrm>
                    <a:prstGeom prst="rect">
                      <a:avLst/>
                    </a:prstGeom>
                    <a:noFill/>
                  </pic:spPr>
                </pic:pic>
              </a:graphicData>
            </a:graphic>
          </wp:anchor>
        </w:drawing>
      </w:r>
    </w:p>
    <w:p>
      <w:pPr>
        <w:spacing w:after="0" w:line="1" w:lineRule="exact"/>
        <w:rPr>
          <w:sz w:val="20"/>
          <w:szCs w:val="20"/>
          <w:color w:val="auto"/>
        </w:rPr>
      </w:pPr>
    </w:p>
    <w:p>
      <w:pPr>
        <w:ind w:left="2400"/>
        <w:spacing w:after="0"/>
        <w:tabs>
          <w:tab w:leader="none" w:pos="5800" w:val="left"/>
        </w:tabs>
        <w:rPr>
          <w:sz w:val="20"/>
          <w:szCs w:val="20"/>
          <w:color w:val="auto"/>
        </w:rPr>
      </w:pPr>
      <w:r>
        <w:rPr>
          <w:rFonts w:ascii="Arial" w:cs="Arial" w:eastAsia="Arial" w:hAnsi="Arial"/>
          <w:sz w:val="15"/>
          <w:szCs w:val="15"/>
          <w:color w:val="auto"/>
        </w:rPr>
        <w:t>Stuart Fraser</w:t>
      </w:r>
      <w:r>
        <w:rPr>
          <w:sz w:val="20"/>
          <w:szCs w:val="20"/>
          <w:color w:val="auto"/>
        </w:rPr>
        <w:tab/>
      </w:r>
      <w:r>
        <w:rPr>
          <w:rFonts w:ascii="Arial" w:cs="Arial" w:eastAsia="Arial" w:hAnsi="Arial"/>
          <w:sz w:val="14"/>
          <w:szCs w:val="14"/>
          <w:color w:val="auto"/>
        </w:rPr>
        <w:t>Chief Financial Officer</w:t>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(Principal Financial Officer and Principal</w:t>
      </w:r>
    </w:p>
    <w:p>
      <w:pPr>
        <w:spacing w:after="0" w:line="11"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129"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8"/>
        </w:trPr>
        <w:tc>
          <w:tcPr>
            <w:tcW w:w="10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660" w:type="dxa"/>
            <w:vAlign w:val="bottom"/>
            <w:gridSpan w:val="2"/>
          </w:tcPr>
          <w:p>
            <w:pPr>
              <w:ind w:left="1940"/>
              <w:spacing w:after="0"/>
              <w:rPr>
                <w:sz w:val="20"/>
                <w:szCs w:val="20"/>
                <w:color w:val="auto"/>
              </w:rPr>
            </w:pPr>
            <w:r>
              <w:rPr>
                <w:rFonts w:ascii="Arial" w:cs="Arial" w:eastAsia="Arial" w:hAnsi="Arial"/>
                <w:sz w:val="15"/>
                <w:szCs w:val="15"/>
                <w:b w:val="1"/>
                <w:bCs w:val="1"/>
                <w:color w:val="auto"/>
                <w:w w:val="93"/>
              </w:rPr>
              <w:t>Exhibit 5.1</w:t>
            </w:r>
          </w:p>
        </w:tc>
      </w:tr>
      <w:tr>
        <w:trPr>
          <w:trHeight w:val="355"/>
        </w:trPr>
        <w:tc>
          <w:tcPr>
            <w:tcW w:w="10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80" w:type="dxa"/>
            <w:vAlign w:val="bottom"/>
            <w:gridSpan w:val="3"/>
          </w:tcPr>
          <w:p>
            <w:pPr>
              <w:ind w:left="2280"/>
              <w:spacing w:after="0"/>
              <w:rPr>
                <w:sz w:val="20"/>
                <w:szCs w:val="20"/>
                <w:color w:val="auto"/>
              </w:rPr>
            </w:pPr>
            <w:r>
              <w:rPr>
                <w:rFonts w:ascii="Arial" w:cs="Arial" w:eastAsia="Arial" w:hAnsi="Arial"/>
                <w:sz w:val="15"/>
                <w:szCs w:val="15"/>
                <w:color w:val="auto"/>
              </w:rPr>
              <w:t>811 Main Street, Suite 3700</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Houston, TX 77002</w:t>
            </w: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w w:val="92"/>
              </w:rPr>
              <w:t>Tel: +1.713.546.5400</w:t>
            </w:r>
          </w:p>
        </w:tc>
        <w:tc>
          <w:tcPr>
            <w:tcW w:w="2660" w:type="dxa"/>
            <w:vAlign w:val="bottom"/>
            <w:gridSpan w:val="2"/>
          </w:tcPr>
          <w:p>
            <w:pPr>
              <w:ind w:left="40"/>
              <w:spacing w:after="0"/>
              <w:rPr>
                <w:sz w:val="20"/>
                <w:szCs w:val="20"/>
                <w:color w:val="auto"/>
              </w:rPr>
            </w:pPr>
            <w:r>
              <w:rPr>
                <w:rFonts w:ascii="Arial" w:cs="Arial" w:eastAsia="Arial" w:hAnsi="Arial"/>
                <w:sz w:val="15"/>
                <w:szCs w:val="15"/>
                <w:color w:val="auto"/>
              </w:rPr>
              <w:t>Fax: +1.713.546.5401</w:t>
            </w:r>
          </w:p>
        </w:tc>
      </w:tr>
      <w:tr>
        <w:trPr>
          <w:trHeight w:val="194"/>
        </w:trPr>
        <w:tc>
          <w:tcPr>
            <w:tcW w:w="1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www.lw.com</w:t>
            </w: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55"/>
        </w:trPr>
        <w:tc>
          <w:tcPr>
            <w:tcW w:w="10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80" w:type="dxa"/>
            <w:vAlign w:val="bottom"/>
            <w:gridSpan w:val="3"/>
          </w:tcPr>
          <w:p>
            <w:pPr>
              <w:ind w:left="2280"/>
              <w:spacing w:after="0"/>
              <w:rPr>
                <w:sz w:val="20"/>
                <w:szCs w:val="20"/>
                <w:color w:val="auto"/>
              </w:rPr>
            </w:pPr>
            <w:r>
              <w:rPr>
                <w:rFonts w:ascii="Arial" w:cs="Arial" w:eastAsia="Arial" w:hAnsi="Arial"/>
                <w:sz w:val="15"/>
                <w:szCs w:val="15"/>
                <w:color w:val="auto"/>
              </w:rPr>
              <w:t>FIRM / AFFILIATE OFFICES</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Beijing</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Moscow</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Boston</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Munich</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Brussels</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New York</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Century City</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Orange County</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Chicago</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Paris</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Dubai</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Riyadh</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Düsseldorf</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Rome</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Frankfurt</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San Diego</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Hamburg</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San Francisco</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Hong Kong</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Seoul</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Houston</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Shanghai</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London</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Silicon Valley</w:t>
            </w:r>
          </w:p>
        </w:tc>
      </w:tr>
      <w:tr>
        <w:trPr>
          <w:trHeight w:val="183"/>
        </w:trPr>
        <w:tc>
          <w:tcPr>
            <w:tcW w:w="5160" w:type="dxa"/>
            <w:vAlign w:val="bottom"/>
            <w:gridSpan w:val="2"/>
          </w:tcPr>
          <w:p>
            <w:pPr>
              <w:spacing w:after="0"/>
              <w:rPr>
                <w:sz w:val="20"/>
                <w:szCs w:val="20"/>
                <w:color w:val="auto"/>
              </w:rPr>
            </w:pPr>
            <w:r>
              <w:rPr>
                <w:rFonts w:ascii="Arial" w:cs="Arial" w:eastAsia="Arial" w:hAnsi="Arial"/>
                <w:sz w:val="15"/>
                <w:szCs w:val="15"/>
                <w:color w:val="auto"/>
              </w:rPr>
              <w:t>December 14, 2018</w:t>
            </w:r>
          </w:p>
        </w:tc>
        <w:tc>
          <w:tcPr>
            <w:tcW w:w="3620" w:type="dxa"/>
            <w:vAlign w:val="bottom"/>
          </w:tcPr>
          <w:p>
            <w:pPr>
              <w:ind w:left="2280"/>
              <w:spacing w:after="0"/>
              <w:rPr>
                <w:sz w:val="20"/>
                <w:szCs w:val="20"/>
                <w:color w:val="auto"/>
              </w:rPr>
            </w:pPr>
            <w:r>
              <w:rPr>
                <w:rFonts w:ascii="Arial" w:cs="Arial" w:eastAsia="Arial" w:hAnsi="Arial"/>
                <w:sz w:val="15"/>
                <w:szCs w:val="15"/>
                <w:color w:val="auto"/>
              </w:rPr>
              <w:t>Los Angeles</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Singapore</w:t>
            </w:r>
          </w:p>
        </w:tc>
      </w:tr>
      <w:tr>
        <w:trPr>
          <w:trHeight w:val="183"/>
        </w:trPr>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Madrid</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Tokyo</w:t>
            </w:r>
          </w:p>
        </w:tc>
      </w:tr>
      <w:tr>
        <w:trPr>
          <w:trHeight w:val="194"/>
        </w:trPr>
        <w:tc>
          <w:tcPr>
            <w:tcW w:w="1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620" w:type="dxa"/>
            <w:vAlign w:val="bottom"/>
          </w:tcPr>
          <w:p>
            <w:pPr>
              <w:ind w:left="2280"/>
              <w:spacing w:after="0"/>
              <w:rPr>
                <w:sz w:val="20"/>
                <w:szCs w:val="20"/>
                <w:color w:val="auto"/>
              </w:rPr>
            </w:pPr>
            <w:r>
              <w:rPr>
                <w:rFonts w:ascii="Arial" w:cs="Arial" w:eastAsia="Arial" w:hAnsi="Arial"/>
                <w:sz w:val="15"/>
                <w:szCs w:val="15"/>
                <w:color w:val="auto"/>
              </w:rPr>
              <w:t>Milan</w:t>
            </w:r>
          </w:p>
        </w:tc>
        <w:tc>
          <w:tcPr>
            <w:tcW w:w="2660" w:type="dxa"/>
            <w:vAlign w:val="bottom"/>
            <w:gridSpan w:val="2"/>
          </w:tcPr>
          <w:p>
            <w:pPr>
              <w:ind w:left="360"/>
              <w:spacing w:after="0"/>
              <w:rPr>
                <w:sz w:val="20"/>
                <w:szCs w:val="20"/>
                <w:color w:val="auto"/>
              </w:rPr>
            </w:pPr>
            <w:r>
              <w:rPr>
                <w:rFonts w:ascii="Arial" w:cs="Arial" w:eastAsia="Arial" w:hAnsi="Arial"/>
                <w:sz w:val="15"/>
                <w:szCs w:val="15"/>
                <w:color w:val="auto"/>
              </w:rPr>
              <w:t>Washington, D.C.</w:t>
            </w:r>
          </w:p>
        </w:tc>
      </w:tr>
      <w:tr>
        <w:trPr>
          <w:trHeight w:val="355"/>
        </w:trPr>
        <w:tc>
          <w:tcPr>
            <w:tcW w:w="5160" w:type="dxa"/>
            <w:vAlign w:val="bottom"/>
            <w:gridSpan w:val="2"/>
          </w:tcPr>
          <w:p>
            <w:pPr>
              <w:spacing w:after="0"/>
              <w:rPr>
                <w:sz w:val="20"/>
                <w:szCs w:val="20"/>
                <w:color w:val="auto"/>
              </w:rPr>
            </w:pPr>
            <w:r>
              <w:rPr>
                <w:rFonts w:ascii="Arial" w:cs="Arial" w:eastAsia="Arial" w:hAnsi="Arial"/>
                <w:sz w:val="15"/>
                <w:szCs w:val="15"/>
                <w:b w:val="1"/>
                <w:bCs w:val="1"/>
                <w:color w:val="auto"/>
              </w:rPr>
              <w:t>WEATHERFORD INTERNATIONAL PLC</w:t>
            </w:r>
          </w:p>
        </w:tc>
        <w:tc>
          <w:tcPr>
            <w:tcW w:w="3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3"/>
        </w:trPr>
        <w:tc>
          <w:tcPr>
            <w:tcW w:w="1080" w:type="dxa"/>
            <w:vAlign w:val="bottom"/>
          </w:tcPr>
          <w:p>
            <w:pPr>
              <w:spacing w:after="0"/>
              <w:rPr>
                <w:sz w:val="20"/>
                <w:szCs w:val="20"/>
                <w:color w:val="auto"/>
              </w:rPr>
            </w:pPr>
            <w:r>
              <w:rPr>
                <w:rFonts w:ascii="Arial" w:cs="Arial" w:eastAsia="Arial" w:hAnsi="Arial"/>
                <w:sz w:val="15"/>
                <w:szCs w:val="15"/>
                <w:color w:val="auto"/>
              </w:rPr>
              <w:t>Weststrasse 1</w:t>
            </w:r>
          </w:p>
        </w:tc>
        <w:tc>
          <w:tcPr>
            <w:tcW w:w="4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4"/>
        </w:trPr>
        <w:tc>
          <w:tcPr>
            <w:tcW w:w="5160" w:type="dxa"/>
            <w:vAlign w:val="bottom"/>
            <w:gridSpan w:val="2"/>
          </w:tcPr>
          <w:p>
            <w:pPr>
              <w:spacing w:after="0"/>
              <w:rPr>
                <w:sz w:val="20"/>
                <w:szCs w:val="20"/>
                <w:color w:val="auto"/>
              </w:rPr>
            </w:pPr>
            <w:r>
              <w:rPr>
                <w:rFonts w:ascii="Arial" w:cs="Arial" w:eastAsia="Arial" w:hAnsi="Arial"/>
                <w:sz w:val="15"/>
                <w:szCs w:val="15"/>
                <w:color w:val="auto"/>
              </w:rPr>
              <w:t>6340 Baar, Switzerland</w:t>
            </w:r>
          </w:p>
        </w:tc>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32"/>
        </w:trPr>
        <w:tc>
          <w:tcPr>
            <w:tcW w:w="1080" w:type="dxa"/>
            <w:vAlign w:val="bottom"/>
          </w:tcPr>
          <w:p>
            <w:pPr>
              <w:ind w:left="540"/>
              <w:spacing w:after="0"/>
              <w:rPr>
                <w:sz w:val="20"/>
                <w:szCs w:val="20"/>
                <w:color w:val="auto"/>
              </w:rPr>
            </w:pPr>
            <w:r>
              <w:rPr>
                <w:rFonts w:ascii="Arial" w:cs="Arial" w:eastAsia="Arial" w:hAnsi="Arial"/>
                <w:sz w:val="15"/>
                <w:szCs w:val="15"/>
                <w:color w:val="auto"/>
              </w:rPr>
              <w:t>Re:</w:t>
            </w:r>
          </w:p>
        </w:tc>
        <w:tc>
          <w:tcPr>
            <w:tcW w:w="101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w w:val="92"/>
              </w:rPr>
              <w:t xml:space="preserve">Registration Statement on Form S-4 filed December 14, 2018: Exchange Offer for up to </w:t>
            </w:r>
            <w:r>
              <w:rPr>
                <w:rFonts w:ascii="Arial" w:cs="Arial" w:eastAsia="Arial" w:hAnsi="Arial"/>
                <w:sz w:val="15"/>
                <w:szCs w:val="15"/>
                <w:u w:val="single" w:color="auto"/>
                <w:color w:val="auto"/>
                <w:w w:val="92"/>
              </w:rPr>
              <w:t>$</w:t>
            </w:r>
            <w:r>
              <w:rPr>
                <w:rFonts w:ascii="Arial" w:cs="Arial" w:eastAsia="Arial" w:hAnsi="Arial"/>
                <w:sz w:val="15"/>
                <w:szCs w:val="15"/>
                <w:color w:val="auto"/>
                <w:w w:val="92"/>
              </w:rPr>
              <w:t>600,000,000 Aggregate Principal Amount of 9.875% Senior Notes due 2025</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-2543175</wp:posOffset>
            </wp:positionV>
            <wp:extent cx="1715135" cy="101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6">
                      <a:extLst>
                        <a:ext uri="{28A0092B-C50C-407E-A947-70E740481C1C}"/>
                      </a:extLst>
                    </a:blip>
                    <a:srcRect/>
                    <a:stretch>
                      <a:fillRect/>
                    </a:stretch>
                  </pic:blipFill>
                  <pic:spPr bwMode="auto">
                    <a:xfrm>
                      <a:off x="0" y="0"/>
                      <a:ext cx="1715135" cy="10160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4" w:lineRule="exact"/>
        <w:rPr>
          <w:sz w:val="20"/>
          <w:szCs w:val="20"/>
          <w:color w:val="auto"/>
        </w:rPr>
      </w:pPr>
    </w:p>
    <w:p>
      <w:pPr>
        <w:ind w:right="20" w:firstLine="549"/>
        <w:spacing w:after="0" w:line="277" w:lineRule="auto"/>
        <w:rPr>
          <w:sz w:val="20"/>
          <w:szCs w:val="20"/>
          <w:color w:val="auto"/>
        </w:rPr>
      </w:pPr>
      <w:r>
        <w:rPr>
          <w:rFonts w:ascii="Arial" w:cs="Arial" w:eastAsia="Arial" w:hAnsi="Arial"/>
          <w:sz w:val="14"/>
          <w:szCs w:val="14"/>
          <w:color w:val="auto"/>
        </w:rPr>
        <w:t>We have acted as special counsel to Weatherford International plc, an Irish public limited company (“</w:t>
      </w:r>
      <w:r>
        <w:rPr>
          <w:rFonts w:ascii="Arial" w:cs="Arial" w:eastAsia="Arial" w:hAnsi="Arial"/>
          <w:sz w:val="14"/>
          <w:szCs w:val="14"/>
          <w:b w:val="1"/>
          <w:bCs w:val="1"/>
          <w:i w:val="1"/>
          <w:iCs w:val="1"/>
          <w:color w:val="auto"/>
        </w:rPr>
        <w:t>Weatherford Ireland</w:t>
      </w:r>
      <w:r>
        <w:rPr>
          <w:rFonts w:ascii="Arial" w:cs="Arial" w:eastAsia="Arial" w:hAnsi="Arial"/>
          <w:sz w:val="14"/>
          <w:szCs w:val="14"/>
          <w:color w:val="auto"/>
        </w:rPr>
        <w:t>”), in connection with the offer to exchange up to $600,000,000 aggregate principal amount of 9.875% Senior Notes due 2025 (the “</w:t>
      </w:r>
      <w:r>
        <w:rPr>
          <w:rFonts w:ascii="Arial" w:cs="Arial" w:eastAsia="Arial" w:hAnsi="Arial"/>
          <w:sz w:val="14"/>
          <w:szCs w:val="14"/>
          <w:b w:val="1"/>
          <w:bCs w:val="1"/>
          <w:i w:val="1"/>
          <w:iCs w:val="1"/>
          <w:color w:val="auto"/>
        </w:rPr>
        <w:t>Exchange Notes</w:t>
      </w:r>
      <w:r>
        <w:rPr>
          <w:rFonts w:ascii="Arial" w:cs="Arial" w:eastAsia="Arial" w:hAnsi="Arial"/>
          <w:sz w:val="14"/>
          <w:szCs w:val="14"/>
          <w:color w:val="auto"/>
        </w:rPr>
        <w:t>”) of Weatherford International, LLC, a Delaware limited liability company and an indirect, wholly owned subsidiary of Weatherford Ireland (“</w:t>
      </w:r>
      <w:r>
        <w:rPr>
          <w:rFonts w:ascii="Arial" w:cs="Arial" w:eastAsia="Arial" w:hAnsi="Arial"/>
          <w:sz w:val="14"/>
          <w:szCs w:val="14"/>
          <w:b w:val="1"/>
          <w:bCs w:val="1"/>
          <w:i w:val="1"/>
          <w:iCs w:val="1"/>
          <w:color w:val="auto"/>
        </w:rPr>
        <w:t>Weatherford Delaware</w:t>
      </w:r>
      <w:r>
        <w:rPr>
          <w:rFonts w:ascii="Arial" w:cs="Arial" w:eastAsia="Arial" w:hAnsi="Arial"/>
          <w:sz w:val="14"/>
          <w:szCs w:val="14"/>
          <w:color w:val="auto"/>
        </w:rPr>
        <w:t>”), and the guarantees of the Exchange Notes (the “</w:t>
      </w:r>
      <w:r>
        <w:rPr>
          <w:rFonts w:ascii="Arial" w:cs="Arial" w:eastAsia="Arial" w:hAnsi="Arial"/>
          <w:sz w:val="14"/>
          <w:szCs w:val="14"/>
          <w:b w:val="1"/>
          <w:bCs w:val="1"/>
          <w:i w:val="1"/>
          <w:iCs w:val="1"/>
          <w:color w:val="auto"/>
        </w:rPr>
        <w:t>Exchange Guarantees</w:t>
      </w:r>
      <w:r>
        <w:rPr>
          <w:rFonts w:ascii="Arial" w:cs="Arial" w:eastAsia="Arial" w:hAnsi="Arial"/>
          <w:sz w:val="14"/>
          <w:szCs w:val="14"/>
          <w:color w:val="auto"/>
        </w:rPr>
        <w:t>”) by Weatherford Ireland and Weatherford International Ltd., a Bermuda exempted company and an indirect, wholly owned subsidiary of Weatherford Ireland (“</w:t>
      </w:r>
      <w:r>
        <w:rPr>
          <w:rFonts w:ascii="Arial" w:cs="Arial" w:eastAsia="Arial" w:hAnsi="Arial"/>
          <w:sz w:val="14"/>
          <w:szCs w:val="14"/>
          <w:b w:val="1"/>
          <w:bCs w:val="1"/>
          <w:i w:val="1"/>
          <w:iCs w:val="1"/>
          <w:color w:val="auto"/>
        </w:rPr>
        <w:t>Weatherford Bermuda</w:t>
      </w:r>
      <w:r>
        <w:rPr>
          <w:rFonts w:ascii="Arial" w:cs="Arial" w:eastAsia="Arial" w:hAnsi="Arial"/>
          <w:sz w:val="14"/>
          <w:szCs w:val="14"/>
          <w:color w:val="auto"/>
        </w:rPr>
        <w:t>” and, together with Weatherford Ireland, the “</w:t>
      </w:r>
      <w:r>
        <w:rPr>
          <w:rFonts w:ascii="Arial" w:cs="Arial" w:eastAsia="Arial" w:hAnsi="Arial"/>
          <w:sz w:val="14"/>
          <w:szCs w:val="14"/>
          <w:b w:val="1"/>
          <w:bCs w:val="1"/>
          <w:i w:val="1"/>
          <w:iCs w:val="1"/>
          <w:color w:val="auto"/>
        </w:rPr>
        <w:t>Guarantors</w:t>
      </w:r>
      <w:r>
        <w:rPr>
          <w:rFonts w:ascii="Arial" w:cs="Arial" w:eastAsia="Arial" w:hAnsi="Arial"/>
          <w:sz w:val="14"/>
          <w:szCs w:val="14"/>
          <w:color w:val="auto"/>
        </w:rPr>
        <w:t>” and, together with Weatherford Ireland and Weatherford Delaware, the “</w:t>
      </w:r>
      <w:r>
        <w:rPr>
          <w:rFonts w:ascii="Arial" w:cs="Arial" w:eastAsia="Arial" w:hAnsi="Arial"/>
          <w:sz w:val="14"/>
          <w:szCs w:val="14"/>
          <w:b w:val="1"/>
          <w:bCs w:val="1"/>
          <w:i w:val="1"/>
          <w:iCs w:val="1"/>
          <w:color w:val="auto"/>
        </w:rPr>
        <w:t>Weatherford Parties</w:t>
      </w:r>
      <w:r>
        <w:rPr>
          <w:rFonts w:ascii="Arial" w:cs="Arial" w:eastAsia="Arial" w:hAnsi="Arial"/>
          <w:sz w:val="14"/>
          <w:szCs w:val="14"/>
          <w:color w:val="auto"/>
        </w:rPr>
        <w:t>”). The Exchange Notes and the Exchange Guarantees are being issued pursuant to an indenture (the “</w:t>
      </w:r>
      <w:r>
        <w:rPr>
          <w:rFonts w:ascii="Arial" w:cs="Arial" w:eastAsia="Arial" w:hAnsi="Arial"/>
          <w:sz w:val="14"/>
          <w:szCs w:val="14"/>
          <w:b w:val="1"/>
          <w:bCs w:val="1"/>
          <w:i w:val="1"/>
          <w:iCs w:val="1"/>
          <w:color w:val="auto"/>
        </w:rPr>
        <w:t>Base Indenture</w:t>
      </w:r>
      <w:r>
        <w:rPr>
          <w:rFonts w:ascii="Arial" w:cs="Arial" w:eastAsia="Arial" w:hAnsi="Arial"/>
          <w:sz w:val="14"/>
          <w:szCs w:val="14"/>
          <w:color w:val="auto"/>
        </w:rPr>
        <w:t>”), dated as of June 18, 2007, as supplemented and amended by that certain Supplemental Indenture No. 2 (the “</w:t>
      </w:r>
      <w:r>
        <w:rPr>
          <w:rFonts w:ascii="Arial" w:cs="Arial" w:eastAsia="Arial" w:hAnsi="Arial"/>
          <w:sz w:val="14"/>
          <w:szCs w:val="14"/>
          <w:b w:val="1"/>
          <w:bCs w:val="1"/>
          <w:i w:val="1"/>
          <w:iCs w:val="1"/>
          <w:color w:val="auto"/>
        </w:rPr>
        <w:t>Second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Supplemental Indenture</w:t>
      </w:r>
      <w:r>
        <w:rPr>
          <w:rFonts w:ascii="Arial" w:cs="Arial" w:eastAsia="Arial" w:hAnsi="Arial"/>
          <w:sz w:val="14"/>
          <w:szCs w:val="14"/>
          <w:color w:val="auto"/>
        </w:rPr>
        <w:t>”), dated February 26, 2009, that certain Supplemental Indenture No. 4 (the “</w:t>
      </w:r>
      <w:r>
        <w:rPr>
          <w:rFonts w:ascii="Arial" w:cs="Arial" w:eastAsia="Arial" w:hAnsi="Arial"/>
          <w:sz w:val="14"/>
          <w:szCs w:val="14"/>
          <w:b w:val="1"/>
          <w:bCs w:val="1"/>
          <w:i w:val="1"/>
          <w:iCs w:val="1"/>
          <w:color w:val="auto"/>
        </w:rPr>
        <w:t>Fourth Supplemental Indenture</w:t>
      </w:r>
      <w:r>
        <w:rPr>
          <w:rFonts w:ascii="Arial" w:cs="Arial" w:eastAsia="Arial" w:hAnsi="Arial"/>
          <w:sz w:val="14"/>
          <w:szCs w:val="14"/>
          <w:color w:val="auto"/>
        </w:rPr>
        <w:t>”), dated March 31, 2013, that certain Supplemental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Indenture No. 5 (the “</w:t>
      </w:r>
      <w:r>
        <w:rPr>
          <w:rFonts w:ascii="Arial" w:cs="Arial" w:eastAsia="Arial" w:hAnsi="Arial"/>
          <w:sz w:val="14"/>
          <w:szCs w:val="14"/>
          <w:b w:val="1"/>
          <w:bCs w:val="1"/>
          <w:i w:val="1"/>
          <w:iCs w:val="1"/>
          <w:color w:val="auto"/>
        </w:rPr>
        <w:t>Fifth Supplemental Indenture</w:t>
      </w:r>
      <w:r>
        <w:rPr>
          <w:rFonts w:ascii="Arial" w:cs="Arial" w:eastAsia="Arial" w:hAnsi="Arial"/>
          <w:sz w:val="14"/>
          <w:szCs w:val="14"/>
          <w:color w:val="auto"/>
        </w:rPr>
        <w:t>”), dated June 17, 2014, and that certain Supplemental Indenture No. 6 (the “</w:t>
      </w:r>
      <w:r>
        <w:rPr>
          <w:rFonts w:ascii="Arial" w:cs="Arial" w:eastAsia="Arial" w:hAnsi="Arial"/>
          <w:sz w:val="14"/>
          <w:szCs w:val="14"/>
          <w:b w:val="1"/>
          <w:bCs w:val="1"/>
          <w:i w:val="1"/>
          <w:iCs w:val="1"/>
          <w:color w:val="auto"/>
        </w:rPr>
        <w:t>Sixth Supplemental Indenture</w:t>
      </w:r>
      <w:r>
        <w:rPr>
          <w:rFonts w:ascii="Arial" w:cs="Arial" w:eastAsia="Arial" w:hAnsi="Arial"/>
          <w:sz w:val="14"/>
          <w:szCs w:val="14"/>
          <w:color w:val="auto"/>
        </w:rPr>
        <w:t>”), dated February 28, 2018, by and among the Weatherford Parties and Deutsche Bank Trust Company Americas (the “</w:t>
      </w:r>
      <w:r>
        <w:rPr>
          <w:rFonts w:ascii="Arial" w:cs="Arial" w:eastAsia="Arial" w:hAnsi="Arial"/>
          <w:sz w:val="14"/>
          <w:szCs w:val="14"/>
          <w:b w:val="1"/>
          <w:bCs w:val="1"/>
          <w:i w:val="1"/>
          <w:iCs w:val="1"/>
          <w:color w:val="auto"/>
        </w:rPr>
        <w:t>Trustee</w:t>
      </w:r>
      <w:r>
        <w:rPr>
          <w:rFonts w:ascii="Arial" w:cs="Arial" w:eastAsia="Arial" w:hAnsi="Arial"/>
          <w:sz w:val="14"/>
          <w:szCs w:val="14"/>
          <w:color w:val="auto"/>
        </w:rPr>
        <w:t>”) (the Base Indenture, the Second Supplemental Indenture, the Fourth Supplemental Indenture, the Fifth Supplemental Indenture and the Sixth Supplemental Indenture, collectively, the “</w:t>
      </w:r>
      <w:r>
        <w:rPr>
          <w:rFonts w:ascii="Arial" w:cs="Arial" w:eastAsia="Arial" w:hAnsi="Arial"/>
          <w:sz w:val="14"/>
          <w:szCs w:val="14"/>
          <w:b w:val="1"/>
          <w:bCs w:val="1"/>
          <w:i w:val="1"/>
          <w:iCs w:val="1"/>
          <w:color w:val="auto"/>
        </w:rPr>
        <w:t>Indenture</w:t>
      </w:r>
      <w:r>
        <w:rPr>
          <w:rFonts w:ascii="Arial" w:cs="Arial" w:eastAsia="Arial" w:hAnsi="Arial"/>
          <w:sz w:val="14"/>
          <w:szCs w:val="14"/>
          <w:color w:val="auto"/>
        </w:rPr>
        <w:t>”), and pursuant to a registration statement on Form S-4 under the Securities Act of 1933, as amended (the “</w:t>
      </w:r>
      <w:r>
        <w:rPr>
          <w:rFonts w:ascii="Arial" w:cs="Arial" w:eastAsia="Arial" w:hAnsi="Arial"/>
          <w:sz w:val="14"/>
          <w:szCs w:val="14"/>
          <w:b w:val="1"/>
          <w:bCs w:val="1"/>
          <w:i w:val="1"/>
          <w:iCs w:val="1"/>
          <w:color w:val="auto"/>
        </w:rPr>
        <w:t>Act</w:t>
      </w:r>
      <w:r>
        <w:rPr>
          <w:rFonts w:ascii="Arial" w:cs="Arial" w:eastAsia="Arial" w:hAnsi="Arial"/>
          <w:sz w:val="14"/>
          <w:szCs w:val="14"/>
          <w:color w:val="auto"/>
        </w:rPr>
        <w:t>”), filed with the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on December 14, 2018 (the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The Exchange Notes and the Exchange Guarantees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158115</wp:posOffset>
            </wp:positionV>
            <wp:extent cx="7287260" cy="27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b w:val="1"/>
          <w:bCs w:val="1"/>
          <w:color w:val="auto"/>
        </w:rPr>
        <w:t>December 14, 2018</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1177290" cy="800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8">
                      <a:extLst>
                        <a:ext uri="{28A0092B-C50C-407E-A947-70E740481C1C}"/>
                      </a:extLst>
                    </a:blip>
                    <a:srcRect/>
                    <a:stretch>
                      <a:fillRect/>
                    </a:stretch>
                  </pic:blipFill>
                  <pic:spPr bwMode="auto">
                    <a:xfrm>
                      <a:off x="0" y="0"/>
                      <a:ext cx="1177290" cy="800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issued in exchange for Weatherford Delaware’s outstanding 9.875% Senior Notes due 2025 and the related guarantees (the “</w:t>
      </w:r>
      <w:r>
        <w:rPr>
          <w:rFonts w:ascii="Arial" w:cs="Arial" w:eastAsia="Arial" w:hAnsi="Arial"/>
          <w:sz w:val="15"/>
          <w:szCs w:val="15"/>
          <w:b w:val="1"/>
          <w:bCs w:val="1"/>
          <w:i w:val="1"/>
          <w:iCs w:val="1"/>
          <w:color w:val="auto"/>
        </w:rPr>
        <w:t>Private Notes</w:t>
      </w:r>
      <w:r>
        <w:rPr>
          <w:rFonts w:ascii="Arial" w:cs="Arial" w:eastAsia="Arial" w:hAnsi="Arial"/>
          <w:sz w:val="15"/>
          <w:szCs w:val="15"/>
          <w:color w:val="auto"/>
        </w:rPr>
        <w:t>”) on the terms set forth in the prospectus contained in the Registration Statement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Exchange Notes and the Exchange Guarantees.</w:t>
      </w:r>
    </w:p>
    <w:p>
      <w:pPr>
        <w:spacing w:after="0" w:line="157" w:lineRule="exact"/>
        <w:rPr>
          <w:sz w:val="20"/>
          <w:szCs w:val="20"/>
          <w:color w:val="auto"/>
        </w:rPr>
      </w:pPr>
    </w:p>
    <w:p>
      <w:pPr>
        <w:ind w:right="40" w:firstLine="549"/>
        <w:spacing w:after="0" w:line="317" w:lineRule="auto"/>
        <w:rPr>
          <w:sz w:val="20"/>
          <w:szCs w:val="20"/>
          <w:color w:val="auto"/>
        </w:rPr>
      </w:pPr>
      <w:r>
        <w:rPr>
          <w:rFonts w:ascii="Arial" w:cs="Arial" w:eastAsia="Arial" w:hAnsi="Arial"/>
          <w:sz w:val="13"/>
          <w:szCs w:val="13"/>
          <w:color w:val="auto"/>
        </w:rPr>
        <w:t>As such counsel, we have examined such matters of fact and questions of law as we have considered appropriate for purposes of this letter. With your consent, we have relied upon certificates and other assurances of officers of the Weatherford Parties and others as to factual matters without having independently verified such factual matters. We are opining herein as to the internal laws of the State of New York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26" w:lineRule="exact"/>
        <w:rPr>
          <w:sz w:val="20"/>
          <w:szCs w:val="20"/>
          <w:color w:val="auto"/>
        </w:rPr>
      </w:pPr>
    </w:p>
    <w:p>
      <w:pPr>
        <w:ind w:right="80" w:firstLine="549"/>
        <w:spacing w:after="0" w:line="264" w:lineRule="auto"/>
        <w:rPr>
          <w:sz w:val="20"/>
          <w:szCs w:val="20"/>
          <w:color w:val="auto"/>
        </w:rPr>
      </w:pPr>
      <w:r>
        <w:rPr>
          <w:rFonts w:ascii="Arial" w:cs="Arial" w:eastAsia="Arial" w:hAnsi="Arial"/>
          <w:sz w:val="15"/>
          <w:szCs w:val="15"/>
          <w:color w:val="auto"/>
        </w:rPr>
        <w:t>Subject to the foregoing and the other matters set forth herein, it is our opinion that, as of the date hereof, when the Exchange Notes have been duly executed, issued and authenticated in accordance with the terms of the Indenture and when delivered in exchange for the Private Notes as contemplated by the Prospectus, the Indenture, the Exchange Notes and the Exchange Guarantees will be the legally valid and binding obligations of Weatherford Delaware and the Guarantors, respectively, enforceable against Weatherford Delaware and the Guarantors in accordance with their respective terms.</w:t>
      </w:r>
    </w:p>
    <w:p>
      <w:pPr>
        <w:spacing w:after="0" w:line="157" w:lineRule="exact"/>
        <w:rPr>
          <w:sz w:val="20"/>
          <w:szCs w:val="20"/>
          <w:color w:val="auto"/>
        </w:rPr>
      </w:pPr>
    </w:p>
    <w:p>
      <w:pPr>
        <w:ind w:firstLine="549"/>
        <w:spacing w:after="0" w:line="277" w:lineRule="auto"/>
        <w:rPr>
          <w:sz w:val="20"/>
          <w:szCs w:val="20"/>
          <w:color w:val="auto"/>
        </w:rPr>
      </w:pPr>
      <w:r>
        <w:rPr>
          <w:rFonts w:ascii="Arial" w:cs="Arial" w:eastAsia="Arial" w:hAnsi="Arial"/>
          <w:sz w:val="14"/>
          <w:szCs w:val="14"/>
          <w:color w:val="auto"/>
        </w:rPr>
        <w:t>Our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159385</wp:posOffset>
            </wp:positionV>
            <wp:extent cx="7287260" cy="27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08" w:right="299" w:bottom="1440" w:gutter="0" w:footer="0" w:header="0"/>
        </w:sectPr>
      </w:pPr>
    </w:p>
    <w:bookmarkStart w:id="120" w:name="page121"/>
    <w:bookmarkEnd w:id="120"/>
    <w:p>
      <w:pPr>
        <w:spacing w:after="0"/>
        <w:rPr>
          <w:sz w:val="20"/>
          <w:szCs w:val="20"/>
          <w:color w:val="auto"/>
        </w:rPr>
      </w:pPr>
      <w:r>
        <w:rPr>
          <w:rFonts w:ascii="Arial" w:cs="Arial" w:eastAsia="Arial" w:hAnsi="Arial"/>
          <w:sz w:val="15"/>
          <w:szCs w:val="15"/>
          <w:b w:val="1"/>
          <w:bCs w:val="1"/>
          <w:color w:val="auto"/>
        </w:rPr>
        <w:t>December 14, 2018</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1177290" cy="800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0">
                      <a:extLst>
                        <a:ext uri="{28A0092B-C50C-407E-A947-70E740481C1C}"/>
                      </a:extLst>
                    </a:blip>
                    <a:srcRect/>
                    <a:stretch>
                      <a:fillRect/>
                    </a:stretch>
                  </pic:blipFill>
                  <pic:spPr bwMode="auto">
                    <a:xfrm>
                      <a:off x="0" y="0"/>
                      <a:ext cx="1177290" cy="800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right="20"/>
        <w:spacing w:after="0" w:line="329" w:lineRule="auto"/>
        <w:rPr>
          <w:sz w:val="20"/>
          <w:szCs w:val="20"/>
          <w:color w:val="auto"/>
        </w:rPr>
      </w:pPr>
      <w:r>
        <w:rPr>
          <w:rFonts w:ascii="Arial" w:cs="Arial" w:eastAsia="Arial" w:hAnsi="Arial"/>
          <w:sz w:val="13"/>
          <w:szCs w:val="13"/>
          <w:color w:val="auto"/>
        </w:rPr>
        <w:t>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18"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color w:val="auto"/>
        </w:rPr>
        <w:t>With your consent, we have assumed (a) that the Indenture, the Exchange Notes and the Exchange Guarantees (collectively, the “</w:t>
      </w:r>
      <w:r>
        <w:rPr>
          <w:rFonts w:ascii="Arial" w:cs="Arial" w:eastAsia="Arial" w:hAnsi="Arial"/>
          <w:sz w:val="15"/>
          <w:szCs w:val="15"/>
          <w:b w:val="1"/>
          <w:bCs w:val="1"/>
          <w:i w:val="1"/>
          <w:iCs w:val="1"/>
          <w:color w:val="auto"/>
        </w:rPr>
        <w:t>Documents</w:t>
      </w:r>
      <w:r>
        <w:rPr>
          <w:rFonts w:ascii="Arial" w:cs="Arial" w:eastAsia="Arial" w:hAnsi="Arial"/>
          <w:sz w:val="15"/>
          <w:szCs w:val="15"/>
          <w:color w:val="auto"/>
        </w:rPr>
        <w:t>”) have been or will be duly authorized, executed and delivered by the parties thereto other than Weatherford Delaware; (b) that the Documents constitute or will constitute legally valid and binding obligations of the parties thereto other than the Weatherford Parties, enforceable against each of them in accordance with their respective terms; and (c) that the status of each of the Documents as legally valid and binding obligations of the parties thereto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61" w:lineRule="exact"/>
        <w:rPr>
          <w:sz w:val="20"/>
          <w:szCs w:val="20"/>
          <w:color w:val="auto"/>
        </w:rPr>
      </w:pPr>
    </w:p>
    <w:p>
      <w:pPr>
        <w:ind w:right="40" w:firstLine="549"/>
        <w:spacing w:after="0" w:line="264" w:lineRule="auto"/>
        <w:rPr>
          <w:sz w:val="20"/>
          <w:szCs w:val="20"/>
          <w:color w:val="auto"/>
        </w:rPr>
      </w:pPr>
      <w:r>
        <w:rPr>
          <w:rFonts w:ascii="Arial" w:cs="Arial" w:eastAsia="Arial" w:hAnsi="Arial"/>
          <w:sz w:val="15"/>
          <w:szCs w:val="15"/>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Very truly yours,</w:t>
      </w:r>
    </w:p>
    <w:p>
      <w:pPr>
        <w:spacing w:after="0" w:line="373"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187960</wp:posOffset>
            </wp:positionV>
            <wp:extent cx="7287260" cy="27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08" w:right="299" w:bottom="1440" w:gutter="0" w:footer="0" w:header="0"/>
        </w:sectPr>
      </w:pPr>
    </w:p>
    <w:bookmarkStart w:id="121" w:name="page122"/>
    <w:bookmarkEnd w:id="121"/>
    <w:tbl>
      <w:tblPr>
        <w:tblLayout w:type="fixed"/>
        <w:tblInd w:w="8" w:type="dxa"/>
        <w:tblCellMar>
          <w:top w:w="0" w:type="dxa"/>
          <w:left w:w="0" w:type="dxa"/>
          <w:bottom w:w="0" w:type="dxa"/>
          <w:right w:w="0" w:type="dxa"/>
        </w:tblCellMar>
      </w:tblPr>
      <w:tr>
        <w:trPr>
          <w:trHeight w:val="198"/>
        </w:trPr>
        <w:tc>
          <w:tcPr>
            <w:tcW w:w="6360" w:type="dxa"/>
            <w:vAlign w:val="bottom"/>
          </w:tcPr>
          <w:p>
            <w:pPr>
              <w:spacing w:after="0"/>
              <w:rPr>
                <w:sz w:val="17"/>
                <w:szCs w:val="17"/>
                <w:color w:val="auto"/>
              </w:rPr>
            </w:pPr>
          </w:p>
        </w:tc>
        <w:tc>
          <w:tcPr>
            <w:tcW w:w="5080" w:type="dxa"/>
            <w:vAlign w:val="bottom"/>
          </w:tcPr>
          <w:p>
            <w:pPr>
              <w:jc w:val="right"/>
              <w:spacing w:after="0"/>
              <w:rPr>
                <w:sz w:val="20"/>
                <w:szCs w:val="20"/>
                <w:color w:val="auto"/>
              </w:rPr>
            </w:pPr>
            <w:r>
              <w:rPr>
                <w:rFonts w:ascii="Arial" w:cs="Arial" w:eastAsia="Arial" w:hAnsi="Arial"/>
                <w:sz w:val="15"/>
                <w:szCs w:val="15"/>
                <w:b w:val="1"/>
                <w:bCs w:val="1"/>
                <w:color w:val="auto"/>
              </w:rPr>
              <w:t>Exhibit 5.2</w:t>
            </w:r>
          </w:p>
        </w:tc>
      </w:tr>
      <w:tr>
        <w:trPr>
          <w:trHeight w:val="366"/>
        </w:trPr>
        <w:tc>
          <w:tcPr>
            <w:tcW w:w="6360" w:type="dxa"/>
            <w:vAlign w:val="bottom"/>
          </w:tcPr>
          <w:p>
            <w:pPr>
              <w:spacing w:after="0"/>
              <w:rPr>
                <w:sz w:val="20"/>
                <w:szCs w:val="20"/>
                <w:color w:val="auto"/>
              </w:rPr>
            </w:pPr>
            <w:r>
              <w:rPr>
                <w:rFonts w:ascii="Arial" w:cs="Arial" w:eastAsia="Arial" w:hAnsi="Arial"/>
                <w:sz w:val="15"/>
                <w:szCs w:val="15"/>
                <w:color w:val="auto"/>
              </w:rPr>
              <w:t>14 December 2018</w:t>
            </w:r>
          </w:p>
        </w:tc>
        <w:tc>
          <w:tcPr>
            <w:tcW w:w="5080" w:type="dxa"/>
            <w:vAlign w:val="bottom"/>
          </w:tcPr>
          <w:p>
            <w:pPr>
              <w:spacing w:after="0"/>
              <w:rPr>
                <w:sz w:val="24"/>
                <w:szCs w:val="24"/>
                <w:color w:val="auto"/>
              </w:rPr>
            </w:pPr>
          </w:p>
        </w:tc>
      </w:tr>
      <w:tr>
        <w:trPr>
          <w:trHeight w:val="355"/>
        </w:trPr>
        <w:tc>
          <w:tcPr>
            <w:tcW w:w="6360" w:type="dxa"/>
            <w:vAlign w:val="bottom"/>
          </w:tcPr>
          <w:p>
            <w:pPr>
              <w:spacing w:after="0"/>
              <w:rPr>
                <w:sz w:val="20"/>
                <w:szCs w:val="20"/>
                <w:color w:val="auto"/>
              </w:rPr>
            </w:pPr>
            <w:r>
              <w:rPr>
                <w:rFonts w:ascii="Arial" w:cs="Arial" w:eastAsia="Arial" w:hAnsi="Arial"/>
                <w:sz w:val="15"/>
                <w:szCs w:val="15"/>
                <w:color w:val="auto"/>
              </w:rPr>
              <w:t>Weatherford International Ltd.</w:t>
            </w:r>
          </w:p>
        </w:tc>
        <w:tc>
          <w:tcPr>
            <w:tcW w:w="5080" w:type="dxa"/>
            <w:vAlign w:val="bottom"/>
          </w:tcPr>
          <w:p>
            <w:pPr>
              <w:jc w:val="right"/>
              <w:spacing w:after="0"/>
              <w:rPr>
                <w:sz w:val="20"/>
                <w:szCs w:val="20"/>
                <w:color w:val="auto"/>
              </w:rPr>
            </w:pPr>
            <w:r>
              <w:rPr>
                <w:rFonts w:ascii="Arial" w:cs="Arial" w:eastAsia="Arial" w:hAnsi="Arial"/>
                <w:sz w:val="15"/>
                <w:szCs w:val="15"/>
                <w:color w:val="auto"/>
              </w:rPr>
              <w:t>Matter No.:359524</w:t>
            </w:r>
          </w:p>
        </w:tc>
      </w:tr>
      <w:tr>
        <w:trPr>
          <w:trHeight w:val="183"/>
        </w:trPr>
        <w:tc>
          <w:tcPr>
            <w:tcW w:w="6360" w:type="dxa"/>
            <w:vAlign w:val="bottom"/>
          </w:tcPr>
          <w:p>
            <w:pPr>
              <w:spacing w:after="0"/>
              <w:rPr>
                <w:sz w:val="20"/>
                <w:szCs w:val="20"/>
                <w:color w:val="auto"/>
              </w:rPr>
            </w:pPr>
            <w:r>
              <w:rPr>
                <w:rFonts w:ascii="Arial" w:cs="Arial" w:eastAsia="Arial" w:hAnsi="Arial"/>
                <w:sz w:val="15"/>
                <w:szCs w:val="15"/>
                <w:color w:val="auto"/>
              </w:rPr>
              <w:t>2000 St. James Place</w:t>
            </w:r>
          </w:p>
        </w:tc>
        <w:tc>
          <w:tcPr>
            <w:tcW w:w="5080" w:type="dxa"/>
            <w:vAlign w:val="bottom"/>
          </w:tcPr>
          <w:p>
            <w:pPr>
              <w:jc w:val="right"/>
              <w:spacing w:after="0"/>
              <w:rPr>
                <w:sz w:val="20"/>
                <w:szCs w:val="20"/>
                <w:color w:val="auto"/>
              </w:rPr>
            </w:pPr>
            <w:r>
              <w:rPr>
                <w:rFonts w:ascii="Arial" w:cs="Arial" w:eastAsia="Arial" w:hAnsi="Arial"/>
                <w:sz w:val="15"/>
                <w:szCs w:val="15"/>
                <w:color w:val="auto"/>
              </w:rPr>
              <w:t>Doc Ref: 13894751</w:t>
            </w:r>
          </w:p>
        </w:tc>
      </w:tr>
      <w:tr>
        <w:trPr>
          <w:trHeight w:val="183"/>
        </w:trPr>
        <w:tc>
          <w:tcPr>
            <w:tcW w:w="6360" w:type="dxa"/>
            <w:vAlign w:val="bottom"/>
          </w:tcPr>
          <w:p>
            <w:pPr>
              <w:spacing w:after="0"/>
              <w:rPr>
                <w:sz w:val="20"/>
                <w:szCs w:val="20"/>
                <w:color w:val="auto"/>
              </w:rPr>
            </w:pPr>
            <w:r>
              <w:rPr>
                <w:rFonts w:ascii="Arial" w:cs="Arial" w:eastAsia="Arial" w:hAnsi="Arial"/>
                <w:sz w:val="15"/>
                <w:szCs w:val="15"/>
                <w:color w:val="auto"/>
              </w:rPr>
              <w:t>Houston, Texas 77056</w:t>
            </w:r>
          </w:p>
        </w:tc>
        <w:tc>
          <w:tcPr>
            <w:tcW w:w="5080" w:type="dxa"/>
            <w:vAlign w:val="bottom"/>
          </w:tcPr>
          <w:p>
            <w:pPr>
              <w:spacing w:after="0"/>
              <w:rPr>
                <w:sz w:val="15"/>
                <w:szCs w:val="15"/>
                <w:color w:val="auto"/>
              </w:rPr>
            </w:pPr>
          </w:p>
        </w:tc>
      </w:tr>
      <w:tr>
        <w:trPr>
          <w:trHeight w:val="183"/>
        </w:trPr>
        <w:tc>
          <w:tcPr>
            <w:tcW w:w="6360" w:type="dxa"/>
            <w:vAlign w:val="bottom"/>
          </w:tcPr>
          <w:p>
            <w:pPr>
              <w:spacing w:after="0"/>
              <w:rPr>
                <w:sz w:val="20"/>
                <w:szCs w:val="20"/>
                <w:color w:val="auto"/>
              </w:rPr>
            </w:pPr>
            <w:r>
              <w:rPr>
                <w:rFonts w:ascii="Arial" w:cs="Arial" w:eastAsia="Arial" w:hAnsi="Arial"/>
                <w:sz w:val="15"/>
                <w:szCs w:val="15"/>
                <w:color w:val="auto"/>
              </w:rPr>
              <w:t>U.S.A.</w:t>
            </w:r>
          </w:p>
        </w:tc>
        <w:tc>
          <w:tcPr>
            <w:tcW w:w="5080" w:type="dxa"/>
            <w:vAlign w:val="bottom"/>
          </w:tcPr>
          <w:p>
            <w:pPr>
              <w:jc w:val="right"/>
              <w:spacing w:after="0"/>
              <w:rPr>
                <w:sz w:val="20"/>
                <w:szCs w:val="20"/>
                <w:color w:val="auto"/>
              </w:rPr>
            </w:pPr>
            <w:r>
              <w:rPr>
                <w:rFonts w:ascii="Arial" w:cs="Arial" w:eastAsia="Arial" w:hAnsi="Arial"/>
                <w:sz w:val="15"/>
                <w:szCs w:val="15"/>
                <w:color w:val="auto"/>
              </w:rPr>
              <w:t>1 441 2797804</w:t>
            </w:r>
          </w:p>
        </w:tc>
      </w:tr>
      <w:tr>
        <w:trPr>
          <w:trHeight w:val="194"/>
        </w:trPr>
        <w:tc>
          <w:tcPr>
            <w:tcW w:w="6360" w:type="dxa"/>
            <w:vAlign w:val="bottom"/>
          </w:tcPr>
          <w:p>
            <w:pPr>
              <w:spacing w:after="0"/>
              <w:rPr>
                <w:sz w:val="16"/>
                <w:szCs w:val="16"/>
                <w:color w:val="auto"/>
              </w:rPr>
            </w:pPr>
          </w:p>
        </w:tc>
        <w:tc>
          <w:tcPr>
            <w:tcW w:w="5080" w:type="dxa"/>
            <w:vAlign w:val="bottom"/>
          </w:tcPr>
          <w:p>
            <w:pPr>
              <w:jc w:val="right"/>
              <w:spacing w:after="0"/>
              <w:rPr>
                <w:sz w:val="20"/>
                <w:szCs w:val="20"/>
                <w:color w:val="auto"/>
              </w:rPr>
            </w:pPr>
            <w:r>
              <w:rPr>
                <w:rFonts w:ascii="Arial" w:cs="Arial" w:eastAsia="Arial" w:hAnsi="Arial"/>
                <w:sz w:val="15"/>
                <w:szCs w:val="15"/>
                <w:color w:val="auto"/>
              </w:rPr>
              <w:t>edward.rance@conyersdill.com</w:t>
            </w:r>
          </w:p>
        </w:tc>
      </w:tr>
      <w:tr>
        <w:trPr>
          <w:trHeight w:val="366"/>
        </w:trPr>
        <w:tc>
          <w:tcPr>
            <w:tcW w:w="6360" w:type="dxa"/>
            <w:vAlign w:val="bottom"/>
          </w:tcPr>
          <w:p>
            <w:pPr>
              <w:spacing w:after="0"/>
              <w:rPr>
                <w:sz w:val="20"/>
                <w:szCs w:val="20"/>
                <w:color w:val="auto"/>
              </w:rPr>
            </w:pPr>
            <w:r>
              <w:rPr>
                <w:rFonts w:ascii="Arial" w:cs="Arial" w:eastAsia="Arial" w:hAnsi="Arial"/>
                <w:sz w:val="15"/>
                <w:szCs w:val="15"/>
                <w:color w:val="auto"/>
              </w:rPr>
              <w:t>Dear Sirs</w:t>
            </w:r>
          </w:p>
        </w:tc>
        <w:tc>
          <w:tcPr>
            <w:tcW w:w="5080" w:type="dxa"/>
            <w:vAlign w:val="bottom"/>
          </w:tcPr>
          <w:p>
            <w:pPr>
              <w:spacing w:after="0"/>
              <w:rPr>
                <w:sz w:val="24"/>
                <w:szCs w:val="24"/>
                <w:color w:val="auto"/>
              </w:rPr>
            </w:pPr>
          </w:p>
        </w:tc>
      </w:tr>
      <w:tr>
        <w:trPr>
          <w:trHeight w:val="366"/>
        </w:trPr>
        <w:tc>
          <w:tcPr>
            <w:tcW w:w="6360" w:type="dxa"/>
            <w:vAlign w:val="bottom"/>
          </w:tcPr>
          <w:p>
            <w:pPr>
              <w:spacing w:after="0"/>
              <w:rPr>
                <w:sz w:val="20"/>
                <w:szCs w:val="20"/>
                <w:color w:val="auto"/>
              </w:rPr>
            </w:pPr>
            <w:r>
              <w:rPr>
                <w:rFonts w:ascii="Arial" w:cs="Arial" w:eastAsia="Arial" w:hAnsi="Arial"/>
                <w:sz w:val="15"/>
                <w:szCs w:val="15"/>
                <w:b w:val="1"/>
                <w:bCs w:val="1"/>
                <w:color w:val="auto"/>
              </w:rPr>
              <w:t>Weatherford International Ltd. (the “Company”)</w:t>
            </w:r>
          </w:p>
        </w:tc>
        <w:tc>
          <w:tcPr>
            <w:tcW w:w="5080" w:type="dxa"/>
            <w:vAlign w:val="bottom"/>
          </w:tcPr>
          <w:p>
            <w:pPr>
              <w:spacing w:after="0"/>
              <w:rPr>
                <w:sz w:val="24"/>
                <w:szCs w:val="24"/>
                <w:color w:val="auto"/>
              </w:rPr>
            </w:pPr>
          </w:p>
        </w:tc>
      </w:tr>
    </w:tbl>
    <w:p>
      <w:pPr>
        <w:spacing w:after="0" w:line="172" w:lineRule="exact"/>
        <w:rPr>
          <w:sz w:val="20"/>
          <w:szCs w:val="20"/>
          <w:color w:val="auto"/>
        </w:rPr>
      </w:pPr>
    </w:p>
    <w:p>
      <w:pPr>
        <w:ind w:left="8" w:right="40"/>
        <w:spacing w:after="0" w:line="260" w:lineRule="auto"/>
        <w:rPr>
          <w:sz w:val="20"/>
          <w:szCs w:val="20"/>
          <w:color w:val="auto"/>
        </w:rPr>
      </w:pPr>
      <w:r>
        <w:rPr>
          <w:rFonts w:ascii="Arial" w:cs="Arial" w:eastAsia="Arial" w:hAnsi="Arial"/>
          <w:sz w:val="15"/>
          <w:szCs w:val="15"/>
          <w:color w:val="auto"/>
        </w:rPr>
        <w:t>We have acted as special legal counsel in Bermuda to the Company, a Bermuda exempted company, in connection with the registration statement on Form S-4 filed with the U.S. Securities and Exchange Commission (the “Commission”) on 14 December 2018 (the “Registration Statement”, which term does not include any other document or agreement whether or not specifically referred to therein or attached as an exhibit or schedule thereto) including the prospectus dated 14 December 2018 (the “Prospectus”) relating to the offer by Weatherford International, LLC of an aggregate principal amount of US$600,000,000 of 9.875% senior notes due 2025 guaranteed by the Company and Weatherford International plc (“Weatherford Ireland”) (the “New Notes”), which New Notes are being offered to the holders of the Weatherford International, LLC’s currently issued but unregistered 9.875% senior notes due 2025 in exchange therefor.</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the purposes of giving this opinion, we have examined electronic copies of the following documents:</w:t>
      </w:r>
    </w:p>
    <w:p>
      <w:pPr>
        <w:spacing w:after="0" w:line="194" w:lineRule="exact"/>
        <w:rPr>
          <w:sz w:val="20"/>
          <w:szCs w:val="20"/>
          <w:color w:val="auto"/>
        </w:rPr>
      </w:pPr>
    </w:p>
    <w:p>
      <w:pPr>
        <w:ind w:left="568" w:hanging="568"/>
        <w:spacing w:after="0"/>
        <w:tabs>
          <w:tab w:leader="none" w:pos="568"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Registration Statement (including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287260" cy="27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5" w:right="219" w:bottom="1440" w:gutter="0" w:footer="0" w:header="0"/>
        </w:sectPr>
      </w:pPr>
    </w:p>
    <w:bookmarkStart w:id="122" w:name="page123"/>
    <w:bookmarkEnd w:id="122"/>
    <w:p>
      <w:pPr>
        <w:ind w:left="548" w:right="60" w:hanging="548"/>
        <w:spacing w:after="0" w:line="284" w:lineRule="auto"/>
        <w:tabs>
          <w:tab w:leader="none" w:pos="57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indenture among the Company, Weatherford International, LLC, Weatherford Ireland, and Deutsche Bank Trust Company Americas as trustee (the “Trustee”) dated as of 18 June 2007 (the “Original Indenture”);</w:t>
      </w:r>
    </w:p>
    <w:p>
      <w:pPr>
        <w:spacing w:after="0" w:line="141" w:lineRule="exact"/>
        <w:rPr>
          <w:rFonts w:ascii="Arial" w:cs="Arial" w:eastAsia="Arial" w:hAnsi="Arial"/>
          <w:sz w:val="15"/>
          <w:szCs w:val="15"/>
          <w:color w:val="auto"/>
        </w:rPr>
      </w:pPr>
    </w:p>
    <w:p>
      <w:pPr>
        <w:ind w:left="548" w:right="100" w:hanging="548"/>
        <w:spacing w:after="0" w:line="284" w:lineRule="auto"/>
        <w:tabs>
          <w:tab w:leader="none" w:pos="571"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sixth supplemental indenture to the Indenture among the Company, Weatherford International, LLC, Weatherford Ireland, and the Trustee dated as of 28 February 2018 (the “Sixth Supplemental Indenture”, and together with the Original Indenture, the “Indenture”); and</w:t>
      </w:r>
    </w:p>
    <w:p>
      <w:pPr>
        <w:spacing w:after="0" w:line="141" w:lineRule="exact"/>
        <w:rPr>
          <w:rFonts w:ascii="Arial" w:cs="Arial" w:eastAsia="Arial" w:hAnsi="Arial"/>
          <w:sz w:val="15"/>
          <w:szCs w:val="15"/>
          <w:color w:val="auto"/>
        </w:rPr>
      </w:pPr>
    </w:p>
    <w:p>
      <w:pPr>
        <w:ind w:left="568" w:hanging="568"/>
        <w:spacing w:after="0"/>
        <w:tabs>
          <w:tab w:leader="none" w:pos="568"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form of the New Notes annexed to the Sixth Supplemental Indenture, as notated by the Company as guarantor.</w:t>
      </w:r>
    </w:p>
    <w:p>
      <w:pPr>
        <w:spacing w:after="0" w:line="194" w:lineRule="exact"/>
        <w:rPr>
          <w:sz w:val="20"/>
          <w:szCs w:val="20"/>
          <w:color w:val="auto"/>
        </w:rPr>
      </w:pPr>
    </w:p>
    <w:p>
      <w:pPr>
        <w:ind w:left="8" w:right="240"/>
        <w:spacing w:after="0" w:line="284" w:lineRule="auto"/>
        <w:rPr>
          <w:sz w:val="20"/>
          <w:szCs w:val="20"/>
          <w:color w:val="auto"/>
        </w:rPr>
      </w:pPr>
      <w:r>
        <w:rPr>
          <w:rFonts w:ascii="Arial" w:cs="Arial" w:eastAsia="Arial" w:hAnsi="Arial"/>
          <w:sz w:val="15"/>
          <w:szCs w:val="15"/>
          <w:color w:val="auto"/>
        </w:rPr>
        <w:t>The documents listed in items (ii) through (iv) above are herein sometimes collectively referred to as the “Documents” (which term does not include any other document or agreement whether or not specifically referred to therein or attached as an exhibit or schedule thereto).</w:t>
      </w:r>
    </w:p>
    <w:p>
      <w:pPr>
        <w:spacing w:after="0" w:line="141" w:lineRule="exact"/>
        <w:rPr>
          <w:sz w:val="20"/>
          <w:szCs w:val="20"/>
          <w:color w:val="auto"/>
        </w:rPr>
      </w:pPr>
    </w:p>
    <w:p>
      <w:pPr>
        <w:ind w:left="8" w:right="160"/>
        <w:spacing w:after="0" w:line="329" w:lineRule="auto"/>
        <w:rPr>
          <w:sz w:val="20"/>
          <w:szCs w:val="20"/>
          <w:color w:val="auto"/>
        </w:rPr>
      </w:pPr>
      <w:r>
        <w:rPr>
          <w:rFonts w:ascii="Arial" w:cs="Arial" w:eastAsia="Arial" w:hAnsi="Arial"/>
          <w:sz w:val="13"/>
          <w:szCs w:val="13"/>
          <w:color w:val="auto"/>
        </w:rPr>
        <w:t>We have also reviewed the memorandum of association and the bye-laws of the Company, each certified by the Secretary of the Company on 13 December 2018, extracts of minutes of meetings of the board of directors of the Company (the “Board”) held on 30 May 2007 and 4 February 2018 (collectively, the “Resolutions”), each certified by the Secretary of the Company on 13 December 2018, and such other documents and made such enquiries as to questions of law as we have deemed necessary in order to render the opinion set forth below.</w:t>
      </w:r>
    </w:p>
    <w:p>
      <w:pPr>
        <w:spacing w:after="0" w:line="118" w:lineRule="exact"/>
        <w:rPr>
          <w:sz w:val="20"/>
          <w:szCs w:val="20"/>
          <w:color w:val="auto"/>
        </w:rPr>
      </w:pPr>
    </w:p>
    <w:p>
      <w:pPr>
        <w:ind w:left="8" w:right="40"/>
        <w:spacing w:after="0" w:line="298" w:lineRule="auto"/>
        <w:rPr>
          <w:sz w:val="20"/>
          <w:szCs w:val="20"/>
          <w:color w:val="auto"/>
        </w:rPr>
      </w:pPr>
      <w:r>
        <w:rPr>
          <w:rFonts w:ascii="Arial" w:cs="Arial" w:eastAsia="Arial" w:hAnsi="Arial"/>
          <w:sz w:val="13"/>
          <w:szCs w:val="13"/>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or unexecuted form, it will be or has been executed and/or filed in the form of that draft or unexecuted form, and where a number of drafts of a document have been examined by us all changes thereto have been marked or otherwise drawn to our attention, (c) the capacity, power and authority of each of the parties to the Documents, other than the Company, to enter into and perform its respective obligations under the Documents,</w:t>
      </w:r>
    </w:p>
    <w:p>
      <w:pPr>
        <w:spacing w:after="0" w:line="1" w:lineRule="exact"/>
        <w:rPr>
          <w:sz w:val="20"/>
          <w:szCs w:val="20"/>
          <w:color w:val="auto"/>
        </w:rPr>
      </w:pPr>
    </w:p>
    <w:p>
      <w:pPr>
        <w:ind w:left="8" w:hanging="8"/>
        <w:spacing w:after="0" w:line="258" w:lineRule="auto"/>
        <w:tabs>
          <w:tab w:leader="none" w:pos="224"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due execution and delivery of the Indenture by each of the parties thereto, other than the Company, and the physical delivery thereof by the Company with an intention to be bound thereby, (e) the due execution and delivery of the New Notes by each of the parties thereto, (f) the due authentication of the New Notes by the Trustee, (g) the accuracy and completeness of all factual representations made in the Registration Statement, the Documents and other documents reviewed by us, (h) that the Resolutions were passed at one or more duly convened, constituted and quorate meetings or by unanimous written resolutions, remain in full force and effect and have not been rescinded or amended, (i) that the Company is entering into the Documents pursuant to its</w:t>
      </w:r>
    </w:p>
    <w:p>
      <w:pPr>
        <w:spacing w:after="0" w:line="161"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8"/>
          </w:cols>
          <w:pgMar w:left="232" w:top="312" w:right="279" w:bottom="1440" w:gutter="0" w:footer="0" w:header="0"/>
        </w:sectPr>
      </w:pPr>
    </w:p>
    <w:bookmarkStart w:id="123" w:name="page124"/>
    <w:bookmarkEnd w:id="123"/>
    <w:p>
      <w:pPr>
        <w:ind w:left="8"/>
        <w:spacing w:after="0" w:line="281" w:lineRule="auto"/>
        <w:rPr>
          <w:sz w:val="20"/>
          <w:szCs w:val="20"/>
          <w:color w:val="auto"/>
        </w:rPr>
      </w:pPr>
      <w:r>
        <w:rPr>
          <w:rFonts w:ascii="Arial" w:cs="Arial" w:eastAsia="Arial" w:hAnsi="Arial"/>
          <w:sz w:val="14"/>
          <w:szCs w:val="14"/>
          <w:color w:val="auto"/>
        </w:rPr>
        <w:t>business of acting as a holding company, (j) that there is no provision of the law of any jurisdiction, other than Bermuda, which would have any implication in relation to the opinions expressed herein, (k) the validity and binding effect under the laws of the State of New York (the “Foreign Laws”) of the Documents in accordance with their respective terms, (l) the validity and binding effect under the Foreign Laws of the submission by the Company pursuant to the Indenture to the jurisdiction of any federal or state court located in the Borough of Manhattan in the City of New York, New York, (m) that none of the parties to the Documents carries on business from premises in Bermuda at which it employs staff and pays salaries and other expenses, (n) at the time of issue of the New Notes, the Bermuda Monetary Authority will not have revoked or amended its general permissions dated 1 June 2005, (o) that no New Notes will be issued or transferred to persons deemed resident of Bermuda for exchange control purposes, and (p) that on the date of entering into the Documents, the Company is and after entering into the Documents will be able to pay its liabilities as they become due.</w:t>
      </w:r>
    </w:p>
    <w:p>
      <w:pPr>
        <w:spacing w:after="0" w:line="145" w:lineRule="exact"/>
        <w:rPr>
          <w:sz w:val="20"/>
          <w:szCs w:val="20"/>
          <w:color w:val="auto"/>
        </w:rPr>
      </w:pPr>
    </w:p>
    <w:p>
      <w:pPr>
        <w:ind w:left="8" w:right="100"/>
        <w:spacing w:after="0" w:line="305" w:lineRule="auto"/>
        <w:rPr>
          <w:sz w:val="20"/>
          <w:szCs w:val="20"/>
          <w:color w:val="auto"/>
        </w:rPr>
      </w:pPr>
      <w:r>
        <w:rPr>
          <w:rFonts w:ascii="Arial" w:cs="Arial" w:eastAsia="Arial" w:hAnsi="Arial"/>
          <w:sz w:val="13"/>
          <w:szCs w:val="13"/>
          <w:color w:val="auto"/>
        </w:rPr>
        <w:t>The obligations of the Company in connection with the New Notes, the Indenture and any indenture or other agreement or document relating thereto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35" w:lineRule="exact"/>
        <w:rPr>
          <w:sz w:val="20"/>
          <w:szCs w:val="20"/>
          <w:color w:val="auto"/>
        </w:rPr>
      </w:pPr>
    </w:p>
    <w:p>
      <w:pPr>
        <w:ind w:left="8" w:right="260"/>
        <w:spacing w:after="0" w:line="269" w:lineRule="auto"/>
        <w:rPr>
          <w:sz w:val="20"/>
          <w:szCs w:val="20"/>
          <w:color w:val="auto"/>
        </w:rPr>
      </w:pPr>
      <w:r>
        <w:rPr>
          <w:rFonts w:ascii="Arial" w:cs="Arial" w:eastAsia="Arial" w:hAnsi="Arial"/>
          <w:sz w:val="15"/>
          <w:szCs w:val="15"/>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New Notes and is not to be relied upon in respect of any other matter.</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5"/>
          <w:szCs w:val="15"/>
          <w:color w:val="auto"/>
        </w:rPr>
        <w:t>On the basis of and subject to the foregoing, we are of the opinion that:</w:t>
      </w:r>
    </w:p>
    <w:p>
      <w:pPr>
        <w:spacing w:after="0" w:line="194" w:lineRule="exact"/>
        <w:rPr>
          <w:sz w:val="20"/>
          <w:szCs w:val="20"/>
          <w:color w:val="auto"/>
        </w:rPr>
      </w:pPr>
    </w:p>
    <w:p>
      <w:pPr>
        <w:ind w:left="548" w:right="660" w:hanging="548"/>
        <w:spacing w:after="0" w:line="284" w:lineRule="auto"/>
        <w:tabs>
          <w:tab w:leader="none" w:pos="548"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Company is duly incorporated and existing under the laws of Bermuda in good standing (meaning solely that it has not failed to make any filing with any Bermuda governmental authority, or to pay any Bermuda government fee or tax which would</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312" w:right="219" w:bottom="1440" w:gutter="0" w:footer="0" w:header="0"/>
        </w:sectPr>
      </w:pPr>
    </w:p>
    <w:bookmarkStart w:id="124" w:name="page125"/>
    <w:bookmarkEnd w:id="124"/>
    <w:p>
      <w:pPr>
        <w:ind w:left="548"/>
        <w:spacing w:after="0"/>
        <w:rPr>
          <w:sz w:val="20"/>
          <w:szCs w:val="20"/>
          <w:color w:val="auto"/>
        </w:rPr>
      </w:pPr>
      <w:r>
        <w:rPr>
          <w:rFonts w:ascii="Arial" w:cs="Arial" w:eastAsia="Arial" w:hAnsi="Arial"/>
          <w:sz w:val="15"/>
          <w:szCs w:val="15"/>
          <w:color w:val="auto"/>
        </w:rPr>
        <w:t>make it liable to be struck off the Register of Companies and thereby cease to exist under the laws of Bermuda).</w:t>
      </w:r>
    </w:p>
    <w:p>
      <w:pPr>
        <w:spacing w:after="0" w:line="194" w:lineRule="exact"/>
        <w:rPr>
          <w:sz w:val="20"/>
          <w:szCs w:val="20"/>
          <w:color w:val="auto"/>
        </w:rPr>
      </w:pPr>
    </w:p>
    <w:p>
      <w:pPr>
        <w:ind w:left="548" w:hanging="548"/>
        <w:spacing w:after="0"/>
        <w:tabs>
          <w:tab w:leader="none" w:pos="54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Company has taken all corporate action required to authorize its execution, delivery and performance of the Documents.</w:t>
      </w:r>
    </w:p>
    <w:p>
      <w:pPr>
        <w:spacing w:after="0" w:line="193" w:lineRule="exact"/>
        <w:rPr>
          <w:rFonts w:ascii="Arial" w:cs="Arial" w:eastAsia="Arial" w:hAnsi="Arial"/>
          <w:sz w:val="15"/>
          <w:szCs w:val="15"/>
          <w:color w:val="auto"/>
        </w:rPr>
      </w:pPr>
    </w:p>
    <w:p>
      <w:pPr>
        <w:ind w:left="548" w:right="400" w:hanging="548"/>
        <w:spacing w:after="0" w:line="322" w:lineRule="auto"/>
        <w:tabs>
          <w:tab w:leader="none" w:pos="54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Upon the due execution, delivery and issuance of the New Notes and payment of the consideration therefor in accordance with the Indenture and as contemplated by the Registration Statement, such New Notes will constitute valid, binding and enforceable obligations of the Company in accordance with the terms thereof.</w:t>
      </w:r>
    </w:p>
    <w:p>
      <w:pPr>
        <w:spacing w:after="0" w:line="117" w:lineRule="exact"/>
        <w:rPr>
          <w:sz w:val="20"/>
          <w:szCs w:val="20"/>
          <w:color w:val="auto"/>
        </w:rPr>
      </w:pPr>
    </w:p>
    <w:p>
      <w:pPr>
        <w:ind w:left="8"/>
        <w:spacing w:after="0" w:line="297" w:lineRule="auto"/>
        <w:rPr>
          <w:sz w:val="20"/>
          <w:szCs w:val="20"/>
          <w:color w:val="auto"/>
        </w:rPr>
      </w:pPr>
      <w:r>
        <w:rPr>
          <w:rFonts w:ascii="Arial" w:cs="Arial" w:eastAsia="Arial" w:hAnsi="Arial"/>
          <w:sz w:val="14"/>
          <w:szCs w:val="14"/>
          <w:color w:val="auto"/>
        </w:rPr>
        <w:t>We hereby consent to the filing of this opinion as an exhibit to the Registration Statement and to the reference to our firm under the caption “Legal Matters” in the prospectus forming a part of the Registration Statement. In giving this consent, we do not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318" w:lineRule="exact"/>
        <w:rPr>
          <w:sz w:val="20"/>
          <w:szCs w:val="20"/>
          <w:color w:val="auto"/>
        </w:rPr>
      </w:pPr>
    </w:p>
    <w:p>
      <w:pPr>
        <w:ind w:left="8"/>
        <w:spacing w:after="0"/>
        <w:rPr>
          <w:sz w:val="20"/>
          <w:szCs w:val="20"/>
          <w:color w:val="auto"/>
        </w:rPr>
      </w:pPr>
      <w:r>
        <w:rPr>
          <w:rFonts w:ascii="Arial" w:cs="Arial" w:eastAsia="Arial" w:hAnsi="Arial"/>
          <w:sz w:val="15"/>
          <w:szCs w:val="15"/>
          <w:color w:val="auto"/>
        </w:rPr>
        <w:t>Yours faithfully</w:t>
      </w:r>
    </w:p>
    <w:p>
      <w:pPr>
        <w:spacing w:after="0" w:line="37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Conyers Dill &amp; Pearman Limited</w:t>
      </w:r>
    </w:p>
    <w:p>
      <w:pPr>
        <w:spacing w:after="0" w:line="198" w:lineRule="exact"/>
        <w:rPr>
          <w:sz w:val="20"/>
          <w:szCs w:val="20"/>
          <w:color w:val="auto"/>
        </w:rPr>
      </w:pPr>
    </w:p>
    <w:p>
      <w:pPr>
        <w:jc w:val="center"/>
        <w:ind w:right="-20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28"/>
          </w:cols>
          <w:pgMar w:left="232" w:top="312"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5"/>
          <w:szCs w:val="15"/>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132080</wp:posOffset>
            </wp:positionV>
            <wp:extent cx="2413000" cy="886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a:extLst>
                        <a:ext uri="{28A0092B-C50C-407E-A947-70E740481C1C}"/>
                      </a:extLst>
                    </a:blip>
                    <a:srcRect/>
                    <a:stretch>
                      <a:fillRect/>
                    </a:stretch>
                  </pic:blipFill>
                  <pic:spPr bwMode="auto">
                    <a:xfrm>
                      <a:off x="0" y="0"/>
                      <a:ext cx="2413000" cy="88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15"/>
          <w:szCs w:val="15"/>
          <w:color w:val="auto"/>
        </w:rPr>
        <w:t>Weatherford International plc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Weststrasse 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6340 Baar</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Switzerland</w:t>
      </w:r>
    </w:p>
    <w:p>
      <w:pPr>
        <w:sectPr>
          <w:pgSz w:w="11900" w:h="16838" w:orient="portrait"/>
          <w:cols w:equalWidth="0" w:num="1">
            <w:col w:w="11448"/>
          </w:cols>
          <w:pgMar w:left="232" w:top="125" w:right="219" w:bottom="1440" w:gutter="0" w:footer="0" w:header="0"/>
        </w:sectPr>
      </w:pPr>
    </w:p>
    <w:p>
      <w:pPr>
        <w:spacing w:after="0" w:line="183" w:lineRule="exact"/>
        <w:rPr>
          <w:sz w:val="20"/>
          <w:szCs w:val="20"/>
          <w:color w:val="auto"/>
        </w:rPr>
      </w:pPr>
    </w:p>
    <w:p>
      <w:pPr>
        <w:ind w:left="8"/>
        <w:spacing w:after="0"/>
        <w:rPr>
          <w:sz w:val="20"/>
          <w:szCs w:val="20"/>
          <w:color w:val="auto"/>
        </w:rPr>
      </w:pPr>
      <w:r>
        <w:rPr>
          <w:rFonts w:ascii="Arial" w:cs="Arial" w:eastAsia="Arial" w:hAnsi="Arial"/>
          <w:sz w:val="13"/>
          <w:szCs w:val="13"/>
          <w:color w:val="auto"/>
        </w:rPr>
        <w:t>Our Ref</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Your Ref</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14 December 2018</w:t>
      </w:r>
    </w:p>
    <w:p>
      <w:pPr>
        <w:spacing w:after="0" w:line="44" w:lineRule="exact"/>
        <w:rPr>
          <w:sz w:val="20"/>
          <w:szCs w:val="20"/>
          <w:color w:val="auto"/>
        </w:rPr>
      </w:pPr>
    </w:p>
    <w:p>
      <w:pPr>
        <w:sectPr>
          <w:pgSz w:w="11900" w:h="16838" w:orient="portrait"/>
          <w:cols w:equalWidth="0" w:num="3">
            <w:col w:w="3108" w:space="720"/>
            <w:col w:w="5740" w:space="720"/>
            <w:col w:w="1160"/>
          </w:cols>
          <w:pgMar w:left="232" w:top="125" w:right="219" w:bottom="1440" w:gutter="0" w:footer="0" w:header="0"/>
          <w:type w:val="continuous"/>
        </w:sectPr>
      </w:pPr>
    </w:p>
    <w:p>
      <w:pPr>
        <w:ind w:left="8"/>
        <w:spacing w:after="0"/>
        <w:rPr>
          <w:sz w:val="20"/>
          <w:szCs w:val="20"/>
          <w:color w:val="auto"/>
        </w:rPr>
      </w:pPr>
      <w:r>
        <w:rPr>
          <w:rFonts w:ascii="Arial" w:cs="Arial" w:eastAsia="Arial" w:hAnsi="Arial"/>
          <w:sz w:val="13"/>
          <w:szCs w:val="13"/>
          <w:color w:val="auto"/>
        </w:rPr>
        <w:t>FBO 661725.33</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5"/>
          <w:szCs w:val="15"/>
          <w:color w:val="auto"/>
        </w:rPr>
        <w:t>Dear Sirs</w:t>
      </w:r>
    </w:p>
    <w:p>
      <w:pPr>
        <w:sectPr>
          <w:pgSz w:w="11900" w:h="16838" w:orient="portrait"/>
          <w:cols w:equalWidth="0" w:num="1">
            <w:col w:w="11448"/>
          </w:cols>
          <w:pgMar w:left="232" w:top="125" w:right="219" w:bottom="1440" w:gutter="0" w:footer="0" w:header="0"/>
          <w:type w:val="continuous"/>
        </w:sectPr>
      </w:pP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Weatherford International public limited company</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We have acted on behalf of Weatherford International public limited company, a public limited company incorporated under the laws of Ireland with company number 540406 (the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in connection with a registration statement on Form S-4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filed by Weatherford International, LLC a Delaware limited liability company</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Weatherford Delaware</w:t>
      </w:r>
      <w:r>
        <w:rPr>
          <w:rFonts w:ascii="Arial" w:cs="Arial" w:eastAsia="Arial" w:hAnsi="Arial"/>
          <w:sz w:val="13"/>
          <w:szCs w:val="13"/>
          <w:color w:val="auto"/>
        </w:rPr>
        <w:t>”), the Company and Weatherford International, Ltd., a Bermuda exempted company (“</w:t>
      </w:r>
      <w:r>
        <w:rPr>
          <w:rFonts w:ascii="Arial" w:cs="Arial" w:eastAsia="Arial" w:hAnsi="Arial"/>
          <w:sz w:val="13"/>
          <w:szCs w:val="13"/>
          <w:b w:val="1"/>
          <w:bCs w:val="1"/>
          <w:color w:val="auto"/>
        </w:rPr>
        <w:t>Weatherford Bermuda</w:t>
      </w:r>
      <w:r>
        <w:rPr>
          <w:rFonts w:ascii="Arial" w:cs="Arial" w:eastAsia="Arial" w:hAnsi="Arial"/>
          <w:sz w:val="13"/>
          <w:szCs w:val="13"/>
          <w:color w:val="auto"/>
        </w:rPr>
        <w:t>”), as co-registrants, on the date hereof under the</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4"/>
          <w:szCs w:val="14"/>
          <w:color w:val="auto"/>
        </w:rPr>
        <w:t>Securities Act of 1933 of the United States of America,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with the Securities and Exchange Commission of the United States of America (the “</w:t>
      </w:r>
      <w:r>
        <w:rPr>
          <w:rFonts w:ascii="Arial" w:cs="Arial" w:eastAsia="Arial" w:hAnsi="Arial"/>
          <w:sz w:val="14"/>
          <w:szCs w:val="14"/>
          <w:b w:val="1"/>
          <w:bCs w:val="1"/>
          <w:color w:val="auto"/>
        </w:rPr>
        <w:t>SEC</w:t>
      </w:r>
      <w:r>
        <w:rPr>
          <w:rFonts w:ascii="Arial" w:cs="Arial" w:eastAsia="Arial" w:hAnsi="Arial"/>
          <w:sz w:val="14"/>
          <w:szCs w:val="14"/>
          <w:color w:val="auto"/>
        </w:rPr>
        <w:t>”)</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4"/>
          <w:szCs w:val="14"/>
          <w:color w:val="auto"/>
        </w:rPr>
        <w:t>and the prospectus included therein (the “</w:t>
      </w:r>
      <w:r>
        <w:rPr>
          <w:rFonts w:ascii="Arial" w:cs="Arial" w:eastAsia="Arial" w:hAnsi="Arial"/>
          <w:sz w:val="14"/>
          <w:szCs w:val="14"/>
          <w:b w:val="1"/>
          <w:bCs w:val="1"/>
          <w:color w:val="auto"/>
        </w:rPr>
        <w:t>Prospectus</w:t>
      </w:r>
      <w:r>
        <w:rPr>
          <w:rFonts w:ascii="Arial" w:cs="Arial" w:eastAsia="Arial" w:hAnsi="Arial"/>
          <w:sz w:val="14"/>
          <w:szCs w:val="14"/>
          <w:color w:val="auto"/>
        </w:rPr>
        <w:t>”), relating to a proposed offer (the “</w:t>
      </w:r>
      <w:r>
        <w:rPr>
          <w:rFonts w:ascii="Arial" w:cs="Arial" w:eastAsia="Arial" w:hAnsi="Arial"/>
          <w:sz w:val="14"/>
          <w:szCs w:val="14"/>
          <w:b w:val="1"/>
          <w:bCs w:val="1"/>
          <w:color w:val="auto"/>
        </w:rPr>
        <w:t>Exchange Offer</w:t>
      </w:r>
      <w:r>
        <w:rPr>
          <w:rFonts w:ascii="Arial" w:cs="Arial" w:eastAsia="Arial" w:hAnsi="Arial"/>
          <w:sz w:val="14"/>
          <w:szCs w:val="14"/>
          <w:color w:val="auto"/>
        </w:rPr>
        <w:t>”) to exchange up to $600,000,000 of 9.875% Senior Notes due 2025 (CUSIP</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3"/>
          <w:szCs w:val="13"/>
          <w:color w:val="auto"/>
        </w:rPr>
        <w:t>Nos. 94707J AA5 and U9432J AA2) (the “</w:t>
      </w:r>
      <w:r>
        <w:rPr>
          <w:rFonts w:ascii="Arial" w:cs="Arial" w:eastAsia="Arial" w:hAnsi="Arial"/>
          <w:sz w:val="13"/>
          <w:szCs w:val="13"/>
          <w:b w:val="1"/>
          <w:bCs w:val="1"/>
          <w:color w:val="auto"/>
        </w:rPr>
        <w:t>Old Notes</w:t>
      </w:r>
      <w:r>
        <w:rPr>
          <w:rFonts w:ascii="Arial" w:cs="Arial" w:eastAsia="Arial" w:hAnsi="Arial"/>
          <w:sz w:val="13"/>
          <w:szCs w:val="13"/>
          <w:color w:val="auto"/>
        </w:rPr>
        <w:t>”) that have not been registered under the Securities Act for up to $600,000,000 of 9.875% Senior Notes due 2025 (the “</w:t>
      </w:r>
      <w:r>
        <w:rPr>
          <w:rFonts w:ascii="Arial" w:cs="Arial" w:eastAsia="Arial" w:hAnsi="Arial"/>
          <w:sz w:val="13"/>
          <w:szCs w:val="13"/>
          <w:b w:val="1"/>
          <w:bCs w:val="1"/>
          <w:color w:val="auto"/>
        </w:rPr>
        <w:t>New Notes</w:t>
      </w:r>
      <w:r>
        <w:rPr>
          <w:rFonts w:ascii="Arial" w:cs="Arial" w:eastAsia="Arial" w:hAnsi="Arial"/>
          <w:sz w:val="13"/>
          <w:szCs w:val="13"/>
          <w:color w:val="auto"/>
        </w:rPr>
        <w:t>”)</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that are to be registered under the Securities Act.</w:t>
      </w:r>
    </w:p>
    <w:p>
      <w:pPr>
        <w:spacing w:after="0" w:line="183" w:lineRule="exact"/>
        <w:rPr>
          <w:sz w:val="20"/>
          <w:szCs w:val="20"/>
          <w:color w:val="auto"/>
        </w:rPr>
      </w:pPr>
    </w:p>
    <w:p>
      <w:pPr>
        <w:ind w:left="8" w:right="340"/>
        <w:spacing w:after="0" w:line="329" w:lineRule="auto"/>
        <w:rPr>
          <w:sz w:val="20"/>
          <w:szCs w:val="20"/>
          <w:color w:val="auto"/>
        </w:rPr>
      </w:pPr>
      <w:r>
        <w:rPr>
          <w:rFonts w:ascii="Arial" w:cs="Arial" w:eastAsia="Arial" w:hAnsi="Arial"/>
          <w:sz w:val="13"/>
          <w:szCs w:val="13"/>
          <w:color w:val="auto"/>
        </w:rPr>
        <w:t>The New Notes are proposed to be issued under an indenture dated 18 June 2007, as amended and supplemented by several supplemental indentures (including a certain sixth supplemental indenture dated 28 February 2018 (the “</w:t>
      </w:r>
      <w:r>
        <w:rPr>
          <w:rFonts w:ascii="Arial" w:cs="Arial" w:eastAsia="Arial" w:hAnsi="Arial"/>
          <w:sz w:val="13"/>
          <w:szCs w:val="13"/>
          <w:b w:val="1"/>
          <w:bCs w:val="1"/>
          <w:color w:val="auto"/>
        </w:rPr>
        <w:t>Sixth Supplemental Indenture</w:t>
      </w:r>
      <w:r>
        <w:rPr>
          <w:rFonts w:ascii="Arial" w:cs="Arial" w:eastAsia="Arial" w:hAnsi="Arial"/>
          <w:sz w:val="13"/>
          <w:szCs w:val="13"/>
          <w:color w:val="auto"/>
        </w:rPr>
        <w:t>”)) to which Weatherford Delaware, as issuer, the Company and Weatherford Bermuda, as guarantors, and Deutsche Bank Trust Company Americas, as trustee, are party (the “</w:t>
      </w:r>
      <w:r>
        <w:rPr>
          <w:rFonts w:ascii="Arial" w:cs="Arial" w:eastAsia="Arial" w:hAnsi="Arial"/>
          <w:sz w:val="13"/>
          <w:szCs w:val="13"/>
          <w:b w:val="1"/>
          <w:bCs w:val="1"/>
          <w:color w:val="auto"/>
        </w:rPr>
        <w:t>Indenture</w:t>
      </w:r>
      <w:r>
        <w:rPr>
          <w:rFonts w:ascii="Arial" w:cs="Arial" w:eastAsia="Arial" w:hAnsi="Arial"/>
          <w:sz w:val="13"/>
          <w:szCs w:val="13"/>
          <w:color w:val="auto"/>
        </w:rPr>
        <w:t>”, and together with the Registration Statement and the Prospectus, the “</w:t>
      </w:r>
      <w:r>
        <w:rPr>
          <w:rFonts w:ascii="Arial" w:cs="Arial" w:eastAsia="Arial" w:hAnsi="Arial"/>
          <w:sz w:val="13"/>
          <w:szCs w:val="13"/>
          <w:b w:val="1"/>
          <w:bCs w:val="1"/>
          <w:color w:val="auto"/>
        </w:rPr>
        <w:t>Documents</w:t>
      </w:r>
      <w:r>
        <w:rPr>
          <w:rFonts w:ascii="Arial" w:cs="Arial" w:eastAsia="Arial" w:hAnsi="Arial"/>
          <w:sz w:val="13"/>
          <w:szCs w:val="13"/>
          <w:color w:val="auto"/>
        </w:rPr>
        <w:t>”).</w:t>
      </w:r>
    </w:p>
    <w:p>
      <w:pPr>
        <w:spacing w:after="0" w:line="114" w:lineRule="exact"/>
        <w:rPr>
          <w:sz w:val="20"/>
          <w:szCs w:val="20"/>
          <w:color w:val="auto"/>
        </w:rPr>
      </w:pPr>
    </w:p>
    <w:p>
      <w:pPr>
        <w:ind w:left="528" w:hanging="528"/>
        <w:spacing w:after="0"/>
        <w:tabs>
          <w:tab w:leader="none" w:pos="528"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Scope of appointment and basis of opinion</w:t>
      </w:r>
    </w:p>
    <w:p>
      <w:pPr>
        <w:spacing w:after="0" w:line="198"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color w:val="auto"/>
        </w:rPr>
        <w:t>We have been requested by the Company to provide this Opinion.</w:t>
      </w:r>
    </w:p>
    <w:p>
      <w:pPr>
        <w:spacing w:after="0" w:line="194"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For the purpose of giving this Opinion, we have examined: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1137285</wp:posOffset>
            </wp:positionV>
            <wp:extent cx="7287260" cy="27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129540</wp:posOffset>
            </wp:positionV>
            <wp:extent cx="5240020" cy="8356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a:extLst>
                        <a:ext uri="{28A0092B-C50C-407E-A947-70E740481C1C}"/>
                      </a:extLst>
                    </a:blip>
                    <a:srcRect/>
                    <a:stretch>
                      <a:fillRect/>
                    </a:stretch>
                  </pic:blipFill>
                  <pic:spPr bwMode="auto">
                    <a:xfrm>
                      <a:off x="0" y="0"/>
                      <a:ext cx="5240020" cy="835660"/>
                    </a:xfrm>
                    <a:prstGeom prst="rect">
                      <a:avLst/>
                    </a:prstGeom>
                    <a:noFill/>
                  </pic:spPr>
                </pic:pic>
              </a:graphicData>
            </a:graphic>
          </wp:anchor>
        </w:drawing>
      </w:r>
    </w:p>
    <w:p>
      <w:pPr>
        <w:sectPr>
          <w:pgSz w:w="11900" w:h="16838" w:orient="portrait"/>
          <w:cols w:equalWidth="0" w:num="1">
            <w:col w:w="11448"/>
          </w:cols>
          <w:pgMar w:left="232" w:top="125" w:right="219" w:bottom="1440" w:gutter="0" w:footer="0" w:header="0"/>
          <w:type w:val="continuous"/>
        </w:sectPr>
      </w:pPr>
    </w:p>
    <w:bookmarkStart w:id="126" w:name="page127"/>
    <w:bookmarkEnd w:id="126"/>
    <w:p>
      <w:pPr>
        <w:ind w:left="1020" w:hanging="527"/>
        <w:spacing w:after="0"/>
        <w:tabs>
          <w:tab w:leader="none" w:pos="10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6316980</wp:posOffset>
            </wp:positionH>
            <wp:positionV relativeFrom="page">
              <wp:posOffset>205105</wp:posOffset>
            </wp:positionV>
            <wp:extent cx="1097280" cy="167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167005"/>
                    </a:xfrm>
                    <a:prstGeom prst="rect">
                      <a:avLst/>
                    </a:prstGeom>
                    <a:noFill/>
                  </pic:spPr>
                </pic:pic>
              </a:graphicData>
            </a:graphic>
          </wp:anchor>
        </w:drawing>
        <w:t>the final form of the Registration Statement and the Prospectus to which this Opinion is to be exhibited;</w:t>
      </w:r>
    </w:p>
    <w:p>
      <w:pPr>
        <w:spacing w:after="0" w:line="193" w:lineRule="exact"/>
        <w:rPr>
          <w:rFonts w:ascii="Arial" w:cs="Arial" w:eastAsia="Arial" w:hAnsi="Arial"/>
          <w:sz w:val="15"/>
          <w:szCs w:val="15"/>
          <w:color w:val="auto"/>
        </w:rPr>
      </w:pPr>
    </w:p>
    <w:p>
      <w:pPr>
        <w:ind w:left="1040" w:hanging="547"/>
        <w:spacing w:after="0"/>
        <w:tabs>
          <w:tab w:leader="none" w:pos="10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 copy of the Indenture (including the Sixth Supplemental Indenture);</w:t>
      </w:r>
    </w:p>
    <w:p>
      <w:pPr>
        <w:spacing w:after="0" w:line="193" w:lineRule="exact"/>
        <w:rPr>
          <w:rFonts w:ascii="Arial" w:cs="Arial" w:eastAsia="Arial" w:hAnsi="Arial"/>
          <w:sz w:val="15"/>
          <w:szCs w:val="15"/>
          <w:color w:val="auto"/>
        </w:rPr>
      </w:pPr>
    </w:p>
    <w:p>
      <w:pPr>
        <w:ind w:left="1040" w:right="100" w:hanging="547"/>
        <w:spacing w:after="0" w:line="284" w:lineRule="auto"/>
        <w:tabs>
          <w:tab w:leader="none" w:pos="1046"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 copy of the memorandum and articles of association of the Company (as set out in Exhibit 3.1 to the Company’s Current Report on Form 8-K12B (File No. 1-36504) filed with the SEC on 17 June 2014);</w:t>
      </w:r>
    </w:p>
    <w:p>
      <w:pPr>
        <w:spacing w:after="0" w:line="141" w:lineRule="exact"/>
        <w:rPr>
          <w:rFonts w:ascii="Arial" w:cs="Arial" w:eastAsia="Arial" w:hAnsi="Arial"/>
          <w:sz w:val="15"/>
          <w:szCs w:val="15"/>
          <w:color w:val="auto"/>
        </w:rPr>
      </w:pPr>
    </w:p>
    <w:p>
      <w:pPr>
        <w:ind w:left="1040" w:hanging="547"/>
        <w:spacing w:after="0"/>
        <w:tabs>
          <w:tab w:leader="none" w:pos="10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copy resolutions of the board of directors’ of the Company passed at meetings of that board of directors held on 15 May 2014 and 18 January 2018;</w:t>
      </w:r>
    </w:p>
    <w:p>
      <w:pPr>
        <w:spacing w:after="0" w:line="193" w:lineRule="exact"/>
        <w:rPr>
          <w:rFonts w:ascii="Arial" w:cs="Arial" w:eastAsia="Arial" w:hAnsi="Arial"/>
          <w:sz w:val="15"/>
          <w:szCs w:val="15"/>
          <w:color w:val="auto"/>
        </w:rPr>
      </w:pPr>
    </w:p>
    <w:p>
      <w:pPr>
        <w:ind w:left="1040" w:hanging="547"/>
        <w:spacing w:after="0"/>
        <w:tabs>
          <w:tab w:leader="none" w:pos="10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 copy statutory declaration of the directors of the Company made on 15 May 2014 pursuant to section 60(2) of the Companies Act 1963 of Ireland;</w:t>
      </w:r>
    </w:p>
    <w:p>
      <w:pPr>
        <w:spacing w:after="0" w:line="193" w:lineRule="exact"/>
        <w:rPr>
          <w:rFonts w:ascii="Arial" w:cs="Arial" w:eastAsia="Arial" w:hAnsi="Arial"/>
          <w:sz w:val="15"/>
          <w:szCs w:val="15"/>
          <w:color w:val="auto"/>
        </w:rPr>
      </w:pPr>
    </w:p>
    <w:p>
      <w:pPr>
        <w:ind w:left="1040" w:hanging="547"/>
        <w:spacing w:after="0"/>
        <w:tabs>
          <w:tab w:leader="none" w:pos="10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 copy written resolution of the shareholders of the Company dated 15 May 2014;</w:t>
      </w:r>
    </w:p>
    <w:p>
      <w:pPr>
        <w:spacing w:after="0" w:line="193" w:lineRule="exact"/>
        <w:rPr>
          <w:rFonts w:ascii="Arial" w:cs="Arial" w:eastAsia="Arial" w:hAnsi="Arial"/>
          <w:sz w:val="15"/>
          <w:szCs w:val="15"/>
          <w:color w:val="auto"/>
        </w:rPr>
      </w:pPr>
    </w:p>
    <w:p>
      <w:pPr>
        <w:ind w:left="1040" w:hanging="547"/>
        <w:spacing w:after="0"/>
        <w:tabs>
          <w:tab w:leader="none" w:pos="10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 copy power of attorney of the Company dated 15 May 2014; and</w:t>
      </w:r>
    </w:p>
    <w:p>
      <w:pPr>
        <w:spacing w:after="0" w:line="193" w:lineRule="exact"/>
        <w:rPr>
          <w:rFonts w:ascii="Arial" w:cs="Arial" w:eastAsia="Arial" w:hAnsi="Arial"/>
          <w:sz w:val="15"/>
          <w:szCs w:val="15"/>
          <w:color w:val="auto"/>
        </w:rPr>
      </w:pPr>
    </w:p>
    <w:p>
      <w:pPr>
        <w:ind w:left="1040" w:hanging="547"/>
        <w:spacing w:after="0"/>
        <w:tabs>
          <w:tab w:leader="none" w:pos="10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searches, carried out on 11 December 2018, on our behalf, by Rochford Brady law searchers in respect of the Company at the Irish Companies Registration Office</w:t>
      </w:r>
    </w:p>
    <w:p>
      <w:pPr>
        <w:spacing w:after="0" w:line="32" w:lineRule="exact"/>
        <w:rPr>
          <w:rFonts w:ascii="Arial" w:cs="Arial" w:eastAsia="Arial" w:hAnsi="Arial"/>
          <w:sz w:val="14"/>
          <w:szCs w:val="14"/>
          <w:color w:val="auto"/>
        </w:rPr>
      </w:pPr>
    </w:p>
    <w:p>
      <w:pPr>
        <w:ind w:left="1040"/>
        <w:spacing w:after="0" w:line="269" w:lineRule="auto"/>
        <w:rPr>
          <w:rFonts w:ascii="Arial" w:cs="Arial" w:eastAsia="Arial" w:hAnsi="Arial"/>
          <w:sz w:val="14"/>
          <w:szCs w:val="14"/>
          <w:color w:val="auto"/>
        </w:rPr>
      </w:pPr>
      <w:r>
        <w:rPr>
          <w:rFonts w:ascii="Arial" w:cs="Arial" w:eastAsia="Arial" w:hAnsi="Arial"/>
          <w:sz w:val="15"/>
          <w:szCs w:val="15"/>
          <w:color w:val="auto"/>
        </w:rPr>
        <w:t>(“</w:t>
      </w:r>
      <w:r>
        <w:rPr>
          <w:rFonts w:ascii="Arial" w:cs="Arial" w:eastAsia="Arial" w:hAnsi="Arial"/>
          <w:sz w:val="15"/>
          <w:szCs w:val="15"/>
          <w:b w:val="1"/>
          <w:bCs w:val="1"/>
          <w:color w:val="auto"/>
        </w:rPr>
        <w:t>CRO</w:t>
      </w:r>
      <w:r>
        <w:rPr>
          <w:rFonts w:ascii="Arial" w:cs="Arial" w:eastAsia="Arial" w:hAnsi="Arial"/>
          <w:sz w:val="15"/>
          <w:szCs w:val="15"/>
          <w:color w:val="auto"/>
        </w:rPr>
        <w:t>”), the Judgments Office of the Central Office of the High Court of Ireland and the Index of Petitions and Winding-up Notices maintained at the Central Office of the High Court of Ireland (together, the “</w:t>
      </w:r>
      <w:r>
        <w:rPr>
          <w:rFonts w:ascii="Arial" w:cs="Arial" w:eastAsia="Arial" w:hAnsi="Arial"/>
          <w:sz w:val="15"/>
          <w:szCs w:val="15"/>
          <w:b w:val="1"/>
          <w:bCs w:val="1"/>
          <w:color w:val="auto"/>
        </w:rPr>
        <w:t>Searches</w:t>
      </w:r>
      <w:r>
        <w:rPr>
          <w:rFonts w:ascii="Arial" w:cs="Arial" w:eastAsia="Arial" w:hAnsi="Arial"/>
          <w:sz w:val="15"/>
          <w:szCs w:val="15"/>
          <w:color w:val="auto"/>
        </w:rPr>
        <w:t>”).</w:t>
      </w:r>
    </w:p>
    <w:p>
      <w:pPr>
        <w:spacing w:after="0" w:line="152" w:lineRule="exact"/>
        <w:rPr>
          <w:sz w:val="20"/>
          <w:szCs w:val="20"/>
          <w:color w:val="auto"/>
        </w:rPr>
      </w:pPr>
    </w:p>
    <w:p>
      <w:pPr>
        <w:ind w:left="480" w:right="60" w:hanging="540"/>
        <w:spacing w:after="0" w:line="269" w:lineRule="auto"/>
        <w:tabs>
          <w:tab w:leader="none" w:pos="46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5"/>
          <w:szCs w:val="15"/>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52" w:lineRule="exact"/>
        <w:rPr>
          <w:sz w:val="20"/>
          <w:szCs w:val="20"/>
          <w:color w:val="auto"/>
        </w:rPr>
      </w:pPr>
    </w:p>
    <w:p>
      <w:pPr>
        <w:jc w:val="both"/>
        <w:ind w:left="480" w:right="200" w:hanging="540"/>
        <w:spacing w:after="0" w:line="269" w:lineRule="auto"/>
        <w:tabs>
          <w:tab w:leader="none" w:pos="46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5"/>
          <w:szCs w:val="15"/>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pacing w:after="0" w:line="152" w:lineRule="exact"/>
        <w:rPr>
          <w:sz w:val="20"/>
          <w:szCs w:val="20"/>
          <w:color w:val="auto"/>
        </w:rPr>
      </w:pPr>
    </w:p>
    <w:p>
      <w:pPr>
        <w:ind w:left="480" w:right="260" w:hanging="540"/>
        <w:spacing w:after="0" w:line="284" w:lineRule="auto"/>
        <w:tabs>
          <w:tab w:leader="none" w:pos="460"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5"/>
          <w:szCs w:val="15"/>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41" w:lineRule="exact"/>
        <w:rPr>
          <w:sz w:val="20"/>
          <w:szCs w:val="20"/>
          <w:color w:val="auto"/>
        </w:rPr>
      </w:pPr>
    </w:p>
    <w:p>
      <w:pPr>
        <w:ind w:left="480" w:right="380" w:hanging="540"/>
        <w:spacing w:after="0" w:line="284" w:lineRule="auto"/>
        <w:tabs>
          <w:tab w:leader="none" w:pos="46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5"/>
          <w:szCs w:val="15"/>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41" w:lineRule="exact"/>
        <w:rPr>
          <w:sz w:val="20"/>
          <w:szCs w:val="20"/>
          <w:color w:val="auto"/>
        </w:rPr>
      </w:pPr>
    </w:p>
    <w:p>
      <w:pPr>
        <w:ind w:left="480" w:hanging="540"/>
        <w:spacing w:after="0" w:line="269" w:lineRule="auto"/>
        <w:tabs>
          <w:tab w:leader="none" w:pos="460" w:val="left"/>
        </w:tabs>
        <w:rPr>
          <w:sz w:val="20"/>
          <w:szCs w:val="20"/>
          <w:color w:val="auto"/>
        </w:rPr>
      </w:pPr>
      <w:r>
        <w:rPr>
          <w:rFonts w:ascii="Arial" w:cs="Arial" w:eastAsia="Arial" w:hAnsi="Arial"/>
          <w:sz w:val="15"/>
          <w:szCs w:val="15"/>
          <w:color w:val="auto"/>
        </w:rPr>
        <w:t>1.7</w:t>
      </w:r>
      <w:r>
        <w:rPr>
          <w:sz w:val="20"/>
          <w:szCs w:val="20"/>
          <w:color w:val="auto"/>
        </w:rPr>
        <w:tab/>
      </w:r>
      <w:r>
        <w:rPr>
          <w:rFonts w:ascii="Arial" w:cs="Arial" w:eastAsia="Arial" w:hAnsi="Arial"/>
          <w:sz w:val="15"/>
          <w:szCs w:val="15"/>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69215</wp:posOffset>
            </wp:positionV>
            <wp:extent cx="7287260" cy="27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0"/>
          </w:cols>
          <w:pgMar w:left="280" w:top="758" w:right="279" w:bottom="1440" w:gutter="0" w:footer="0" w:header="0"/>
        </w:sectPr>
      </w:pPr>
    </w:p>
    <w:bookmarkStart w:id="127" w:name="page128"/>
    <w:bookmarkEnd w:id="127"/>
    <w:p>
      <w:pPr>
        <w:ind w:left="548" w:right="4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6316980</wp:posOffset>
            </wp:positionH>
            <wp:positionV relativeFrom="page">
              <wp:posOffset>205105</wp:posOffset>
            </wp:positionV>
            <wp:extent cx="1097280" cy="167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097280" cy="167005"/>
                    </a:xfrm>
                    <a:prstGeom prst="rect">
                      <a:avLst/>
                    </a:prstGeom>
                    <a:noFill/>
                  </pic:spPr>
                </pic:pic>
              </a:graphicData>
            </a:graphic>
          </wp:anchor>
        </w:drawing>
        <w:t>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used, circulated, quoted or otherwise referred to for any other purpose without our express written consent.</w:t>
      </w:r>
    </w:p>
    <w:p>
      <w:pPr>
        <w:spacing w:after="0" w:line="152"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3"/>
          <w:szCs w:val="13"/>
          <w:color w:val="auto"/>
        </w:rPr>
        <w:t>We assume no obligation to update the opinions set forth in this Opinion.</w:t>
      </w:r>
    </w:p>
    <w:p>
      <w:pPr>
        <w:spacing w:after="0" w:line="190" w:lineRule="exact"/>
        <w:rPr>
          <w:sz w:val="20"/>
          <w:szCs w:val="20"/>
          <w:color w:val="auto"/>
        </w:rPr>
      </w:pPr>
    </w:p>
    <w:p>
      <w:pPr>
        <w:ind w:left="528" w:hanging="528"/>
        <w:spacing w:after="0"/>
        <w:tabs>
          <w:tab w:leader="none" w:pos="528" w:val="left"/>
        </w:tabs>
        <w:numPr>
          <w:ilvl w:val="0"/>
          <w:numId w:val="119"/>
        </w:numPr>
        <w:rPr>
          <w:rFonts w:ascii="Arial" w:cs="Arial" w:eastAsia="Arial" w:hAnsi="Arial"/>
          <w:sz w:val="15"/>
          <w:szCs w:val="15"/>
          <w:color w:val="auto"/>
        </w:rPr>
      </w:pPr>
      <w:r>
        <w:rPr>
          <w:rFonts w:ascii="Arial" w:cs="Arial" w:eastAsia="Arial" w:hAnsi="Arial"/>
          <w:sz w:val="15"/>
          <w:szCs w:val="15"/>
          <w:b w:val="1"/>
          <w:bCs w:val="1"/>
          <w:color w:val="auto"/>
        </w:rPr>
        <w:t>Assumptions</w:t>
      </w:r>
    </w:p>
    <w:p>
      <w:pPr>
        <w:spacing w:after="0" w:line="197"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For the purpose of giving this Opinion we have assumed:</w:t>
      </w:r>
    </w:p>
    <w:p>
      <w:pPr>
        <w:spacing w:after="0" w:line="193" w:lineRule="exact"/>
        <w:rPr>
          <w:rFonts w:ascii="Arial" w:cs="Arial" w:eastAsia="Arial" w:hAnsi="Arial"/>
          <w:sz w:val="15"/>
          <w:szCs w:val="15"/>
          <w:color w:val="auto"/>
        </w:rPr>
      </w:pPr>
    </w:p>
    <w:p>
      <w:pPr>
        <w:ind w:left="1068" w:hanging="527"/>
        <w:spacing w:after="0"/>
        <w:tabs>
          <w:tab w:leader="none" w:pos="1068"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authenticity and completeness of all documents submitted to us as originals;</w:t>
      </w:r>
    </w:p>
    <w:p>
      <w:pPr>
        <w:spacing w:after="0" w:line="193" w:lineRule="exact"/>
        <w:rPr>
          <w:rFonts w:ascii="Arial" w:cs="Arial" w:eastAsia="Arial" w:hAnsi="Arial"/>
          <w:sz w:val="15"/>
          <w:szCs w:val="15"/>
          <w:color w:val="auto"/>
        </w:rPr>
      </w:pPr>
    </w:p>
    <w:p>
      <w:pPr>
        <w:ind w:left="1088" w:right="480" w:hanging="547"/>
        <w:spacing w:after="0" w:line="284" w:lineRule="auto"/>
        <w:tabs>
          <w:tab w:leader="none" w:pos="1091"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41" w:lineRule="exact"/>
        <w:rPr>
          <w:rFonts w:ascii="Arial" w:cs="Arial" w:eastAsia="Arial" w:hAnsi="Arial"/>
          <w:sz w:val="15"/>
          <w:szCs w:val="15"/>
          <w:color w:val="auto"/>
        </w:rPr>
      </w:pPr>
    </w:p>
    <w:p>
      <w:pPr>
        <w:ind w:left="1088" w:hanging="547"/>
        <w:spacing w:after="0"/>
        <w:tabs>
          <w:tab w:leader="none" w:pos="1088"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genuineness of the signatures and seals on all original and copy documents which we have examined;</w:t>
      </w:r>
    </w:p>
    <w:p>
      <w:pPr>
        <w:spacing w:after="0" w:line="193" w:lineRule="exact"/>
        <w:rPr>
          <w:rFonts w:ascii="Arial" w:cs="Arial" w:eastAsia="Arial" w:hAnsi="Arial"/>
          <w:sz w:val="15"/>
          <w:szCs w:val="15"/>
          <w:color w:val="auto"/>
        </w:rPr>
      </w:pPr>
    </w:p>
    <w:p>
      <w:pPr>
        <w:ind w:left="1088" w:right="100" w:hanging="547"/>
        <w:spacing w:after="0" w:line="284" w:lineRule="auto"/>
        <w:tabs>
          <w:tab w:leader="none" w:pos="1091"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that the resolutions referred to in paragraph 1.2(d) above, and examined for the purposes of this Opinion, were duly passed and adopted at meetings of the said board of directors and that such meetings were properly convened, constituted, quorate and held;</w:t>
      </w:r>
    </w:p>
    <w:p>
      <w:pPr>
        <w:spacing w:after="0" w:line="141" w:lineRule="exact"/>
        <w:rPr>
          <w:rFonts w:ascii="Arial" w:cs="Arial" w:eastAsia="Arial" w:hAnsi="Arial"/>
          <w:sz w:val="15"/>
          <w:szCs w:val="15"/>
          <w:color w:val="auto"/>
        </w:rPr>
      </w:pPr>
    </w:p>
    <w:p>
      <w:pPr>
        <w:ind w:left="1088" w:right="140" w:hanging="547"/>
        <w:spacing w:after="0" w:line="264" w:lineRule="auto"/>
        <w:tabs>
          <w:tab w:leader="none" w:pos="1094"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that the Documents and all deeds, instruments, assignments, agreements and other documents in relation to the matters contemplated by the Documents and / or this Opinion are: (i) within the capacity and powers of, have been validly authorised, executed and delivered by and are valid, legal, binding and enforceable obligations of the parties thereto; and (ii) are not subject to avoidance by any person, under all applicable laws and in all applicable jurisdictions (other than, in the case of the Company, the laws of Ireland and the jurisdiction of Ireland);</w:t>
      </w:r>
    </w:p>
    <w:p>
      <w:pPr>
        <w:spacing w:after="0" w:line="156" w:lineRule="exact"/>
        <w:rPr>
          <w:rFonts w:ascii="Arial" w:cs="Arial" w:eastAsia="Arial" w:hAnsi="Arial"/>
          <w:sz w:val="15"/>
          <w:szCs w:val="15"/>
          <w:color w:val="auto"/>
        </w:rPr>
      </w:pPr>
    </w:p>
    <w:p>
      <w:pPr>
        <w:ind w:left="1088" w:right="60" w:hanging="547"/>
        <w:spacing w:after="0" w:line="284" w:lineRule="auto"/>
        <w:tabs>
          <w:tab w:leader="none" w:pos="1089"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that insofar as any of the Documents falls to be performed in any jurisdiction other than Ireland, its performance will not be illegal or ineffective by virtue of the laws of that jurisdiction;</w:t>
      </w:r>
    </w:p>
    <w:p>
      <w:pPr>
        <w:spacing w:after="0" w:line="141" w:lineRule="exact"/>
        <w:rPr>
          <w:rFonts w:ascii="Arial" w:cs="Arial" w:eastAsia="Arial" w:hAnsi="Arial"/>
          <w:sz w:val="15"/>
          <w:szCs w:val="15"/>
          <w:color w:val="auto"/>
        </w:rPr>
      </w:pPr>
    </w:p>
    <w:p>
      <w:pPr>
        <w:ind w:left="1088" w:right="40" w:hanging="547"/>
        <w:spacing w:after="0" w:line="269" w:lineRule="auto"/>
        <w:tabs>
          <w:tab w:leader="none" w:pos="110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that, in entering into the Documents and approving the Exchange Offer, the directors and duly authorized officers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52" w:lineRule="exact"/>
        <w:rPr>
          <w:rFonts w:ascii="Arial" w:cs="Arial" w:eastAsia="Arial" w:hAnsi="Arial"/>
          <w:sz w:val="15"/>
          <w:szCs w:val="15"/>
          <w:color w:val="auto"/>
        </w:rPr>
      </w:pPr>
    </w:p>
    <w:p>
      <w:pPr>
        <w:ind w:left="1088" w:hanging="547"/>
        <w:spacing w:after="0"/>
        <w:tabs>
          <w:tab w:leader="none" w:pos="1088" w:val="left"/>
        </w:tabs>
        <w:numPr>
          <w:ilvl w:val="1"/>
          <w:numId w:val="119"/>
        </w:numPr>
        <w:rPr>
          <w:rFonts w:ascii="Arial" w:cs="Arial" w:eastAsia="Arial" w:hAnsi="Arial"/>
          <w:sz w:val="14"/>
          <w:szCs w:val="14"/>
          <w:color w:val="auto"/>
        </w:rPr>
      </w:pPr>
      <w:r>
        <w:rPr>
          <w:rFonts w:ascii="Arial" w:cs="Arial" w:eastAsia="Arial" w:hAnsi="Arial"/>
          <w:sz w:val="14"/>
          <w:szCs w:val="14"/>
          <w:color w:val="auto"/>
        </w:rPr>
        <w:t>the absence of fraud and the presence of good faith on the part of all parties to the Documents and their respective officers, employees, agents and advisers;</w:t>
      </w:r>
    </w:p>
    <w:p>
      <w:pPr>
        <w:spacing w:after="0" w:line="205" w:lineRule="exact"/>
        <w:rPr>
          <w:rFonts w:ascii="Arial" w:cs="Arial" w:eastAsia="Arial" w:hAnsi="Arial"/>
          <w:sz w:val="14"/>
          <w:szCs w:val="14"/>
          <w:color w:val="auto"/>
        </w:rPr>
      </w:pPr>
    </w:p>
    <w:p>
      <w:pPr>
        <w:ind w:left="1088" w:hanging="547"/>
        <w:spacing w:after="0" w:line="284" w:lineRule="auto"/>
        <w:tabs>
          <w:tab w:leader="none" w:pos="110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that, at the time of the offer, issuance and / or sale of any New Notes in exchange for Old Notes, the Registration Statement will have been declared effective by the SEC and continue to be effective;</w:t>
      </w:r>
    </w:p>
    <w:p>
      <w:pPr>
        <w:spacing w:after="0" w:line="141"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758" w:right="259" w:bottom="1440" w:gutter="0" w:footer="0" w:header="0"/>
        </w:sectPr>
      </w:pPr>
    </w:p>
    <w:bookmarkStart w:id="128" w:name="page129"/>
    <w:bookmarkEnd w:id="128"/>
    <w:p>
      <w:pPr>
        <w:ind w:left="547" w:right="280" w:hanging="547"/>
        <w:spacing w:after="0" w:line="284" w:lineRule="auto"/>
        <w:tabs>
          <w:tab w:leader="none" w:pos="551" w:val="left"/>
        </w:tabs>
        <w:numPr>
          <w:ilvl w:val="0"/>
          <w:numId w:val="12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6316980</wp:posOffset>
            </wp:positionH>
            <wp:positionV relativeFrom="page">
              <wp:posOffset>205105</wp:posOffset>
            </wp:positionV>
            <wp:extent cx="1097280" cy="167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167005"/>
                    </a:xfrm>
                    <a:prstGeom prst="rect">
                      <a:avLst/>
                    </a:prstGeom>
                    <a:noFill/>
                  </pic:spPr>
                </pic:pic>
              </a:graphicData>
            </a:graphic>
          </wp:anchor>
        </w:drawing>
        <w:t>that the offer, issuance and / or sale of any New Notes in exchange for Old Notes will be undertaken effected in accordance with the terms set out in the Registration Statement and the Prospectus;</w:t>
      </w:r>
    </w:p>
    <w:p>
      <w:pPr>
        <w:spacing w:after="0" w:line="141" w:lineRule="exact"/>
        <w:rPr>
          <w:rFonts w:ascii="Arial" w:cs="Arial" w:eastAsia="Arial" w:hAnsi="Arial"/>
          <w:sz w:val="15"/>
          <w:szCs w:val="15"/>
          <w:color w:val="auto"/>
        </w:rPr>
      </w:pPr>
    </w:p>
    <w:p>
      <w:pPr>
        <w:ind w:left="547" w:hanging="547"/>
        <w:spacing w:after="0" w:line="282" w:lineRule="auto"/>
        <w:tabs>
          <w:tab w:leader="none" w:pos="55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that the offering or sale, including the marketing, of any New Notes will be made, effected and conducted in accordance with and will not violate: (i) the memorandum and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the New Notes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42" w:lineRule="exact"/>
        <w:rPr>
          <w:rFonts w:ascii="Arial" w:cs="Arial" w:eastAsia="Arial" w:hAnsi="Arial"/>
          <w:sz w:val="14"/>
          <w:szCs w:val="14"/>
          <w:color w:val="auto"/>
        </w:rPr>
      </w:pPr>
    </w:p>
    <w:p>
      <w:pPr>
        <w:ind w:left="547" w:hanging="547"/>
        <w:spacing w:after="0" w:line="272" w:lineRule="auto"/>
        <w:tabs>
          <w:tab w:leader="none" w:pos="562"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that the Company and Weatherford Delaware together comprise a “group” for the purposes of section 243 of the Companies Act 2014 of Ireland (the “</w:t>
      </w:r>
      <w:r>
        <w:rPr>
          <w:rFonts w:ascii="Arial" w:cs="Arial" w:eastAsia="Arial" w:hAnsi="Arial"/>
          <w:sz w:val="15"/>
          <w:szCs w:val="15"/>
          <w:b w:val="1"/>
          <w:bCs w:val="1"/>
          <w:color w:val="auto"/>
        </w:rPr>
        <w:t>Companies Act</w:t>
      </w:r>
      <w:r>
        <w:rPr>
          <w:rFonts w:ascii="Arial" w:cs="Arial" w:eastAsia="Arial" w:hAnsi="Arial"/>
          <w:sz w:val="15"/>
          <w:szCs w:val="15"/>
          <w:color w:val="auto"/>
        </w:rPr>
        <w:t>”) and that any person that subsequently becomes an issuer or guarantor under the Indenture or whose obligations are guaranteed thereunder by the Company will also be, and continue to be, a member of such group;</w:t>
      </w:r>
    </w:p>
    <w:p>
      <w:pPr>
        <w:spacing w:after="0" w:line="150" w:lineRule="exact"/>
        <w:rPr>
          <w:rFonts w:ascii="Arial" w:cs="Arial" w:eastAsia="Arial" w:hAnsi="Arial"/>
          <w:sz w:val="15"/>
          <w:szCs w:val="15"/>
          <w:color w:val="auto"/>
        </w:rPr>
      </w:pPr>
    </w:p>
    <w:p>
      <w:pPr>
        <w:ind w:left="547" w:right="40" w:hanging="547"/>
        <w:spacing w:after="0" w:line="269" w:lineRule="auto"/>
        <w:tabs>
          <w:tab w:leader="none" w:pos="54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that the Company has not, by virtue of its guarantee of the New Notes provided for in the Indenture, given, nor shall it give, any financial assistance (whether directly or indirectly or by means of a loan, guarantee, the provision of security or otherwise) for the purpose of an acquisition (whether by subscription, purchase, exchange or otherwise) made or to be made by any person of or for any shares in the capital of the Company;</w:t>
      </w:r>
    </w:p>
    <w:p>
      <w:pPr>
        <w:spacing w:after="0" w:line="152" w:lineRule="exact"/>
        <w:rPr>
          <w:rFonts w:ascii="Arial" w:cs="Arial" w:eastAsia="Arial" w:hAnsi="Arial"/>
          <w:sz w:val="15"/>
          <w:szCs w:val="15"/>
          <w:color w:val="auto"/>
        </w:rPr>
      </w:pPr>
    </w:p>
    <w:p>
      <w:pPr>
        <w:ind w:left="547" w:right="180" w:hanging="547"/>
        <w:spacing w:after="0" w:line="284" w:lineRule="auto"/>
        <w:tabs>
          <w:tab w:leader="none" w:pos="55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that, in entering into the Documents and approving the Exchange Offer, there was no intent by the directors and / or duly authorized officers of the Company to give a creditor a preference which could be deemed an unfair preference in accordance with section 604 of the Companies Act.</w:t>
      </w:r>
    </w:p>
    <w:p>
      <w:pPr>
        <w:spacing w:after="0" w:line="141" w:lineRule="exact"/>
        <w:rPr>
          <w:rFonts w:ascii="Arial" w:cs="Arial" w:eastAsia="Arial" w:hAnsi="Arial"/>
          <w:sz w:val="15"/>
          <w:szCs w:val="15"/>
          <w:color w:val="auto"/>
        </w:rPr>
      </w:pPr>
    </w:p>
    <w:p>
      <w:pPr>
        <w:ind w:left="547" w:hanging="547"/>
        <w:spacing w:after="0"/>
        <w:tabs>
          <w:tab w:leader="none" w:pos="54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accuracy and completeness as to factual matters of the representations and warranties of the Company and other provisions contained in any of the Documents;</w:t>
      </w:r>
    </w:p>
    <w:p>
      <w:pPr>
        <w:spacing w:after="0" w:line="205" w:lineRule="exact"/>
        <w:rPr>
          <w:rFonts w:ascii="Arial" w:cs="Arial" w:eastAsia="Arial" w:hAnsi="Arial"/>
          <w:sz w:val="14"/>
          <w:szCs w:val="14"/>
          <w:color w:val="auto"/>
        </w:rPr>
      </w:pPr>
    </w:p>
    <w:p>
      <w:pPr>
        <w:ind w:left="547" w:right="500" w:hanging="547"/>
        <w:spacing w:after="0" w:line="284" w:lineRule="auto"/>
        <w:tabs>
          <w:tab w:leader="none" w:pos="55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that there are no agreements or arrangements in existence which in any way amend, vary or are inconsistent with the terms of the Documents or other documents examined for the purpose of this Opinion or which in any way bear upon, or are inconsistent with, the contents of this Opinion;</w:t>
      </w:r>
    </w:p>
    <w:p>
      <w:pPr>
        <w:spacing w:after="0" w:line="141" w:lineRule="exact"/>
        <w:rPr>
          <w:rFonts w:ascii="Arial" w:cs="Arial" w:eastAsia="Arial" w:hAnsi="Arial"/>
          <w:sz w:val="15"/>
          <w:szCs w:val="15"/>
          <w:color w:val="auto"/>
        </w:rPr>
      </w:pPr>
    </w:p>
    <w:p>
      <w:pPr>
        <w:jc w:val="both"/>
        <w:ind w:left="547" w:right="20" w:hanging="547"/>
        <w:spacing w:after="0" w:line="329" w:lineRule="auto"/>
        <w:tabs>
          <w:tab w:leader="none" w:pos="55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18" w:lineRule="exact"/>
        <w:rPr>
          <w:sz w:val="20"/>
          <w:szCs w:val="20"/>
          <w:color w:val="auto"/>
        </w:rPr>
      </w:pPr>
    </w:p>
    <w:p>
      <w:pPr>
        <w:jc w:val="center"/>
        <w:ind w:right="493"/>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69215</wp:posOffset>
            </wp:positionV>
            <wp:extent cx="7287260" cy="27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867"/>
          </w:cols>
          <w:pgMar w:left="773" w:top="758" w:right="259" w:bottom="1440" w:gutter="0" w:footer="0" w:header="0"/>
        </w:sectPr>
      </w:pPr>
    </w:p>
    <w:bookmarkStart w:id="129" w:name="page130"/>
    <w:bookmarkEnd w:id="129"/>
    <w:p>
      <w:pPr>
        <w:ind w:left="1088" w:hanging="547"/>
        <w:spacing w:after="0" w:line="282" w:lineRule="auto"/>
        <w:tabs>
          <w:tab w:leader="none" w:pos="11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6316980</wp:posOffset>
            </wp:positionH>
            <wp:positionV relativeFrom="page">
              <wp:posOffset>205105</wp:posOffset>
            </wp:positionV>
            <wp:extent cx="1097280" cy="167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167005"/>
                    </a:xfrm>
                    <a:prstGeom prst="rect">
                      <a:avLst/>
                    </a:prstGeom>
                    <a:noFill/>
                  </pic:spPr>
                </pic:pic>
              </a:graphicData>
            </a:graphic>
          </wp:anchor>
        </w:drawing>
        <w:t>that at the date hereof, the date the Registration Statement is declared effective and the date or dates of issuance of any New Notes in exchange for Old Notes: (i) the Company is, or shall be, solvent; (ii) the Company shall not be insolvent as a consequence of doing any act or thing contemplated by the Exchange Offer; (iii) no receiver has been, or shall have been, appointed in relation to the Company or any of its assets or undertaking and no petition has been, or shall have been, presented to the Central Office of the High Court of Ireland for the appointment of a receiver over any of the assets of the Company; and (iv) the Company has not, and shall not have, passed a voluntary winding-up resolution or a resolution to place the Company under court protection and no petition has been, or shall have been, presented to or order made for the winding-up of the Company or placing of the Company under court protection; and</w:t>
      </w:r>
    </w:p>
    <w:p>
      <w:pPr>
        <w:spacing w:after="0" w:line="146" w:lineRule="exact"/>
        <w:rPr>
          <w:rFonts w:ascii="Arial" w:cs="Arial" w:eastAsia="Arial" w:hAnsi="Arial"/>
          <w:sz w:val="14"/>
          <w:szCs w:val="14"/>
          <w:color w:val="auto"/>
        </w:rPr>
      </w:pPr>
    </w:p>
    <w:p>
      <w:pPr>
        <w:ind w:left="1088" w:right="120" w:hanging="547"/>
        <w:spacing w:after="0" w:line="264" w:lineRule="auto"/>
        <w:tabs>
          <w:tab w:leader="none" w:pos="1098"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Exchange Offer and the transactions contemplated thereby are not and will not be affected by any financial restrictions or sanctions arising from orders made by the Minister for Finance under the Financial Transfers Act 1992 and regulations or section 42 of the Criminal Justice (Terrorist Offences) Act 2005 or the Criminal Justice (Money Laundering and Terrorist Financing) Act 2010, which allow regulations and orders restricting financial transfers to be made in compliance with Ireland’s international obligations and in conformity with European Union law.</w:t>
      </w:r>
    </w:p>
    <w:p>
      <w:pPr>
        <w:spacing w:after="0" w:line="153" w:lineRule="exact"/>
        <w:rPr>
          <w:sz w:val="20"/>
          <w:szCs w:val="20"/>
          <w:color w:val="auto"/>
        </w:rPr>
      </w:pPr>
    </w:p>
    <w:p>
      <w:pPr>
        <w:ind w:left="528" w:hanging="528"/>
        <w:spacing w:after="0"/>
        <w:tabs>
          <w:tab w:leader="none" w:pos="528"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Opinion</w:t>
      </w:r>
    </w:p>
    <w:p>
      <w:pPr>
        <w:spacing w:after="0" w:line="197" w:lineRule="exact"/>
        <w:rPr>
          <w:rFonts w:ascii="Arial" w:cs="Arial" w:eastAsia="Arial" w:hAnsi="Arial"/>
          <w:sz w:val="15"/>
          <w:szCs w:val="15"/>
          <w:color w:val="auto"/>
        </w:rPr>
      </w:pPr>
    </w:p>
    <w:p>
      <w:pPr>
        <w:ind w:left="548" w:right="180"/>
        <w:spacing w:after="0" w:line="284" w:lineRule="auto"/>
        <w:rPr>
          <w:rFonts w:ascii="Arial" w:cs="Arial" w:eastAsia="Arial" w:hAnsi="Arial"/>
          <w:sz w:val="15"/>
          <w:szCs w:val="15"/>
          <w:color w:val="auto"/>
        </w:rPr>
      </w:pPr>
      <w:r>
        <w:rPr>
          <w:rFonts w:ascii="Arial" w:cs="Arial" w:eastAsia="Arial" w:hAnsi="Arial"/>
          <w:sz w:val="15"/>
          <w:szCs w:val="15"/>
          <w:color w:val="auto"/>
        </w:rPr>
        <w:t>Based upon, and subject to, the foregoing and subject to the qualifications set out in this letter and any matter not disclosed to us, we are of the opinion that so far as the laws of Ireland are concerned:</w:t>
      </w:r>
    </w:p>
    <w:p>
      <w:pPr>
        <w:spacing w:after="0" w:line="141" w:lineRule="exact"/>
        <w:rPr>
          <w:rFonts w:ascii="Arial" w:cs="Arial" w:eastAsia="Arial" w:hAnsi="Arial"/>
          <w:sz w:val="15"/>
          <w:szCs w:val="15"/>
          <w:color w:val="auto"/>
        </w:rPr>
      </w:pPr>
    </w:p>
    <w:p>
      <w:pPr>
        <w:ind w:left="1068" w:hanging="527"/>
        <w:spacing w:after="0"/>
        <w:tabs>
          <w:tab w:leader="none" w:pos="1068"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the Company is a public limited company, duly incorporated and existing under the laws of Ireland; and</w:t>
      </w:r>
    </w:p>
    <w:p>
      <w:pPr>
        <w:spacing w:after="0" w:line="193" w:lineRule="exact"/>
        <w:rPr>
          <w:rFonts w:ascii="Arial" w:cs="Arial" w:eastAsia="Arial" w:hAnsi="Arial"/>
          <w:sz w:val="15"/>
          <w:szCs w:val="15"/>
          <w:color w:val="auto"/>
        </w:rPr>
      </w:pPr>
    </w:p>
    <w:p>
      <w:pPr>
        <w:ind w:left="1088" w:right="460" w:hanging="547"/>
        <w:spacing w:after="0" w:line="284" w:lineRule="auto"/>
        <w:tabs>
          <w:tab w:leader="none" w:pos="1091"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the guarantee of the New Notes provided for in the Indenture has been duly authorised by the Company and constitutes a legal, valid and binding obligation of the Company.</w:t>
      </w:r>
    </w:p>
    <w:p>
      <w:pPr>
        <w:spacing w:after="0" w:line="137" w:lineRule="exact"/>
        <w:rPr>
          <w:sz w:val="20"/>
          <w:szCs w:val="20"/>
          <w:color w:val="auto"/>
        </w:rPr>
      </w:pPr>
    </w:p>
    <w:p>
      <w:pPr>
        <w:ind w:left="528" w:hanging="528"/>
        <w:spacing w:after="0"/>
        <w:tabs>
          <w:tab w:leader="none" w:pos="528"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Qualifications</w:t>
      </w:r>
    </w:p>
    <w:p>
      <w:pPr>
        <w:spacing w:after="0" w:line="197"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The opinions set forth in this Opinion letter are given subject to the following qualifications:</w:t>
      </w:r>
    </w:p>
    <w:p>
      <w:pPr>
        <w:spacing w:after="0" w:line="193" w:lineRule="exact"/>
        <w:rPr>
          <w:rFonts w:ascii="Arial" w:cs="Arial" w:eastAsia="Arial" w:hAnsi="Arial"/>
          <w:sz w:val="15"/>
          <w:szCs w:val="15"/>
          <w:color w:val="auto"/>
        </w:rPr>
      </w:pPr>
    </w:p>
    <w:p>
      <w:pPr>
        <w:ind w:left="1088" w:right="160" w:hanging="547"/>
        <w:spacing w:after="0" w:line="289" w:lineRule="auto"/>
        <w:tabs>
          <w:tab w:leader="none" w:pos="1083" w:val="left"/>
        </w:tabs>
        <w:numPr>
          <w:ilvl w:val="1"/>
          <w:numId w:val="123"/>
        </w:numPr>
        <w:rPr>
          <w:rFonts w:ascii="Arial" w:cs="Arial" w:eastAsia="Arial" w:hAnsi="Arial"/>
          <w:sz w:val="14"/>
          <w:szCs w:val="14"/>
          <w:color w:val="auto"/>
        </w:rPr>
      </w:pPr>
      <w:r>
        <w:rPr>
          <w:rFonts w:ascii="Arial" w:cs="Arial" w:eastAsia="Arial" w:hAnsi="Arial"/>
          <w:sz w:val="14"/>
          <w:szCs w:val="14"/>
          <w:color w:val="auto"/>
        </w:rPr>
        <w:t>A search at the CRO is not capable of revealing whether, or not, a winding-up petition or a petition for the appointment of an examiner has been presented in respect of the company concerned. While notice of a winding-up order or resolution, notice of an order for the appointment of an examiner and notice of the appointment of a receiver may be revealed by a search at the CRO, any such notice may not be filed at the CRO immediately or at all, and, if filed there may be a delay in the relevant notice appearing on the file of the company concerned; therefore, our searches at the CRO may not have revealed such matters.</w:t>
      </w:r>
    </w:p>
    <w:p>
      <w:pPr>
        <w:spacing w:after="0" w:line="140" w:lineRule="exact"/>
        <w:rPr>
          <w:rFonts w:ascii="Arial" w:cs="Arial" w:eastAsia="Arial" w:hAnsi="Arial"/>
          <w:sz w:val="14"/>
          <w:szCs w:val="14"/>
          <w:color w:val="auto"/>
        </w:rPr>
      </w:pPr>
    </w:p>
    <w:p>
      <w:pPr>
        <w:ind w:left="1088" w:right="300" w:hanging="547"/>
        <w:spacing w:after="0" w:line="365" w:lineRule="auto"/>
        <w:tabs>
          <w:tab w:leader="none" w:pos="1091"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 search at the Index of Petitions and Winding-up Notices maintained at the Central Office of the High Court of Ireland is not capable of revealing whether, or not, a receiver has been appointed in respect of the company concerned. While notice of the presentation of a winding-up petition or a petition for the appointment of an</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758" w:right="219" w:bottom="1440" w:gutter="0" w:footer="0" w:header="0"/>
        </w:sectPr>
      </w:pPr>
    </w:p>
    <w:bookmarkStart w:id="130" w:name="page131"/>
    <w:bookmarkEnd w:id="130"/>
    <w:p>
      <w:pPr>
        <w:ind w:left="567"/>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6316980</wp:posOffset>
            </wp:positionH>
            <wp:positionV relativeFrom="page">
              <wp:posOffset>205105</wp:posOffset>
            </wp:positionV>
            <wp:extent cx="1097280" cy="167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097280" cy="167005"/>
                    </a:xfrm>
                    <a:prstGeom prst="rect">
                      <a:avLst/>
                    </a:prstGeom>
                    <a:noFill/>
                  </pic:spPr>
                </pic:pic>
              </a:graphicData>
            </a:graphic>
          </wp:anchor>
        </w:drawing>
        <w:t>examiner may be revealed by a search at the Index of Petitions and Winding-up Notices maintained at the Central Office of the High Court of Ireland, any such notice may not be filed immediately or at all, and, if filed there may be a delay in the relevant notice appearing on the Index of Petitions and Winding-up Notices; therefore, our searches at the Index of Petitions and Winding-up Notices maintained at the Central Office of the High Court of Ireland may not have revealed such matters</w:t>
      </w:r>
    </w:p>
    <w:p>
      <w:pPr>
        <w:spacing w:after="0" w:line="135" w:lineRule="exact"/>
        <w:rPr>
          <w:sz w:val="20"/>
          <w:szCs w:val="20"/>
          <w:color w:val="auto"/>
        </w:rPr>
      </w:pPr>
    </w:p>
    <w:p>
      <w:pPr>
        <w:ind w:left="547" w:right="180" w:hanging="547"/>
        <w:spacing w:after="0" w:line="269" w:lineRule="auto"/>
        <w:tabs>
          <w:tab w:leader="none" w:pos="553"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terms “legal, valid and binding” as used in paragraph 3(b) above, means that the obligations assumed by the Company under the Indenture are of a type which the courts of Ireland will treat as legal, valid and binding and enforceable. It does not mean that these obligations will necessarily be enforced in all circumstances in accordance with their terms. In particular, enforcement of the Company’s obligations under the Indenture may be:</w:t>
      </w:r>
    </w:p>
    <w:p>
      <w:pPr>
        <w:spacing w:after="0" w:line="152" w:lineRule="exact"/>
        <w:rPr>
          <w:rFonts w:ascii="Arial" w:cs="Arial" w:eastAsia="Arial" w:hAnsi="Arial"/>
          <w:sz w:val="15"/>
          <w:szCs w:val="15"/>
          <w:color w:val="auto"/>
        </w:rPr>
      </w:pPr>
    </w:p>
    <w:p>
      <w:pPr>
        <w:ind w:left="1087" w:right="40" w:hanging="547"/>
        <w:spacing w:after="0" w:line="284" w:lineRule="auto"/>
        <w:tabs>
          <w:tab w:leader="none" w:pos="1102" w:val="left"/>
        </w:tabs>
        <w:numPr>
          <w:ilvl w:val="1"/>
          <w:numId w:val="124"/>
        </w:numPr>
        <w:rPr>
          <w:rFonts w:ascii="Arial" w:cs="Arial" w:eastAsia="Arial" w:hAnsi="Arial"/>
          <w:sz w:val="15"/>
          <w:szCs w:val="15"/>
          <w:color w:val="auto"/>
        </w:rPr>
      </w:pPr>
      <w:r>
        <w:rPr>
          <w:rFonts w:ascii="Arial" w:cs="Arial" w:eastAsia="Arial" w:hAnsi="Arial"/>
          <w:sz w:val="15"/>
          <w:szCs w:val="15"/>
          <w:color w:val="auto"/>
        </w:rPr>
        <w:t>limited by general principles of equity, in particular, equitable remedies (such as an order for specific performance or an injunction) which are discretionary and are not available where damages are considered to be an adequate remedy;</w:t>
      </w:r>
    </w:p>
    <w:p>
      <w:pPr>
        <w:spacing w:after="0" w:line="141" w:lineRule="exact"/>
        <w:rPr>
          <w:rFonts w:ascii="Arial" w:cs="Arial" w:eastAsia="Arial" w:hAnsi="Arial"/>
          <w:sz w:val="15"/>
          <w:szCs w:val="15"/>
          <w:color w:val="auto"/>
        </w:rPr>
      </w:pPr>
    </w:p>
    <w:p>
      <w:pPr>
        <w:ind w:left="1087" w:right="100" w:hanging="547"/>
        <w:spacing w:after="0" w:line="284" w:lineRule="auto"/>
        <w:tabs>
          <w:tab w:leader="none" w:pos="111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subject to any limitations arising from examinership, administration, bankruptcy, insolvency, moratoria, receivership, liquidation, reorganisation, court scheme of arrangement, arrangement and similar laws affecting the rights of creditors;</w:t>
      </w:r>
    </w:p>
    <w:p>
      <w:pPr>
        <w:spacing w:after="0" w:line="141" w:lineRule="exact"/>
        <w:rPr>
          <w:rFonts w:ascii="Arial" w:cs="Arial" w:eastAsia="Arial" w:hAnsi="Arial"/>
          <w:sz w:val="15"/>
          <w:szCs w:val="15"/>
          <w:color w:val="auto"/>
        </w:rPr>
      </w:pPr>
    </w:p>
    <w:p>
      <w:pPr>
        <w:ind w:left="1107" w:hanging="567"/>
        <w:spacing w:after="0"/>
        <w:tabs>
          <w:tab w:leader="none" w:pos="110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limited by the provisions of the law of Ireland applicable to contracts held to have been frustrated by events happening after their execution;</w:t>
      </w:r>
    </w:p>
    <w:p>
      <w:pPr>
        <w:spacing w:after="0" w:line="193" w:lineRule="exact"/>
        <w:rPr>
          <w:rFonts w:ascii="Arial" w:cs="Arial" w:eastAsia="Arial" w:hAnsi="Arial"/>
          <w:sz w:val="15"/>
          <w:szCs w:val="15"/>
          <w:color w:val="auto"/>
        </w:rPr>
      </w:pPr>
    </w:p>
    <w:p>
      <w:pPr>
        <w:ind w:left="1087" w:right="120" w:hanging="547"/>
        <w:spacing w:after="0" w:line="284" w:lineRule="auto"/>
        <w:tabs>
          <w:tab w:leader="none" w:pos="1098" w:val="left"/>
        </w:tabs>
        <w:numPr>
          <w:ilvl w:val="1"/>
          <w:numId w:val="124"/>
        </w:numPr>
        <w:rPr>
          <w:rFonts w:ascii="Arial" w:cs="Arial" w:eastAsia="Arial" w:hAnsi="Arial"/>
          <w:sz w:val="15"/>
          <w:szCs w:val="15"/>
          <w:color w:val="auto"/>
        </w:rPr>
      </w:pPr>
      <w:r>
        <w:rPr>
          <w:rFonts w:ascii="Arial" w:cs="Arial" w:eastAsia="Arial" w:hAnsi="Arial"/>
          <w:sz w:val="15"/>
          <w:szCs w:val="15"/>
          <w:color w:val="auto"/>
        </w:rPr>
        <w:t>invalidated if and to the extent that performance or observance arising in a jurisdiction outside Ireland would be unlawful, unenforceable, or contrary to public policy or to the exchange control regulations under the law of such jurisdiction;</w:t>
      </w:r>
    </w:p>
    <w:p>
      <w:pPr>
        <w:spacing w:after="0" w:line="141" w:lineRule="exact"/>
        <w:rPr>
          <w:rFonts w:ascii="Arial" w:cs="Arial" w:eastAsia="Arial" w:hAnsi="Arial"/>
          <w:sz w:val="15"/>
          <w:szCs w:val="15"/>
          <w:color w:val="auto"/>
        </w:rPr>
      </w:pPr>
    </w:p>
    <w:p>
      <w:pPr>
        <w:ind w:left="1087" w:hanging="547"/>
        <w:spacing w:after="0"/>
        <w:tabs>
          <w:tab w:leader="none" w:pos="108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invalidated by reason of fraud; and</w:t>
      </w:r>
    </w:p>
    <w:p>
      <w:pPr>
        <w:spacing w:after="0" w:line="193" w:lineRule="exact"/>
        <w:rPr>
          <w:rFonts w:ascii="Arial" w:cs="Arial" w:eastAsia="Arial" w:hAnsi="Arial"/>
          <w:sz w:val="15"/>
          <w:szCs w:val="15"/>
          <w:color w:val="auto"/>
        </w:rPr>
      </w:pPr>
    </w:p>
    <w:p>
      <w:pPr>
        <w:ind w:left="1087" w:hanging="547"/>
        <w:spacing w:after="0"/>
        <w:tabs>
          <w:tab w:leader="none" w:pos="108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barred under the Statute of Limitation Acts 1957 of Ireland (as amended) or may be or become subject to the defence of set-off or counterclaim</w:t>
      </w:r>
    </w:p>
    <w:p>
      <w:pPr>
        <w:spacing w:after="0" w:line="193" w:lineRule="exact"/>
        <w:rPr>
          <w:rFonts w:ascii="Arial" w:cs="Arial" w:eastAsia="Arial" w:hAnsi="Arial"/>
          <w:sz w:val="15"/>
          <w:szCs w:val="15"/>
          <w:color w:val="auto"/>
        </w:rPr>
      </w:pPr>
    </w:p>
    <w:p>
      <w:pPr>
        <w:ind w:left="547" w:hanging="547"/>
        <w:spacing w:after="0"/>
        <w:tabs>
          <w:tab w:leader="none" w:pos="54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As regards jurisdiction, the courts of Ireland may stay proceedings if concurrent proceedings are being brought elsewhere.</w:t>
      </w:r>
    </w:p>
    <w:p>
      <w:pPr>
        <w:spacing w:after="0" w:line="193" w:lineRule="exact"/>
        <w:rPr>
          <w:rFonts w:ascii="Arial" w:cs="Arial" w:eastAsia="Arial" w:hAnsi="Arial"/>
          <w:sz w:val="15"/>
          <w:szCs w:val="15"/>
          <w:color w:val="auto"/>
        </w:rPr>
      </w:pPr>
    </w:p>
    <w:p>
      <w:pPr>
        <w:ind w:left="547" w:right="20" w:hanging="547"/>
        <w:spacing w:after="0" w:line="289" w:lineRule="auto"/>
        <w:tabs>
          <w:tab w:leader="none" w:pos="553"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Companies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one hundred days or such period as the court in question may determine). Prohibited steps include steps taken to enforce any security over the company’s property, the commencement or continuation of proceedings or execution or other legal process or the levying of distress against the company or its property and the appointment of a receiver.</w:t>
      </w:r>
    </w:p>
    <w:p>
      <w:pPr>
        <w:spacing w:after="0" w:line="140" w:lineRule="exact"/>
        <w:rPr>
          <w:rFonts w:ascii="Arial" w:cs="Arial" w:eastAsia="Arial" w:hAnsi="Arial"/>
          <w:sz w:val="14"/>
          <w:szCs w:val="14"/>
          <w:color w:val="auto"/>
        </w:rPr>
      </w:pPr>
    </w:p>
    <w:p>
      <w:pPr>
        <w:ind w:left="547" w:right="20" w:hanging="547"/>
        <w:spacing w:after="0" w:line="284" w:lineRule="auto"/>
        <w:tabs>
          <w:tab w:leader="none" w:pos="548" w:val="left"/>
        </w:tabs>
        <w:numPr>
          <w:ilvl w:val="0"/>
          <w:numId w:val="124"/>
        </w:numPr>
        <w:rPr>
          <w:rFonts w:ascii="Arial" w:cs="Arial" w:eastAsia="Arial" w:hAnsi="Arial"/>
          <w:sz w:val="15"/>
          <w:szCs w:val="15"/>
          <w:color w:val="auto"/>
        </w:rPr>
      </w:pPr>
      <w:r>
        <w:rPr>
          <w:rFonts w:ascii="Arial" w:cs="Arial" w:eastAsia="Arial" w:hAnsi="Arial"/>
          <w:sz w:val="15"/>
          <w:szCs w:val="15"/>
          <w:color w:val="auto"/>
        </w:rPr>
        <w:t>Under the provisions of the Companies Act, an examiner can be appointed on a petition to the Circuit Court, if certain criteria are met. It is not possible for anyone other than a party to the relevant proceedings or the solicitors on record for such</w:t>
      </w:r>
    </w:p>
    <w:p>
      <w:pPr>
        <w:spacing w:after="0" w:line="141" w:lineRule="exact"/>
        <w:rPr>
          <w:sz w:val="20"/>
          <w:szCs w:val="20"/>
          <w:color w:val="auto"/>
        </w:rPr>
      </w:pPr>
    </w:p>
    <w:p>
      <w:pPr>
        <w:jc w:val="center"/>
        <w:ind w:right="513"/>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69215</wp:posOffset>
            </wp:positionV>
            <wp:extent cx="7287260" cy="27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887"/>
          </w:cols>
          <w:pgMar w:left="773" w:top="758" w:right="239" w:bottom="1440" w:gutter="0" w:footer="0" w:header="0"/>
        </w:sectPr>
      </w:pPr>
    </w:p>
    <w:bookmarkStart w:id="131" w:name="page132"/>
    <w:bookmarkEnd w:id="131"/>
    <w:p>
      <w:pPr>
        <w:ind w:left="1100" w:right="260"/>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6316980</wp:posOffset>
            </wp:positionH>
            <wp:positionV relativeFrom="page">
              <wp:posOffset>205105</wp:posOffset>
            </wp:positionV>
            <wp:extent cx="1097280" cy="167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167005"/>
                    </a:xfrm>
                    <a:prstGeom prst="rect">
                      <a:avLst/>
                    </a:prstGeom>
                    <a:noFill/>
                  </pic:spPr>
                </pic:pic>
              </a:graphicData>
            </a:graphic>
          </wp:anchor>
        </w:drawing>
        <w:t>parties to inspect the Circuit Court files to ascertain whether a petition for the appointment of an examiner has been made in the Circuit Court, and we have made no searches or enquiries in this regard in respect of the Company.</w:t>
      </w:r>
    </w:p>
    <w:p>
      <w:pPr>
        <w:spacing w:after="0" w:line="141" w:lineRule="exact"/>
        <w:rPr>
          <w:sz w:val="20"/>
          <w:szCs w:val="20"/>
          <w:color w:val="auto"/>
        </w:rPr>
      </w:pPr>
    </w:p>
    <w:p>
      <w:pPr>
        <w:ind w:left="1080" w:hanging="547"/>
        <w:spacing w:after="0" w:line="264" w:lineRule="auto"/>
        <w:tabs>
          <w:tab w:leader="none" w:pos="109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contractual provision conferring or imposing a remedy or an obligation consequent upon default may not be enforceable if it were construed by an Irish court as being a penalty, particularly if it involved enforcing an additional pecuniary remedy (such as a default or overdue interest) referable to such default and which does not constitute a genuine and reasonable pre-estimate of the damage likely to be suffered as a result of the default in payment of the amount in question or the termination in question; further, recovery may be limited by laws requiring mitigation of loss suffered.</w:t>
      </w:r>
    </w:p>
    <w:p>
      <w:pPr>
        <w:spacing w:after="0" w:line="156" w:lineRule="exact"/>
        <w:rPr>
          <w:rFonts w:ascii="Arial" w:cs="Arial" w:eastAsia="Arial" w:hAnsi="Arial"/>
          <w:sz w:val="15"/>
          <w:szCs w:val="15"/>
          <w:color w:val="auto"/>
        </w:rPr>
      </w:pPr>
    </w:p>
    <w:p>
      <w:pPr>
        <w:ind w:left="1080" w:hanging="547"/>
        <w:spacing w:after="0"/>
        <w:tabs>
          <w:tab w:leader="none" w:pos="10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An Irish court may not give effect to an indemnity given by any party in the Indenture to the extent it is in respect of legal costs incurred by an unsuccessful litigant.</w:t>
      </w:r>
    </w:p>
    <w:p>
      <w:pPr>
        <w:spacing w:after="0" w:line="205" w:lineRule="exact"/>
        <w:rPr>
          <w:rFonts w:ascii="Arial" w:cs="Arial" w:eastAsia="Arial" w:hAnsi="Arial"/>
          <w:sz w:val="14"/>
          <w:szCs w:val="14"/>
          <w:color w:val="auto"/>
        </w:rPr>
      </w:pPr>
    </w:p>
    <w:p>
      <w:pPr>
        <w:ind w:left="1080" w:right="40" w:hanging="547"/>
        <w:spacing w:after="0" w:line="262" w:lineRule="auto"/>
        <w:tabs>
          <w:tab w:leader="none" w:pos="109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In the event of any proceedings being brought in an Irish court in respect of a monetary obligation expressed to be payable in a currency other than euro, an Irish court would have the power to give a judgment to pay a currency other than euro, it may decline to do so in its discretion and an Irish court might not enforce the benefit of currency conversion or indemnity clauses and, with respect to a bankruptcy, liquidation, insolvency, reorganisation or similar proceeding, the law of Ireland may require that all claims or debts are converted into euro at an exchange rate determined by the court as at a date related thereto, such as the date of commencement of a winding up</w:t>
      </w:r>
    </w:p>
    <w:p>
      <w:pPr>
        <w:spacing w:after="0" w:line="157" w:lineRule="exact"/>
        <w:rPr>
          <w:rFonts w:ascii="Arial" w:cs="Arial" w:eastAsia="Arial" w:hAnsi="Arial"/>
          <w:sz w:val="15"/>
          <w:szCs w:val="15"/>
          <w:color w:val="auto"/>
        </w:rPr>
      </w:pPr>
    </w:p>
    <w:p>
      <w:pPr>
        <w:ind w:left="1080" w:right="200" w:hanging="547"/>
        <w:spacing w:after="0" w:line="284" w:lineRule="auto"/>
        <w:tabs>
          <w:tab w:leader="none" w:pos="1084"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determination or calculation of any party to the Indenture stated in the Indenture to be conclusive may be held by the courts of Ireland not to be final, conclusive or binding.</w:t>
      </w:r>
    </w:p>
    <w:p>
      <w:pPr>
        <w:spacing w:after="0" w:line="141" w:lineRule="exact"/>
        <w:rPr>
          <w:rFonts w:ascii="Arial" w:cs="Arial" w:eastAsia="Arial" w:hAnsi="Arial"/>
          <w:sz w:val="15"/>
          <w:szCs w:val="15"/>
          <w:color w:val="auto"/>
        </w:rPr>
      </w:pPr>
    </w:p>
    <w:p>
      <w:pPr>
        <w:ind w:left="1080" w:hanging="547"/>
        <w:spacing w:after="0"/>
        <w:tabs>
          <w:tab w:leader="none" w:pos="10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effect of terms, if any, in the Indenture excusing a party from a liability or duty otherwise owed are limited by law.</w:t>
      </w:r>
    </w:p>
    <w:p>
      <w:pPr>
        <w:spacing w:after="0" w:line="193" w:lineRule="exact"/>
        <w:rPr>
          <w:rFonts w:ascii="Arial" w:cs="Arial" w:eastAsia="Arial" w:hAnsi="Arial"/>
          <w:sz w:val="15"/>
          <w:szCs w:val="15"/>
          <w:color w:val="auto"/>
        </w:rPr>
      </w:pPr>
    </w:p>
    <w:p>
      <w:pPr>
        <w:ind w:left="1080" w:right="160" w:hanging="547"/>
        <w:spacing w:after="0" w:line="284" w:lineRule="auto"/>
        <w:tabs>
          <w:tab w:leader="none" w:pos="109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Where a party is vested with a discretion or may determine a matter in his or its opinion, the law of Ireland may require that such discretion is exercised reasonably or that such opinion is based upon reasonable grounds.</w:t>
      </w:r>
    </w:p>
    <w:p>
      <w:pPr>
        <w:spacing w:after="0" w:line="141" w:lineRule="exact"/>
        <w:rPr>
          <w:rFonts w:ascii="Arial" w:cs="Arial" w:eastAsia="Arial" w:hAnsi="Arial"/>
          <w:sz w:val="15"/>
          <w:szCs w:val="15"/>
          <w:color w:val="auto"/>
        </w:rPr>
      </w:pPr>
    </w:p>
    <w:p>
      <w:pPr>
        <w:ind w:left="1080" w:hanging="547"/>
        <w:spacing w:after="0"/>
        <w:tabs>
          <w:tab w:leader="none" w:pos="10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enforceability of any provision as to severability may be determined by the courts of Ireland at its discretion.</w:t>
      </w:r>
    </w:p>
    <w:p>
      <w:pPr>
        <w:spacing w:after="0" w:line="193" w:lineRule="exact"/>
        <w:rPr>
          <w:rFonts w:ascii="Arial" w:cs="Arial" w:eastAsia="Arial" w:hAnsi="Arial"/>
          <w:sz w:val="15"/>
          <w:szCs w:val="15"/>
          <w:color w:val="auto"/>
        </w:rPr>
      </w:pPr>
    </w:p>
    <w:p>
      <w:pPr>
        <w:ind w:left="1080" w:hanging="547"/>
        <w:spacing w:after="0"/>
        <w:tabs>
          <w:tab w:leader="none" w:pos="10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No opinion is expressed on the irrevocability of any power of attorney.</w:t>
      </w:r>
    </w:p>
    <w:p>
      <w:pPr>
        <w:spacing w:after="0" w:line="193" w:lineRule="exact"/>
        <w:rPr>
          <w:rFonts w:ascii="Arial" w:cs="Arial" w:eastAsia="Arial" w:hAnsi="Arial"/>
          <w:sz w:val="15"/>
          <w:szCs w:val="15"/>
          <w:color w:val="auto"/>
        </w:rPr>
      </w:pPr>
    </w:p>
    <w:p>
      <w:pPr>
        <w:ind w:left="1080" w:hanging="547"/>
        <w:spacing w:after="0"/>
        <w:tabs>
          <w:tab w:leader="none" w:pos="10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 Irish court may not give effect to any provision of the Indenture which provides for a matter to be determined by future agreement or negotiation.</w:t>
      </w:r>
    </w:p>
    <w:p>
      <w:pPr>
        <w:spacing w:after="0" w:line="193" w:lineRule="exact"/>
        <w:rPr>
          <w:rFonts w:ascii="Arial" w:cs="Arial" w:eastAsia="Arial" w:hAnsi="Arial"/>
          <w:sz w:val="15"/>
          <w:szCs w:val="15"/>
          <w:color w:val="auto"/>
        </w:rPr>
      </w:pPr>
    </w:p>
    <w:p>
      <w:pPr>
        <w:ind w:left="1080" w:hanging="547"/>
        <w:spacing w:after="0"/>
        <w:tabs>
          <w:tab w:leader="none" w:pos="10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right of set-off provided for in a contract or another document may not be enforceable in all circumstances.</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Yours faithfully</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MATHESON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758" w:right="27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b w:val="1"/>
          <w:bCs w:val="1"/>
          <w:color w:val="auto"/>
        </w:rPr>
        <w:t>Exhibit 23.3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Weatherford International plc</w:t>
      </w:r>
    </w:p>
    <w:p>
      <w:pPr>
        <w:spacing w:after="0" w:line="183"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We consent to the use of our reports dated February 14, 2018, with respect to the consolidated balance sheets of Weatherford International plc, as of December 31, 2017 and 2016, and the related consolidated statements of operations, comprehensive loss, shareholders’ (deficiency) equity, and cash flows for each of the years in the three-year period ended December 31, 2017, and the related notes and financial statement schedule II (collectively, the “consolidated financial statements”) and the effectiveness of internal control over financial reporting as of December 31, 2017, incorporated by reference herein and to the reference to our firm under the heading “Experts” in the prospectus.</w:t>
      </w:r>
    </w:p>
    <w:p>
      <w:pPr>
        <w:spacing w:after="0" w:line="3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December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287260" cy="27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5"/>
          <w:szCs w:val="15"/>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67575" cy="29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72675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3">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27"/>
          <w:szCs w:val="27"/>
          <w:b w:val="1"/>
          <w:bCs w:val="1"/>
          <w:color w:val="auto"/>
        </w:rPr>
        <w:t>UNITED STATES</w:t>
      </w:r>
    </w:p>
    <w:p>
      <w:pPr>
        <w:spacing w:after="0" w:line="31" w:lineRule="exact"/>
        <w:rPr>
          <w:sz w:val="20"/>
          <w:szCs w:val="20"/>
          <w:color w:val="auto"/>
        </w:rPr>
      </w:pPr>
    </w:p>
    <w:p>
      <w:pPr>
        <w:jc w:val="center"/>
        <w:ind w:right="-7"/>
        <w:spacing w:after="0"/>
        <w:rPr>
          <w:sz w:val="20"/>
          <w:szCs w:val="20"/>
          <w:color w:val="auto"/>
        </w:rPr>
      </w:pPr>
      <w:r>
        <w:rPr>
          <w:rFonts w:ascii="Arial" w:cs="Arial" w:eastAsia="Arial" w:hAnsi="Arial"/>
          <w:sz w:val="27"/>
          <w:szCs w:val="27"/>
          <w:b w:val="1"/>
          <w:bCs w:val="1"/>
          <w:color w:val="auto"/>
        </w:rPr>
        <w:t>SECURITIES AND EXCHANGE COMMISSION</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144145</wp:posOffset>
            </wp:positionV>
            <wp:extent cx="18313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4">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399" w:lineRule="exact"/>
        <w:rPr>
          <w:sz w:val="20"/>
          <w:szCs w:val="20"/>
          <w:color w:val="auto"/>
        </w:rPr>
      </w:pPr>
    </w:p>
    <w:p>
      <w:pPr>
        <w:jc w:val="center"/>
        <w:ind w:right="-7"/>
        <w:spacing w:after="0"/>
        <w:rPr>
          <w:sz w:val="20"/>
          <w:szCs w:val="20"/>
          <w:color w:val="auto"/>
        </w:rPr>
      </w:pPr>
      <w:r>
        <w:rPr>
          <w:rFonts w:ascii="Arial" w:cs="Arial" w:eastAsia="Arial" w:hAnsi="Arial"/>
          <w:sz w:val="27"/>
          <w:szCs w:val="27"/>
          <w:b w:val="1"/>
          <w:bCs w:val="1"/>
          <w:color w:val="auto"/>
        </w:rPr>
        <w:t>FORM T-1</w:t>
      </w:r>
    </w:p>
    <w:p>
      <w:pPr>
        <w:spacing w:after="0" w:line="138" w:lineRule="exact"/>
        <w:rPr>
          <w:sz w:val="20"/>
          <w:szCs w:val="20"/>
          <w:color w:val="auto"/>
        </w:rPr>
      </w:pPr>
    </w:p>
    <w:p>
      <w:pPr>
        <w:ind w:left="888" w:right="400"/>
        <w:spacing w:after="0" w:line="273" w:lineRule="auto"/>
        <w:rPr>
          <w:sz w:val="20"/>
          <w:szCs w:val="20"/>
          <w:color w:val="auto"/>
        </w:rPr>
      </w:pPr>
      <w:r>
        <w:rPr>
          <w:rFonts w:ascii="Arial" w:cs="Arial" w:eastAsia="Arial" w:hAnsi="Arial"/>
          <w:sz w:val="18"/>
          <w:szCs w:val="18"/>
          <w:b w:val="1"/>
          <w:bCs w:val="1"/>
          <w:color w:val="auto"/>
        </w:rPr>
        <w:t>STATEMENT OF ELIGIBILITY UNDER THE TRUST INDENTURE ACT OF 1939 OF A CORPORATION DESIGNATED TO ACT AS TRUSTEE</w:t>
      </w:r>
    </w:p>
    <w:p>
      <w:pPr>
        <w:spacing w:after="0" w:line="67" w:lineRule="exact"/>
        <w:rPr>
          <w:sz w:val="20"/>
          <w:szCs w:val="20"/>
          <w:color w:val="auto"/>
        </w:rPr>
      </w:pPr>
    </w:p>
    <w:p>
      <w:pPr>
        <w:ind w:left="808" w:hanging="808"/>
        <w:spacing w:after="0"/>
        <w:tabs>
          <w:tab w:leader="none" w:pos="808"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151765</wp:posOffset>
            </wp:positionV>
            <wp:extent cx="18313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5">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27"/>
          <w:szCs w:val="27"/>
          <w:b w:val="1"/>
          <w:bCs w:val="1"/>
          <w:color w:val="auto"/>
        </w:rPr>
        <w:t>DEUTSCHE BANK TRUST COMPANY AMERICAS</w:t>
      </w:r>
    </w:p>
    <w:p>
      <w:pPr>
        <w:spacing w:after="0" w:line="35" w:lineRule="exact"/>
        <w:rPr>
          <w:sz w:val="20"/>
          <w:szCs w:val="20"/>
          <w:color w:val="auto"/>
        </w:rPr>
      </w:pPr>
    </w:p>
    <w:tbl>
      <w:tblPr>
        <w:tblLayout w:type="fixed"/>
        <w:tblInd w:w="1568" w:type="dxa"/>
        <w:tblCellMar>
          <w:top w:w="0" w:type="dxa"/>
          <w:left w:w="0" w:type="dxa"/>
          <w:bottom w:w="0" w:type="dxa"/>
          <w:right w:w="0" w:type="dxa"/>
        </w:tblCellMar>
      </w:tblPr>
      <w:tr>
        <w:trPr>
          <w:trHeight w:val="172"/>
        </w:trPr>
        <w:tc>
          <w:tcPr>
            <w:tcW w:w="6240" w:type="dxa"/>
            <w:vAlign w:val="bottom"/>
          </w:tcPr>
          <w:p>
            <w:pPr>
              <w:jc w:val="center"/>
              <w:ind w:left="1984"/>
              <w:spacing w:after="0"/>
              <w:rPr>
                <w:sz w:val="20"/>
                <w:szCs w:val="20"/>
                <w:color w:val="auto"/>
              </w:rPr>
            </w:pPr>
            <w:r>
              <w:rPr>
                <w:rFonts w:ascii="Arial" w:cs="Arial" w:eastAsia="Arial" w:hAnsi="Arial"/>
                <w:sz w:val="15"/>
                <w:szCs w:val="15"/>
                <w:b w:val="1"/>
                <w:bCs w:val="1"/>
                <w:color w:val="auto"/>
                <w:w w:val="99"/>
              </w:rPr>
              <w:t>(formerly BANKERS TRUST COMPANY)</w:t>
            </w:r>
          </w:p>
        </w:tc>
        <w:tc>
          <w:tcPr>
            <w:tcW w:w="1380" w:type="dxa"/>
            <w:vAlign w:val="bottom"/>
          </w:tcPr>
          <w:p>
            <w:pPr>
              <w:spacing w:after="0"/>
              <w:rPr>
                <w:sz w:val="14"/>
                <w:szCs w:val="14"/>
                <w:color w:val="auto"/>
              </w:rPr>
            </w:pPr>
          </w:p>
        </w:tc>
      </w:tr>
      <w:tr>
        <w:trPr>
          <w:trHeight w:val="194"/>
        </w:trPr>
        <w:tc>
          <w:tcPr>
            <w:tcW w:w="6240" w:type="dxa"/>
            <w:vAlign w:val="bottom"/>
          </w:tcPr>
          <w:p>
            <w:pPr>
              <w:jc w:val="center"/>
              <w:ind w:left="1984"/>
              <w:spacing w:after="0"/>
              <w:rPr>
                <w:sz w:val="20"/>
                <w:szCs w:val="20"/>
                <w:color w:val="auto"/>
              </w:rPr>
            </w:pPr>
            <w:r>
              <w:rPr>
                <w:rFonts w:ascii="Arial" w:cs="Arial" w:eastAsia="Arial" w:hAnsi="Arial"/>
                <w:sz w:val="15"/>
                <w:szCs w:val="15"/>
                <w:color w:val="auto"/>
                <w:w w:val="91"/>
              </w:rPr>
              <w:t>(Exact name of trustee as specified in its charter)</w:t>
            </w:r>
          </w:p>
        </w:tc>
        <w:tc>
          <w:tcPr>
            <w:tcW w:w="1380" w:type="dxa"/>
            <w:vAlign w:val="bottom"/>
          </w:tcPr>
          <w:p>
            <w:pPr>
              <w:spacing w:after="0"/>
              <w:rPr>
                <w:sz w:val="16"/>
                <w:szCs w:val="16"/>
                <w:color w:val="auto"/>
              </w:rPr>
            </w:pPr>
          </w:p>
        </w:tc>
      </w:tr>
      <w:tr>
        <w:trPr>
          <w:trHeight w:val="298"/>
        </w:trPr>
        <w:tc>
          <w:tcPr>
            <w:tcW w:w="6240" w:type="dxa"/>
            <w:vAlign w:val="bottom"/>
          </w:tcPr>
          <w:p>
            <w:pPr>
              <w:jc w:val="center"/>
              <w:ind w:right="3704"/>
              <w:spacing w:after="0"/>
              <w:rPr>
                <w:sz w:val="20"/>
                <w:szCs w:val="20"/>
                <w:color w:val="auto"/>
              </w:rPr>
            </w:pPr>
            <w:r>
              <w:rPr>
                <w:rFonts w:ascii="Arial" w:cs="Arial" w:eastAsia="Arial" w:hAnsi="Arial"/>
                <w:sz w:val="15"/>
                <w:szCs w:val="15"/>
                <w:b w:val="1"/>
                <w:bCs w:val="1"/>
                <w:color w:val="auto"/>
              </w:rPr>
              <w:t>NEW YORK</w:t>
            </w:r>
          </w:p>
        </w:tc>
        <w:tc>
          <w:tcPr>
            <w:tcW w:w="1380" w:type="dxa"/>
            <w:vAlign w:val="bottom"/>
          </w:tcPr>
          <w:p>
            <w:pPr>
              <w:jc w:val="right"/>
              <w:ind w:right="104"/>
              <w:spacing w:after="0"/>
              <w:rPr>
                <w:sz w:val="20"/>
                <w:szCs w:val="20"/>
                <w:color w:val="auto"/>
              </w:rPr>
            </w:pPr>
            <w:r>
              <w:rPr>
                <w:rFonts w:ascii="Arial" w:cs="Arial" w:eastAsia="Arial" w:hAnsi="Arial"/>
                <w:sz w:val="15"/>
                <w:szCs w:val="15"/>
                <w:b w:val="1"/>
                <w:bCs w:val="1"/>
                <w:color w:val="auto"/>
              </w:rPr>
              <w:t>13-4941247</w:t>
            </w:r>
          </w:p>
        </w:tc>
      </w:tr>
      <w:tr>
        <w:trPr>
          <w:trHeight w:val="183"/>
        </w:trPr>
        <w:tc>
          <w:tcPr>
            <w:tcW w:w="6240" w:type="dxa"/>
            <w:vAlign w:val="bottom"/>
          </w:tcPr>
          <w:p>
            <w:pPr>
              <w:jc w:val="center"/>
              <w:ind w:right="3684"/>
              <w:spacing w:after="0"/>
              <w:rPr>
                <w:sz w:val="20"/>
                <w:szCs w:val="20"/>
                <w:color w:val="auto"/>
              </w:rPr>
            </w:pPr>
            <w:r>
              <w:rPr>
                <w:rFonts w:ascii="Arial" w:cs="Arial" w:eastAsia="Arial" w:hAnsi="Arial"/>
                <w:sz w:val="15"/>
                <w:szCs w:val="15"/>
                <w:color w:val="auto"/>
                <w:w w:val="95"/>
              </w:rPr>
              <w:t>(Jurisdiction of Incorporation or</w:t>
            </w:r>
          </w:p>
        </w:tc>
        <w:tc>
          <w:tcPr>
            <w:tcW w:w="1380" w:type="dxa"/>
            <w:vAlign w:val="bottom"/>
          </w:tcPr>
          <w:p>
            <w:pPr>
              <w:jc w:val="center"/>
              <w:ind w:left="224"/>
              <w:spacing w:after="0"/>
              <w:rPr>
                <w:sz w:val="20"/>
                <w:szCs w:val="20"/>
                <w:color w:val="auto"/>
              </w:rPr>
            </w:pPr>
            <w:r>
              <w:rPr>
                <w:rFonts w:ascii="Arial" w:cs="Arial" w:eastAsia="Arial" w:hAnsi="Arial"/>
                <w:sz w:val="15"/>
                <w:szCs w:val="15"/>
                <w:color w:val="auto"/>
                <w:w w:val="94"/>
              </w:rPr>
              <w:t>(I.R.S. Employer</w:t>
            </w:r>
          </w:p>
        </w:tc>
      </w:tr>
      <w:tr>
        <w:trPr>
          <w:trHeight w:val="194"/>
        </w:trPr>
        <w:tc>
          <w:tcPr>
            <w:tcW w:w="6240" w:type="dxa"/>
            <w:vAlign w:val="bottom"/>
          </w:tcPr>
          <w:p>
            <w:pPr>
              <w:jc w:val="center"/>
              <w:ind w:right="3704"/>
              <w:spacing w:after="0"/>
              <w:rPr>
                <w:sz w:val="20"/>
                <w:szCs w:val="20"/>
                <w:color w:val="auto"/>
              </w:rPr>
            </w:pPr>
            <w:r>
              <w:rPr>
                <w:rFonts w:ascii="Arial" w:cs="Arial" w:eastAsia="Arial" w:hAnsi="Arial"/>
                <w:sz w:val="15"/>
                <w:szCs w:val="15"/>
                <w:color w:val="auto"/>
                <w:w w:val="93"/>
              </w:rPr>
              <w:t>organization if not a U.S. national bank)</w:t>
            </w:r>
          </w:p>
        </w:tc>
        <w:tc>
          <w:tcPr>
            <w:tcW w:w="1380" w:type="dxa"/>
            <w:vAlign w:val="bottom"/>
          </w:tcPr>
          <w:p>
            <w:pPr>
              <w:jc w:val="center"/>
              <w:ind w:left="204"/>
              <w:spacing w:after="0"/>
              <w:rPr>
                <w:sz w:val="20"/>
                <w:szCs w:val="20"/>
                <w:color w:val="auto"/>
              </w:rPr>
            </w:pPr>
            <w:r>
              <w:rPr>
                <w:rFonts w:ascii="Arial" w:cs="Arial" w:eastAsia="Arial" w:hAnsi="Arial"/>
                <w:sz w:val="15"/>
                <w:szCs w:val="15"/>
                <w:color w:val="auto"/>
                <w:w w:val="96"/>
              </w:rPr>
              <w:t>Identification no.)</w:t>
            </w:r>
          </w:p>
        </w:tc>
      </w:tr>
      <w:tr>
        <w:trPr>
          <w:trHeight w:val="351"/>
        </w:trPr>
        <w:tc>
          <w:tcPr>
            <w:tcW w:w="6240" w:type="dxa"/>
            <w:vAlign w:val="bottom"/>
          </w:tcPr>
          <w:p>
            <w:pPr>
              <w:jc w:val="center"/>
              <w:ind w:right="3684"/>
              <w:spacing w:after="0"/>
              <w:rPr>
                <w:sz w:val="20"/>
                <w:szCs w:val="20"/>
                <w:color w:val="auto"/>
              </w:rPr>
            </w:pPr>
            <w:r>
              <w:rPr>
                <w:rFonts w:ascii="Arial" w:cs="Arial" w:eastAsia="Arial" w:hAnsi="Arial"/>
                <w:sz w:val="15"/>
                <w:szCs w:val="15"/>
                <w:b w:val="1"/>
                <w:bCs w:val="1"/>
                <w:color w:val="auto"/>
              </w:rPr>
              <w:t>60 WALL STREET</w:t>
            </w:r>
          </w:p>
        </w:tc>
        <w:tc>
          <w:tcPr>
            <w:tcW w:w="1380" w:type="dxa"/>
            <w:vAlign w:val="bottom"/>
          </w:tcPr>
          <w:p>
            <w:pPr>
              <w:spacing w:after="0"/>
              <w:rPr>
                <w:sz w:val="24"/>
                <w:szCs w:val="24"/>
                <w:color w:val="auto"/>
              </w:rPr>
            </w:pPr>
          </w:p>
        </w:tc>
      </w:tr>
      <w:tr>
        <w:trPr>
          <w:trHeight w:val="187"/>
        </w:trPr>
        <w:tc>
          <w:tcPr>
            <w:tcW w:w="6240" w:type="dxa"/>
            <w:vAlign w:val="bottom"/>
          </w:tcPr>
          <w:p>
            <w:pPr>
              <w:jc w:val="center"/>
              <w:ind w:right="3684"/>
              <w:spacing w:after="0"/>
              <w:rPr>
                <w:sz w:val="20"/>
                <w:szCs w:val="20"/>
                <w:color w:val="auto"/>
              </w:rPr>
            </w:pPr>
            <w:r>
              <w:rPr>
                <w:rFonts w:ascii="Arial" w:cs="Arial" w:eastAsia="Arial" w:hAnsi="Arial"/>
                <w:sz w:val="15"/>
                <w:szCs w:val="15"/>
                <w:b w:val="1"/>
                <w:bCs w:val="1"/>
                <w:color w:val="auto"/>
              </w:rPr>
              <w:t>NEW YORK, NEW YORK</w:t>
            </w:r>
          </w:p>
        </w:tc>
        <w:tc>
          <w:tcPr>
            <w:tcW w:w="1380" w:type="dxa"/>
            <w:vAlign w:val="bottom"/>
          </w:tcPr>
          <w:p>
            <w:pPr>
              <w:jc w:val="right"/>
              <w:ind w:right="284"/>
              <w:spacing w:after="0"/>
              <w:rPr>
                <w:sz w:val="20"/>
                <w:szCs w:val="20"/>
                <w:color w:val="auto"/>
              </w:rPr>
            </w:pPr>
            <w:r>
              <w:rPr>
                <w:rFonts w:ascii="Arial" w:cs="Arial" w:eastAsia="Arial" w:hAnsi="Arial"/>
                <w:sz w:val="15"/>
                <w:szCs w:val="15"/>
                <w:b w:val="1"/>
                <w:bCs w:val="1"/>
                <w:color w:val="auto"/>
              </w:rPr>
              <w:t>10005</w:t>
            </w:r>
          </w:p>
        </w:tc>
      </w:tr>
      <w:tr>
        <w:trPr>
          <w:trHeight w:val="183"/>
        </w:trPr>
        <w:tc>
          <w:tcPr>
            <w:tcW w:w="6240" w:type="dxa"/>
            <w:vAlign w:val="bottom"/>
          </w:tcPr>
          <w:p>
            <w:pPr>
              <w:jc w:val="center"/>
              <w:ind w:right="3704"/>
              <w:spacing w:after="0"/>
              <w:rPr>
                <w:sz w:val="20"/>
                <w:szCs w:val="20"/>
                <w:color w:val="auto"/>
              </w:rPr>
            </w:pPr>
            <w:r>
              <w:rPr>
                <w:rFonts w:ascii="Arial" w:cs="Arial" w:eastAsia="Arial" w:hAnsi="Arial"/>
                <w:sz w:val="15"/>
                <w:szCs w:val="15"/>
                <w:color w:val="auto"/>
                <w:w w:val="95"/>
              </w:rPr>
              <w:t>(Address of principal</w:t>
            </w:r>
          </w:p>
        </w:tc>
        <w:tc>
          <w:tcPr>
            <w:tcW w:w="1380" w:type="dxa"/>
            <w:vAlign w:val="bottom"/>
          </w:tcPr>
          <w:p>
            <w:pPr>
              <w:jc w:val="center"/>
              <w:ind w:left="204"/>
              <w:spacing w:after="0"/>
              <w:rPr>
                <w:sz w:val="20"/>
                <w:szCs w:val="20"/>
                <w:color w:val="auto"/>
              </w:rPr>
            </w:pPr>
            <w:r>
              <w:rPr>
                <w:rFonts w:ascii="Arial" w:cs="Arial" w:eastAsia="Arial" w:hAnsi="Arial"/>
                <w:sz w:val="15"/>
                <w:szCs w:val="15"/>
                <w:color w:val="auto"/>
                <w:w w:val="93"/>
              </w:rPr>
              <w:t>(Zip Code)</w:t>
            </w:r>
          </w:p>
        </w:tc>
      </w:tr>
      <w:tr>
        <w:trPr>
          <w:trHeight w:val="194"/>
        </w:trPr>
        <w:tc>
          <w:tcPr>
            <w:tcW w:w="6240" w:type="dxa"/>
            <w:vAlign w:val="bottom"/>
          </w:tcPr>
          <w:p>
            <w:pPr>
              <w:jc w:val="center"/>
              <w:ind w:right="3684"/>
              <w:spacing w:after="0"/>
              <w:rPr>
                <w:sz w:val="20"/>
                <w:szCs w:val="20"/>
                <w:color w:val="auto"/>
              </w:rPr>
            </w:pPr>
            <w:r>
              <w:rPr>
                <w:rFonts w:ascii="Arial" w:cs="Arial" w:eastAsia="Arial" w:hAnsi="Arial"/>
                <w:sz w:val="15"/>
                <w:szCs w:val="15"/>
                <w:color w:val="auto"/>
                <w:w w:val="93"/>
              </w:rPr>
              <w:t>executive offices)</w:t>
            </w:r>
          </w:p>
        </w:tc>
        <w:tc>
          <w:tcPr>
            <w:tcW w:w="1380" w:type="dxa"/>
            <w:vAlign w:val="bottom"/>
          </w:tcPr>
          <w:p>
            <w:pPr>
              <w:spacing w:after="0"/>
              <w:rPr>
                <w:sz w:val="16"/>
                <w:szCs w:val="16"/>
                <w:color w:val="auto"/>
              </w:rPr>
            </w:pPr>
          </w:p>
        </w:tc>
      </w:tr>
      <w:tr>
        <w:trPr>
          <w:trHeight w:val="294"/>
        </w:trPr>
        <w:tc>
          <w:tcPr>
            <w:tcW w:w="6240" w:type="dxa"/>
            <w:vAlign w:val="bottom"/>
          </w:tcPr>
          <w:p>
            <w:pPr>
              <w:jc w:val="center"/>
              <w:ind w:left="1984"/>
              <w:spacing w:after="0"/>
              <w:rPr>
                <w:sz w:val="20"/>
                <w:szCs w:val="20"/>
                <w:color w:val="auto"/>
              </w:rPr>
            </w:pPr>
            <w:r>
              <w:rPr>
                <w:rFonts w:ascii="Arial" w:cs="Arial" w:eastAsia="Arial" w:hAnsi="Arial"/>
                <w:sz w:val="15"/>
                <w:szCs w:val="15"/>
                <w:b w:val="1"/>
                <w:bCs w:val="1"/>
                <w:color w:val="auto"/>
                <w:w w:val="91"/>
              </w:rPr>
              <w:t>Deutsche Bank Trust Company Americas</w:t>
            </w:r>
          </w:p>
        </w:tc>
        <w:tc>
          <w:tcPr>
            <w:tcW w:w="1380" w:type="dxa"/>
            <w:vAlign w:val="bottom"/>
          </w:tcPr>
          <w:p>
            <w:pPr>
              <w:spacing w:after="0"/>
              <w:rPr>
                <w:sz w:val="24"/>
                <w:szCs w:val="24"/>
                <w:color w:val="auto"/>
              </w:rPr>
            </w:pPr>
          </w:p>
        </w:tc>
      </w:tr>
      <w:tr>
        <w:trPr>
          <w:trHeight w:val="183"/>
        </w:trPr>
        <w:tc>
          <w:tcPr>
            <w:tcW w:w="6240" w:type="dxa"/>
            <w:vAlign w:val="bottom"/>
          </w:tcPr>
          <w:p>
            <w:pPr>
              <w:jc w:val="center"/>
              <w:ind w:left="1984"/>
              <w:spacing w:after="0"/>
              <w:rPr>
                <w:sz w:val="20"/>
                <w:szCs w:val="20"/>
                <w:color w:val="auto"/>
              </w:rPr>
            </w:pPr>
            <w:r>
              <w:rPr>
                <w:rFonts w:ascii="Arial" w:cs="Arial" w:eastAsia="Arial" w:hAnsi="Arial"/>
                <w:sz w:val="15"/>
                <w:szCs w:val="15"/>
                <w:b w:val="1"/>
                <w:bCs w:val="1"/>
                <w:color w:val="auto"/>
                <w:w w:val="94"/>
              </w:rPr>
              <w:t>Attention: Catherine Wang</w:t>
            </w:r>
          </w:p>
        </w:tc>
        <w:tc>
          <w:tcPr>
            <w:tcW w:w="1380" w:type="dxa"/>
            <w:vAlign w:val="bottom"/>
          </w:tcPr>
          <w:p>
            <w:pPr>
              <w:spacing w:after="0"/>
              <w:rPr>
                <w:sz w:val="15"/>
                <w:szCs w:val="15"/>
                <w:color w:val="auto"/>
              </w:rPr>
            </w:pPr>
          </w:p>
        </w:tc>
      </w:tr>
      <w:tr>
        <w:trPr>
          <w:trHeight w:val="183"/>
        </w:trPr>
        <w:tc>
          <w:tcPr>
            <w:tcW w:w="6240" w:type="dxa"/>
            <w:vAlign w:val="bottom"/>
          </w:tcPr>
          <w:p>
            <w:pPr>
              <w:jc w:val="center"/>
              <w:ind w:left="1984"/>
              <w:spacing w:after="0"/>
              <w:rPr>
                <w:sz w:val="20"/>
                <w:szCs w:val="20"/>
                <w:color w:val="auto"/>
              </w:rPr>
            </w:pPr>
            <w:r>
              <w:rPr>
                <w:rFonts w:ascii="Arial" w:cs="Arial" w:eastAsia="Arial" w:hAnsi="Arial"/>
                <w:sz w:val="15"/>
                <w:szCs w:val="15"/>
                <w:b w:val="1"/>
                <w:bCs w:val="1"/>
                <w:color w:val="auto"/>
                <w:w w:val="93"/>
              </w:rPr>
              <w:t>Legal Department</w:t>
            </w:r>
          </w:p>
        </w:tc>
        <w:tc>
          <w:tcPr>
            <w:tcW w:w="1380" w:type="dxa"/>
            <w:vAlign w:val="bottom"/>
          </w:tcPr>
          <w:p>
            <w:pPr>
              <w:spacing w:after="0"/>
              <w:rPr>
                <w:sz w:val="15"/>
                <w:szCs w:val="15"/>
                <w:color w:val="auto"/>
              </w:rPr>
            </w:pPr>
          </w:p>
        </w:tc>
      </w:tr>
      <w:tr>
        <w:trPr>
          <w:trHeight w:val="183"/>
        </w:trPr>
        <w:tc>
          <w:tcPr>
            <w:tcW w:w="6240" w:type="dxa"/>
            <w:vAlign w:val="bottom"/>
          </w:tcPr>
          <w:p>
            <w:pPr>
              <w:jc w:val="center"/>
              <w:ind w:left="2004"/>
              <w:spacing w:after="0"/>
              <w:rPr>
                <w:sz w:val="20"/>
                <w:szCs w:val="20"/>
                <w:color w:val="auto"/>
              </w:rPr>
            </w:pPr>
            <w:r>
              <w:rPr>
                <w:rFonts w:ascii="Arial" w:cs="Arial" w:eastAsia="Arial" w:hAnsi="Arial"/>
                <w:sz w:val="15"/>
                <w:szCs w:val="15"/>
                <w:b w:val="1"/>
                <w:bCs w:val="1"/>
                <w:color w:val="auto"/>
                <w:w w:val="93"/>
              </w:rPr>
              <w:t>60 Wall Street, 36th Floor</w:t>
            </w:r>
          </w:p>
        </w:tc>
        <w:tc>
          <w:tcPr>
            <w:tcW w:w="1380" w:type="dxa"/>
            <w:vAlign w:val="bottom"/>
          </w:tcPr>
          <w:p>
            <w:pPr>
              <w:spacing w:after="0"/>
              <w:rPr>
                <w:sz w:val="15"/>
                <w:szCs w:val="15"/>
                <w:color w:val="auto"/>
              </w:rPr>
            </w:pPr>
          </w:p>
        </w:tc>
      </w:tr>
      <w:tr>
        <w:trPr>
          <w:trHeight w:val="183"/>
        </w:trPr>
        <w:tc>
          <w:tcPr>
            <w:tcW w:w="6240" w:type="dxa"/>
            <w:vAlign w:val="bottom"/>
          </w:tcPr>
          <w:p>
            <w:pPr>
              <w:jc w:val="center"/>
              <w:ind w:left="2004"/>
              <w:spacing w:after="0"/>
              <w:rPr>
                <w:sz w:val="20"/>
                <w:szCs w:val="20"/>
                <w:color w:val="auto"/>
              </w:rPr>
            </w:pPr>
            <w:r>
              <w:rPr>
                <w:rFonts w:ascii="Arial" w:cs="Arial" w:eastAsia="Arial" w:hAnsi="Arial"/>
                <w:sz w:val="15"/>
                <w:szCs w:val="15"/>
                <w:b w:val="1"/>
                <w:bCs w:val="1"/>
                <w:color w:val="auto"/>
                <w:w w:val="94"/>
              </w:rPr>
              <w:t>New York, New York 10005</w:t>
            </w:r>
          </w:p>
        </w:tc>
        <w:tc>
          <w:tcPr>
            <w:tcW w:w="1380" w:type="dxa"/>
            <w:vAlign w:val="bottom"/>
          </w:tcPr>
          <w:p>
            <w:pPr>
              <w:spacing w:after="0"/>
              <w:rPr>
                <w:sz w:val="15"/>
                <w:szCs w:val="15"/>
                <w:color w:val="auto"/>
              </w:rPr>
            </w:pPr>
          </w:p>
        </w:tc>
      </w:tr>
      <w:tr>
        <w:trPr>
          <w:trHeight w:val="187"/>
        </w:trPr>
        <w:tc>
          <w:tcPr>
            <w:tcW w:w="6240" w:type="dxa"/>
            <w:vAlign w:val="bottom"/>
          </w:tcPr>
          <w:p>
            <w:pPr>
              <w:jc w:val="center"/>
              <w:ind w:left="1984"/>
              <w:spacing w:after="0"/>
              <w:rPr>
                <w:sz w:val="20"/>
                <w:szCs w:val="20"/>
                <w:color w:val="auto"/>
              </w:rPr>
            </w:pPr>
            <w:r>
              <w:rPr>
                <w:rFonts w:ascii="Arial" w:cs="Arial" w:eastAsia="Arial" w:hAnsi="Arial"/>
                <w:sz w:val="15"/>
                <w:szCs w:val="15"/>
                <w:b w:val="1"/>
                <w:bCs w:val="1"/>
                <w:color w:val="auto"/>
                <w:w w:val="92"/>
              </w:rPr>
              <w:t>(212) 250 – 7544</w:t>
            </w:r>
          </w:p>
        </w:tc>
        <w:tc>
          <w:tcPr>
            <w:tcW w:w="1380" w:type="dxa"/>
            <w:vAlign w:val="bottom"/>
          </w:tcPr>
          <w:p>
            <w:pPr>
              <w:spacing w:after="0"/>
              <w:rPr>
                <w:sz w:val="16"/>
                <w:szCs w:val="16"/>
                <w:color w:val="auto"/>
              </w:rPr>
            </w:pPr>
          </w:p>
        </w:tc>
      </w:tr>
      <w:tr>
        <w:trPr>
          <w:trHeight w:val="194"/>
        </w:trPr>
        <w:tc>
          <w:tcPr>
            <w:tcW w:w="6240" w:type="dxa"/>
            <w:vAlign w:val="bottom"/>
          </w:tcPr>
          <w:p>
            <w:pPr>
              <w:jc w:val="center"/>
              <w:ind w:left="1984"/>
              <w:spacing w:after="0"/>
              <w:rPr>
                <w:sz w:val="20"/>
                <w:szCs w:val="20"/>
                <w:color w:val="auto"/>
              </w:rPr>
            </w:pPr>
            <w:r>
              <w:rPr>
                <w:rFonts w:ascii="Arial" w:cs="Arial" w:eastAsia="Arial" w:hAnsi="Arial"/>
                <w:sz w:val="15"/>
                <w:szCs w:val="15"/>
                <w:color w:val="auto"/>
                <w:w w:val="91"/>
              </w:rPr>
              <w:t>(Name, address and telephone number of agent for service)</w:t>
            </w: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137795</wp:posOffset>
            </wp:positionV>
            <wp:extent cx="18313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6">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27"/>
          <w:szCs w:val="27"/>
          <w:b w:val="1"/>
          <w:bCs w:val="1"/>
          <w:color w:val="auto"/>
        </w:rPr>
        <w:t>WEATHERFORD INTERNATIONAL, LLC</w:t>
      </w:r>
    </w:p>
    <w:p>
      <w:pPr>
        <w:spacing w:after="0" w:line="36" w:lineRule="exact"/>
        <w:rPr>
          <w:sz w:val="20"/>
          <w:szCs w:val="20"/>
          <w:color w:val="auto"/>
        </w:rPr>
      </w:pPr>
    </w:p>
    <w:p>
      <w:pPr>
        <w:ind w:left="4208"/>
        <w:spacing w:after="0"/>
        <w:rPr>
          <w:sz w:val="20"/>
          <w:szCs w:val="20"/>
          <w:color w:val="auto"/>
        </w:rPr>
      </w:pPr>
      <w:r>
        <w:rPr>
          <w:rFonts w:ascii="Arial" w:cs="Arial" w:eastAsia="Arial" w:hAnsi="Arial"/>
          <w:sz w:val="15"/>
          <w:szCs w:val="15"/>
          <w:color w:val="auto"/>
        </w:rPr>
        <w:t>(Exact name of obligor as specified in its charter)</w:t>
      </w:r>
    </w:p>
    <w:p>
      <w:pPr>
        <w:spacing w:after="0" w:line="121" w:lineRule="exact"/>
        <w:rPr>
          <w:sz w:val="20"/>
          <w:szCs w:val="20"/>
          <w:color w:val="auto"/>
        </w:rPr>
      </w:pPr>
    </w:p>
    <w:p>
      <w:pPr>
        <w:ind w:left="5408"/>
        <w:spacing w:after="0"/>
        <w:rPr>
          <w:sz w:val="20"/>
          <w:szCs w:val="20"/>
          <w:color w:val="auto"/>
        </w:rPr>
      </w:pPr>
      <w:r>
        <w:rPr>
          <w:rFonts w:ascii="Arial" w:cs="Arial" w:eastAsia="Arial" w:hAnsi="Arial"/>
          <w:sz w:val="15"/>
          <w:szCs w:val="15"/>
          <w:b w:val="1"/>
          <w:bCs w:val="1"/>
          <w:color w:val="auto"/>
        </w:rPr>
        <w:t>Delaware</w:t>
      </w:r>
    </w:p>
    <w:p>
      <w:pPr>
        <w:spacing w:after="0" w:line="25" w:lineRule="exact"/>
        <w:rPr>
          <w:sz w:val="20"/>
          <w:szCs w:val="20"/>
          <w:color w:val="auto"/>
        </w:rPr>
      </w:pPr>
    </w:p>
    <w:p>
      <w:pPr>
        <w:ind w:left="3908"/>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122" w:lineRule="exact"/>
        <w:rPr>
          <w:sz w:val="20"/>
          <w:szCs w:val="20"/>
          <w:color w:val="auto"/>
        </w:rPr>
      </w:pPr>
    </w:p>
    <w:p>
      <w:pPr>
        <w:ind w:left="5348"/>
        <w:spacing w:after="0"/>
        <w:rPr>
          <w:sz w:val="20"/>
          <w:szCs w:val="20"/>
          <w:color w:val="auto"/>
        </w:rPr>
      </w:pPr>
      <w:r>
        <w:rPr>
          <w:rFonts w:ascii="Arial" w:cs="Arial" w:eastAsia="Arial" w:hAnsi="Arial"/>
          <w:sz w:val="15"/>
          <w:szCs w:val="15"/>
          <w:b w:val="1"/>
          <w:bCs w:val="1"/>
          <w:color w:val="auto"/>
        </w:rPr>
        <w:t>04-2515019</w:t>
      </w:r>
    </w:p>
    <w:p>
      <w:pPr>
        <w:spacing w:after="0" w:line="25" w:lineRule="exact"/>
        <w:rPr>
          <w:sz w:val="20"/>
          <w:szCs w:val="20"/>
          <w:color w:val="auto"/>
        </w:rPr>
      </w:pPr>
    </w:p>
    <w:p>
      <w:pPr>
        <w:ind w:left="4468"/>
        <w:spacing w:after="0"/>
        <w:rPr>
          <w:sz w:val="20"/>
          <w:szCs w:val="20"/>
          <w:color w:val="auto"/>
        </w:rPr>
      </w:pPr>
      <w:r>
        <w:rPr>
          <w:rFonts w:ascii="Arial" w:cs="Arial" w:eastAsia="Arial" w:hAnsi="Arial"/>
          <w:sz w:val="15"/>
          <w:szCs w:val="15"/>
          <w:color w:val="auto"/>
        </w:rPr>
        <w:t>(I.R.S. Employer Identification Number)</w:t>
      </w:r>
    </w:p>
    <w:p>
      <w:pPr>
        <w:spacing w:after="0" w:line="122" w:lineRule="exact"/>
        <w:rPr>
          <w:sz w:val="20"/>
          <w:szCs w:val="20"/>
          <w:color w:val="auto"/>
        </w:rPr>
      </w:pPr>
    </w:p>
    <w:p>
      <w:pPr>
        <w:ind w:left="4308"/>
        <w:spacing w:after="0"/>
        <w:rPr>
          <w:sz w:val="20"/>
          <w:szCs w:val="20"/>
          <w:color w:val="auto"/>
        </w:rPr>
      </w:pPr>
      <w:r>
        <w:rPr>
          <w:rFonts w:ascii="Arial" w:cs="Arial" w:eastAsia="Arial" w:hAnsi="Arial"/>
          <w:sz w:val="15"/>
          <w:szCs w:val="15"/>
          <w:b w:val="1"/>
          <w:bCs w:val="1"/>
          <w:color w:val="auto"/>
        </w:rPr>
        <w:t>2000 St. James Place, Houston, Texas 77056</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(713) 836-4000</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122" w:lineRule="exact"/>
        <w:rPr>
          <w:sz w:val="20"/>
          <w:szCs w:val="20"/>
          <w:color w:val="auto"/>
        </w:rPr>
      </w:pPr>
    </w:p>
    <w:tbl>
      <w:tblPr>
        <w:tblLayout w:type="fixed"/>
        <w:tblInd w:w="468" w:type="dxa"/>
        <w:tblCellMar>
          <w:top w:w="0" w:type="dxa"/>
          <w:left w:w="0" w:type="dxa"/>
          <w:bottom w:w="0" w:type="dxa"/>
          <w:right w:w="0" w:type="dxa"/>
        </w:tblCellMar>
      </w:tblPr>
      <w:tr>
        <w:trPr>
          <w:trHeight w:val="187"/>
        </w:trPr>
        <w:tc>
          <w:tcPr>
            <w:tcW w:w="5260" w:type="dxa"/>
            <w:vAlign w:val="bottom"/>
          </w:tcPr>
          <w:p>
            <w:pPr>
              <w:jc w:val="center"/>
              <w:ind w:right="504"/>
              <w:spacing w:after="0"/>
              <w:rPr>
                <w:sz w:val="20"/>
                <w:szCs w:val="20"/>
                <w:color w:val="auto"/>
              </w:rPr>
            </w:pPr>
            <w:r>
              <w:rPr>
                <w:rFonts w:ascii="Arial" w:cs="Arial" w:eastAsia="Arial" w:hAnsi="Arial"/>
                <w:sz w:val="15"/>
                <w:szCs w:val="15"/>
                <w:b w:val="1"/>
                <w:bCs w:val="1"/>
                <w:color w:val="auto"/>
                <w:w w:val="93"/>
              </w:rPr>
              <w:t>Weatherford International public limited company</w:t>
            </w:r>
          </w:p>
        </w:tc>
        <w:tc>
          <w:tcPr>
            <w:tcW w:w="5240" w:type="dxa"/>
            <w:vAlign w:val="bottom"/>
          </w:tcPr>
          <w:p>
            <w:pPr>
              <w:jc w:val="center"/>
              <w:ind w:left="504"/>
              <w:spacing w:after="0"/>
              <w:rPr>
                <w:sz w:val="20"/>
                <w:szCs w:val="20"/>
                <w:color w:val="auto"/>
              </w:rPr>
            </w:pPr>
            <w:r>
              <w:rPr>
                <w:rFonts w:ascii="Arial" w:cs="Arial" w:eastAsia="Arial" w:hAnsi="Arial"/>
                <w:sz w:val="15"/>
                <w:szCs w:val="15"/>
                <w:b w:val="1"/>
                <w:bCs w:val="1"/>
                <w:color w:val="auto"/>
                <w:w w:val="96"/>
              </w:rPr>
              <w:t>Weatherford International Ltd.</w:t>
            </w:r>
          </w:p>
        </w:tc>
      </w:tr>
      <w:tr>
        <w:trPr>
          <w:trHeight w:val="179"/>
        </w:trPr>
        <w:tc>
          <w:tcPr>
            <w:tcW w:w="5260" w:type="dxa"/>
            <w:vAlign w:val="bottom"/>
          </w:tcPr>
          <w:p>
            <w:pPr>
              <w:jc w:val="center"/>
              <w:ind w:right="524"/>
              <w:spacing w:after="0"/>
              <w:rPr>
                <w:sz w:val="20"/>
                <w:szCs w:val="20"/>
                <w:color w:val="auto"/>
              </w:rPr>
            </w:pPr>
            <w:r>
              <w:rPr>
                <w:rFonts w:ascii="Arial" w:cs="Arial" w:eastAsia="Arial" w:hAnsi="Arial"/>
                <w:sz w:val="15"/>
                <w:szCs w:val="15"/>
                <w:color w:val="auto"/>
                <w:w w:val="92"/>
              </w:rPr>
              <w:t>(Exact name of co-registrant as specified in its charter)</w:t>
            </w:r>
          </w:p>
        </w:tc>
        <w:tc>
          <w:tcPr>
            <w:tcW w:w="5240" w:type="dxa"/>
            <w:vAlign w:val="bottom"/>
          </w:tcPr>
          <w:p>
            <w:pPr>
              <w:jc w:val="center"/>
              <w:ind w:left="504"/>
              <w:spacing w:after="0"/>
              <w:rPr>
                <w:sz w:val="20"/>
                <w:szCs w:val="20"/>
                <w:color w:val="auto"/>
              </w:rPr>
            </w:pPr>
            <w:r>
              <w:rPr>
                <w:rFonts w:ascii="Arial" w:cs="Arial" w:eastAsia="Arial" w:hAnsi="Arial"/>
                <w:sz w:val="15"/>
                <w:szCs w:val="15"/>
                <w:color w:val="auto"/>
                <w:w w:val="92"/>
              </w:rPr>
              <w:t>(Exact name of co-registrant as specified in its charter)</w:t>
            </w:r>
          </w:p>
        </w:tc>
      </w:tr>
      <w:tr>
        <w:trPr>
          <w:trHeight w:val="187"/>
        </w:trPr>
        <w:tc>
          <w:tcPr>
            <w:tcW w:w="5260" w:type="dxa"/>
            <w:vAlign w:val="bottom"/>
          </w:tcPr>
          <w:p>
            <w:pPr>
              <w:jc w:val="center"/>
              <w:ind w:right="504"/>
              <w:spacing w:after="0"/>
              <w:rPr>
                <w:sz w:val="20"/>
                <w:szCs w:val="20"/>
                <w:color w:val="auto"/>
              </w:rPr>
            </w:pPr>
            <w:r>
              <w:rPr>
                <w:rFonts w:ascii="Arial" w:cs="Arial" w:eastAsia="Arial" w:hAnsi="Arial"/>
                <w:sz w:val="15"/>
                <w:szCs w:val="15"/>
                <w:b w:val="1"/>
                <w:bCs w:val="1"/>
                <w:color w:val="auto"/>
                <w:w w:val="97"/>
              </w:rPr>
              <w:t>Ireland</w:t>
            </w:r>
          </w:p>
        </w:tc>
        <w:tc>
          <w:tcPr>
            <w:tcW w:w="5240" w:type="dxa"/>
            <w:vAlign w:val="bottom"/>
          </w:tcPr>
          <w:p>
            <w:pPr>
              <w:jc w:val="center"/>
              <w:ind w:left="504"/>
              <w:spacing w:after="0"/>
              <w:rPr>
                <w:sz w:val="20"/>
                <w:szCs w:val="20"/>
                <w:color w:val="auto"/>
              </w:rPr>
            </w:pPr>
            <w:r>
              <w:rPr>
                <w:rFonts w:ascii="Arial" w:cs="Arial" w:eastAsia="Arial" w:hAnsi="Arial"/>
                <w:sz w:val="15"/>
                <w:szCs w:val="15"/>
                <w:b w:val="1"/>
                <w:bCs w:val="1"/>
                <w:color w:val="auto"/>
                <w:w w:val="95"/>
              </w:rPr>
              <w:t>Bermuda</w:t>
            </w:r>
          </w:p>
        </w:tc>
      </w:tr>
      <w:tr>
        <w:trPr>
          <w:trHeight w:val="179"/>
        </w:trPr>
        <w:tc>
          <w:tcPr>
            <w:tcW w:w="5260" w:type="dxa"/>
            <w:vAlign w:val="bottom"/>
          </w:tcPr>
          <w:p>
            <w:pPr>
              <w:jc w:val="center"/>
              <w:ind w:right="504"/>
              <w:spacing w:after="0"/>
              <w:rPr>
                <w:sz w:val="20"/>
                <w:szCs w:val="20"/>
                <w:color w:val="auto"/>
              </w:rPr>
            </w:pPr>
            <w:r>
              <w:rPr>
                <w:rFonts w:ascii="Arial" w:cs="Arial" w:eastAsia="Arial" w:hAnsi="Arial"/>
                <w:sz w:val="15"/>
                <w:szCs w:val="15"/>
                <w:color w:val="auto"/>
                <w:w w:val="94"/>
              </w:rPr>
              <w:t>(State or other jurisdiction of incorporation or organization)</w:t>
            </w:r>
          </w:p>
        </w:tc>
        <w:tc>
          <w:tcPr>
            <w:tcW w:w="5240" w:type="dxa"/>
            <w:vAlign w:val="bottom"/>
          </w:tcPr>
          <w:p>
            <w:pPr>
              <w:jc w:val="center"/>
              <w:ind w:left="524"/>
              <w:spacing w:after="0"/>
              <w:rPr>
                <w:sz w:val="20"/>
                <w:szCs w:val="20"/>
                <w:color w:val="auto"/>
              </w:rPr>
            </w:pPr>
            <w:r>
              <w:rPr>
                <w:rFonts w:ascii="Arial" w:cs="Arial" w:eastAsia="Arial" w:hAnsi="Arial"/>
                <w:sz w:val="15"/>
                <w:szCs w:val="15"/>
                <w:color w:val="auto"/>
                <w:w w:val="94"/>
              </w:rPr>
              <w:t>(State or other jurisdiction of incorporation or organization)</w:t>
            </w:r>
          </w:p>
        </w:tc>
      </w:tr>
      <w:tr>
        <w:trPr>
          <w:trHeight w:val="187"/>
        </w:trPr>
        <w:tc>
          <w:tcPr>
            <w:tcW w:w="5260" w:type="dxa"/>
            <w:vAlign w:val="bottom"/>
          </w:tcPr>
          <w:p>
            <w:pPr>
              <w:jc w:val="right"/>
              <w:ind w:right="2484"/>
              <w:spacing w:after="0"/>
              <w:rPr>
                <w:sz w:val="20"/>
                <w:szCs w:val="20"/>
                <w:color w:val="auto"/>
              </w:rPr>
            </w:pPr>
            <w:r>
              <w:rPr>
                <w:rFonts w:ascii="Arial" w:cs="Arial" w:eastAsia="Arial" w:hAnsi="Arial"/>
                <w:sz w:val="15"/>
                <w:szCs w:val="15"/>
                <w:b w:val="1"/>
                <w:bCs w:val="1"/>
                <w:color w:val="auto"/>
              </w:rPr>
              <w:t>98-0606750</w:t>
            </w:r>
          </w:p>
        </w:tc>
        <w:tc>
          <w:tcPr>
            <w:tcW w:w="5240" w:type="dxa"/>
            <w:vAlign w:val="bottom"/>
          </w:tcPr>
          <w:p>
            <w:pPr>
              <w:jc w:val="right"/>
              <w:ind w:right="1884"/>
              <w:spacing w:after="0"/>
              <w:rPr>
                <w:sz w:val="20"/>
                <w:szCs w:val="20"/>
                <w:color w:val="auto"/>
              </w:rPr>
            </w:pPr>
            <w:r>
              <w:rPr>
                <w:rFonts w:ascii="Arial" w:cs="Arial" w:eastAsia="Arial" w:hAnsi="Arial"/>
                <w:sz w:val="15"/>
                <w:szCs w:val="15"/>
                <w:b w:val="1"/>
                <w:bCs w:val="1"/>
                <w:color w:val="auto"/>
              </w:rPr>
              <w:t>98-0371344</w:t>
            </w:r>
          </w:p>
        </w:tc>
      </w:tr>
      <w:tr>
        <w:trPr>
          <w:trHeight w:val="179"/>
        </w:trPr>
        <w:tc>
          <w:tcPr>
            <w:tcW w:w="5260" w:type="dxa"/>
            <w:vAlign w:val="bottom"/>
          </w:tcPr>
          <w:p>
            <w:pPr>
              <w:jc w:val="center"/>
              <w:ind w:right="504"/>
              <w:spacing w:after="0"/>
              <w:rPr>
                <w:sz w:val="20"/>
                <w:szCs w:val="20"/>
                <w:color w:val="auto"/>
              </w:rPr>
            </w:pPr>
            <w:r>
              <w:rPr>
                <w:rFonts w:ascii="Arial" w:cs="Arial" w:eastAsia="Arial" w:hAnsi="Arial"/>
                <w:sz w:val="15"/>
                <w:szCs w:val="15"/>
                <w:color w:val="auto"/>
                <w:w w:val="95"/>
              </w:rPr>
              <w:t>(I.R.S. Employer Identification Number)</w:t>
            </w:r>
          </w:p>
        </w:tc>
        <w:tc>
          <w:tcPr>
            <w:tcW w:w="5240" w:type="dxa"/>
            <w:vAlign w:val="bottom"/>
          </w:tcPr>
          <w:p>
            <w:pPr>
              <w:jc w:val="center"/>
              <w:ind w:left="504"/>
              <w:spacing w:after="0"/>
              <w:rPr>
                <w:sz w:val="20"/>
                <w:szCs w:val="20"/>
                <w:color w:val="auto"/>
              </w:rPr>
            </w:pPr>
            <w:r>
              <w:rPr>
                <w:rFonts w:ascii="Arial" w:cs="Arial" w:eastAsia="Arial" w:hAnsi="Arial"/>
                <w:sz w:val="15"/>
                <w:szCs w:val="15"/>
                <w:color w:val="auto"/>
                <w:w w:val="95"/>
              </w:rPr>
              <w:t>(I.R.S. Employer Identification Number)</w:t>
            </w:r>
          </w:p>
        </w:tc>
      </w:tr>
      <w:tr>
        <w:trPr>
          <w:trHeight w:val="183"/>
        </w:trPr>
        <w:tc>
          <w:tcPr>
            <w:tcW w:w="5260" w:type="dxa"/>
            <w:vAlign w:val="bottom"/>
          </w:tcPr>
          <w:p>
            <w:pPr>
              <w:jc w:val="center"/>
              <w:ind w:right="524"/>
              <w:spacing w:after="0"/>
              <w:rPr>
                <w:sz w:val="20"/>
                <w:szCs w:val="20"/>
                <w:color w:val="auto"/>
              </w:rPr>
            </w:pPr>
            <w:r>
              <w:rPr>
                <w:rFonts w:ascii="Arial" w:cs="Arial" w:eastAsia="Arial" w:hAnsi="Arial"/>
                <w:sz w:val="15"/>
                <w:szCs w:val="15"/>
                <w:b w:val="1"/>
                <w:bCs w:val="1"/>
                <w:color w:val="auto"/>
                <w:w w:val="90"/>
              </w:rPr>
              <w:t>Weststrasse 1, 6340 Baar, Switzerland</w:t>
            </w:r>
          </w:p>
        </w:tc>
        <w:tc>
          <w:tcPr>
            <w:tcW w:w="5240" w:type="dxa"/>
            <w:vAlign w:val="bottom"/>
          </w:tcPr>
          <w:p>
            <w:pPr>
              <w:jc w:val="center"/>
              <w:ind w:left="524"/>
              <w:spacing w:after="0"/>
              <w:rPr>
                <w:sz w:val="20"/>
                <w:szCs w:val="20"/>
                <w:color w:val="auto"/>
              </w:rPr>
            </w:pPr>
            <w:r>
              <w:rPr>
                <w:rFonts w:ascii="Arial" w:cs="Arial" w:eastAsia="Arial" w:hAnsi="Arial"/>
                <w:sz w:val="15"/>
                <w:szCs w:val="15"/>
                <w:b w:val="1"/>
                <w:bCs w:val="1"/>
                <w:color w:val="auto"/>
                <w:w w:val="89"/>
              </w:rPr>
              <w:t>2000 St. James Place, Houston, Texas 77056</w:t>
            </w:r>
          </w:p>
        </w:tc>
      </w:tr>
      <w:tr>
        <w:trPr>
          <w:trHeight w:val="187"/>
        </w:trPr>
        <w:tc>
          <w:tcPr>
            <w:tcW w:w="5260" w:type="dxa"/>
            <w:vAlign w:val="bottom"/>
          </w:tcPr>
          <w:p>
            <w:pPr>
              <w:jc w:val="right"/>
              <w:ind w:right="2324"/>
              <w:spacing w:after="0"/>
              <w:rPr>
                <w:sz w:val="20"/>
                <w:szCs w:val="20"/>
                <w:color w:val="auto"/>
              </w:rPr>
            </w:pPr>
            <w:r>
              <w:rPr>
                <w:rFonts w:ascii="Arial" w:cs="Arial" w:eastAsia="Arial" w:hAnsi="Arial"/>
                <w:sz w:val="15"/>
                <w:szCs w:val="15"/>
                <w:b w:val="1"/>
                <w:bCs w:val="1"/>
                <w:color w:val="auto"/>
              </w:rPr>
              <w:t>+41.22.816.1500</w:t>
            </w:r>
          </w:p>
        </w:tc>
        <w:tc>
          <w:tcPr>
            <w:tcW w:w="5240" w:type="dxa"/>
            <w:vAlign w:val="bottom"/>
          </w:tcPr>
          <w:p>
            <w:pPr>
              <w:jc w:val="right"/>
              <w:ind w:right="1784"/>
              <w:spacing w:after="0"/>
              <w:rPr>
                <w:sz w:val="20"/>
                <w:szCs w:val="20"/>
                <w:color w:val="auto"/>
              </w:rPr>
            </w:pPr>
            <w:r>
              <w:rPr>
                <w:rFonts w:ascii="Arial" w:cs="Arial" w:eastAsia="Arial" w:hAnsi="Arial"/>
                <w:sz w:val="15"/>
                <w:szCs w:val="15"/>
                <w:b w:val="1"/>
                <w:bCs w:val="1"/>
                <w:color w:val="auto"/>
              </w:rPr>
              <w:t>(713) 836-4000</w:t>
            </w:r>
          </w:p>
        </w:tc>
      </w:tr>
      <w:tr>
        <w:trPr>
          <w:trHeight w:val="183"/>
        </w:trPr>
        <w:tc>
          <w:tcPr>
            <w:tcW w:w="5260" w:type="dxa"/>
            <w:vAlign w:val="bottom"/>
          </w:tcPr>
          <w:p>
            <w:pPr>
              <w:jc w:val="center"/>
              <w:ind w:right="524"/>
              <w:spacing w:after="0"/>
              <w:rPr>
                <w:sz w:val="20"/>
                <w:szCs w:val="20"/>
                <w:color w:val="auto"/>
              </w:rPr>
            </w:pPr>
            <w:r>
              <w:rPr>
                <w:rFonts w:ascii="Arial" w:cs="Arial" w:eastAsia="Arial" w:hAnsi="Arial"/>
                <w:sz w:val="15"/>
                <w:szCs w:val="15"/>
                <w:color w:val="auto"/>
                <w:w w:val="92"/>
              </w:rPr>
              <w:t>(Address, including zip code, and telephone number, including area code, of</w:t>
            </w:r>
          </w:p>
        </w:tc>
        <w:tc>
          <w:tcPr>
            <w:tcW w:w="5240" w:type="dxa"/>
            <w:vAlign w:val="bottom"/>
          </w:tcPr>
          <w:p>
            <w:pPr>
              <w:jc w:val="center"/>
              <w:ind w:left="504"/>
              <w:spacing w:after="0"/>
              <w:rPr>
                <w:sz w:val="20"/>
                <w:szCs w:val="20"/>
                <w:color w:val="auto"/>
              </w:rPr>
            </w:pPr>
            <w:r>
              <w:rPr>
                <w:rFonts w:ascii="Arial" w:cs="Arial" w:eastAsia="Arial" w:hAnsi="Arial"/>
                <w:sz w:val="15"/>
                <w:szCs w:val="15"/>
                <w:color w:val="auto"/>
                <w:w w:val="92"/>
              </w:rPr>
              <w:t>(Address, including zip code, and telephone number, including area code, of</w:t>
            </w:r>
          </w:p>
        </w:tc>
      </w:tr>
      <w:tr>
        <w:trPr>
          <w:trHeight w:val="194"/>
        </w:trPr>
        <w:tc>
          <w:tcPr>
            <w:tcW w:w="5260" w:type="dxa"/>
            <w:vAlign w:val="bottom"/>
          </w:tcPr>
          <w:p>
            <w:pPr>
              <w:jc w:val="center"/>
              <w:ind w:right="524"/>
              <w:spacing w:after="0"/>
              <w:rPr>
                <w:sz w:val="20"/>
                <w:szCs w:val="20"/>
                <w:color w:val="auto"/>
              </w:rPr>
            </w:pPr>
            <w:r>
              <w:rPr>
                <w:rFonts w:ascii="Arial" w:cs="Arial" w:eastAsia="Arial" w:hAnsi="Arial"/>
                <w:sz w:val="15"/>
                <w:szCs w:val="15"/>
                <w:color w:val="auto"/>
                <w:w w:val="94"/>
              </w:rPr>
              <w:t>co-registrant’s principal executive offices)</w:t>
            </w:r>
          </w:p>
        </w:tc>
        <w:tc>
          <w:tcPr>
            <w:tcW w:w="5240" w:type="dxa"/>
            <w:vAlign w:val="bottom"/>
          </w:tcPr>
          <w:p>
            <w:pPr>
              <w:jc w:val="center"/>
              <w:ind w:left="504"/>
              <w:spacing w:after="0"/>
              <w:rPr>
                <w:sz w:val="20"/>
                <w:szCs w:val="20"/>
                <w:color w:val="auto"/>
              </w:rPr>
            </w:pPr>
            <w:r>
              <w:rPr>
                <w:rFonts w:ascii="Arial" w:cs="Arial" w:eastAsia="Arial" w:hAnsi="Arial"/>
                <w:sz w:val="15"/>
                <w:szCs w:val="15"/>
                <w:color w:val="auto"/>
                <w:w w:val="94"/>
              </w:rPr>
              <w:t>co-registrant’s principal executive offices)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137795</wp:posOffset>
            </wp:positionV>
            <wp:extent cx="183134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7">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DEBT SECURITIES</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6757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8">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7267575" cy="29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360045</wp:posOffset>
            </wp:positionV>
            <wp:extent cx="7287260" cy="27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5" w:right="219" w:bottom="1440" w:gutter="0" w:footer="0" w:header="0"/>
        </w:sectPr>
      </w:pPr>
    </w:p>
    <w:bookmarkStart w:id="134" w:name="page135"/>
    <w:bookmarkEnd w:id="134"/>
    <w:p>
      <w:pPr>
        <w:ind w:left="20"/>
        <w:spacing w:after="0"/>
        <w:rPr>
          <w:sz w:val="20"/>
          <w:szCs w:val="20"/>
          <w:color w:val="auto"/>
        </w:rPr>
      </w:pPr>
      <w:r>
        <w:rPr>
          <w:rFonts w:ascii="Arial" w:cs="Arial" w:eastAsia="Arial" w:hAnsi="Arial"/>
          <w:sz w:val="15"/>
          <w:szCs w:val="15"/>
          <w:b w:val="1"/>
          <w:bCs w:val="1"/>
          <w:color w:val="auto"/>
        </w:rPr>
        <w:t>Item 1. General Information.</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Furnish the following information as to the trustee.</w:t>
      </w:r>
    </w:p>
    <w:p>
      <w:pPr>
        <w:spacing w:after="0" w:line="194" w:lineRule="exact"/>
        <w:rPr>
          <w:sz w:val="20"/>
          <w:szCs w:val="20"/>
          <w:color w:val="auto"/>
        </w:rPr>
      </w:pPr>
    </w:p>
    <w:p>
      <w:pPr>
        <w:ind w:left="1660" w:hanging="550"/>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Name and address of each examining or supervising authority to which it is subject.</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51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4720" w:type="dxa"/>
            <w:vAlign w:val="bottom"/>
          </w:tcPr>
          <w:p>
            <w:pPr>
              <w:ind w:left="2140"/>
              <w:spacing w:after="0"/>
              <w:rPr>
                <w:sz w:val="20"/>
                <w:szCs w:val="20"/>
                <w:color w:val="auto"/>
              </w:rPr>
            </w:pPr>
            <w:r>
              <w:rPr>
                <w:rFonts w:ascii="Arial" w:cs="Arial" w:eastAsia="Arial" w:hAnsi="Arial"/>
                <w:sz w:val="12"/>
                <w:szCs w:val="12"/>
                <w:b w:val="1"/>
                <w:bCs w:val="1"/>
                <w:color w:val="auto"/>
              </w:rPr>
              <w:t>Address</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Federal Reserve Bank (2nd District)</w:t>
            </w: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New York, NY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Arial" w:cs="Arial" w:eastAsia="Arial" w:hAnsi="Arial"/>
                <w:sz w:val="15"/>
                <w:szCs w:val="15"/>
                <w:color w:val="auto"/>
              </w:rPr>
              <w:t>Federal Deposit Insurance Corporation</w:t>
            </w:r>
          </w:p>
        </w:tc>
        <w:tc>
          <w:tcPr>
            <w:tcW w:w="4720" w:type="dxa"/>
            <w:vAlign w:val="bottom"/>
          </w:tcPr>
          <w:p>
            <w:pPr>
              <w:spacing w:after="0"/>
              <w:rPr>
                <w:sz w:val="20"/>
                <w:szCs w:val="20"/>
                <w:color w:val="auto"/>
              </w:rPr>
            </w:pPr>
            <w:r>
              <w:rPr>
                <w:rFonts w:ascii="Arial" w:cs="Arial" w:eastAsia="Arial" w:hAnsi="Arial"/>
                <w:sz w:val="15"/>
                <w:szCs w:val="15"/>
                <w:color w:val="auto"/>
              </w:rPr>
              <w:t>Washington, D.C.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New York State Banking Department</w:t>
            </w: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Albany, NY</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60" w:right="6200" w:hanging="550"/>
        <w:spacing w:after="0" w:line="284" w:lineRule="auto"/>
        <w:tabs>
          <w:tab w:leader="none" w:pos="1666"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Whether it is authorized to exercise corporate trust powers. Yes.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 Affiliations with Obligor.</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If the obligor is an affiliate of the Trustee, describe each such affiliation.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1380" w:type="dxa"/>
            <w:vAlign w:val="bottom"/>
          </w:tcPr>
          <w:p>
            <w:pPr>
              <w:ind w:left="320"/>
              <w:spacing w:after="0"/>
              <w:rPr>
                <w:sz w:val="20"/>
                <w:szCs w:val="20"/>
                <w:color w:val="auto"/>
              </w:rPr>
            </w:pPr>
            <w:r>
              <w:rPr>
                <w:rFonts w:ascii="Arial" w:cs="Arial" w:eastAsia="Arial" w:hAnsi="Arial"/>
                <w:sz w:val="15"/>
                <w:szCs w:val="15"/>
                <w:color w:val="auto"/>
              </w:rPr>
              <w:t>NA</w:t>
            </w:r>
          </w:p>
        </w:tc>
        <w:tc>
          <w:tcPr>
            <w:tcW w:w="9300" w:type="dxa"/>
            <w:vAlign w:val="bottom"/>
          </w:tcPr>
          <w:p>
            <w:pPr>
              <w:spacing w:after="0"/>
              <w:rPr>
                <w:sz w:val="16"/>
                <w:szCs w:val="16"/>
                <w:color w:val="auto"/>
              </w:rPr>
            </w:pPr>
          </w:p>
        </w:tc>
      </w:tr>
      <w:tr>
        <w:trPr>
          <w:trHeight w:val="366"/>
        </w:trPr>
        <w:tc>
          <w:tcPr>
            <w:tcW w:w="800" w:type="dxa"/>
            <w:vAlign w:val="bottom"/>
          </w:tcPr>
          <w:p>
            <w:pPr>
              <w:ind w:left="20"/>
              <w:spacing w:after="0"/>
              <w:rPr>
                <w:sz w:val="20"/>
                <w:szCs w:val="20"/>
                <w:color w:val="auto"/>
              </w:rPr>
            </w:pPr>
            <w:r>
              <w:rPr>
                <w:rFonts w:ascii="Arial" w:cs="Arial" w:eastAsia="Arial" w:hAnsi="Arial"/>
                <w:sz w:val="15"/>
                <w:szCs w:val="15"/>
                <w:b w:val="1"/>
                <w:bCs w:val="1"/>
                <w:color w:val="auto"/>
                <w:w w:val="97"/>
              </w:rPr>
              <w:t>Item 3. -15.</w:t>
            </w:r>
          </w:p>
        </w:tc>
        <w:tc>
          <w:tcPr>
            <w:tcW w:w="1380" w:type="dxa"/>
            <w:vAlign w:val="bottom"/>
          </w:tcPr>
          <w:p>
            <w:pPr>
              <w:ind w:left="320"/>
              <w:spacing w:after="0"/>
              <w:rPr>
                <w:sz w:val="20"/>
                <w:szCs w:val="20"/>
                <w:color w:val="auto"/>
              </w:rPr>
            </w:pPr>
            <w:r>
              <w:rPr>
                <w:rFonts w:ascii="Arial" w:cs="Arial" w:eastAsia="Arial" w:hAnsi="Arial"/>
                <w:sz w:val="15"/>
                <w:szCs w:val="15"/>
                <w:b w:val="1"/>
                <w:bCs w:val="1"/>
                <w:color w:val="auto"/>
                <w:w w:val="98"/>
              </w:rPr>
              <w:t>Not Applicable</w:t>
            </w:r>
          </w:p>
        </w:tc>
        <w:tc>
          <w:tcPr>
            <w:tcW w:w="9300" w:type="dxa"/>
            <w:vAlign w:val="bottom"/>
          </w:tcPr>
          <w:p>
            <w:pPr>
              <w:spacing w:after="0"/>
              <w:rPr>
                <w:sz w:val="24"/>
                <w:szCs w:val="24"/>
                <w:color w:val="auto"/>
              </w:rPr>
            </w:pPr>
          </w:p>
        </w:tc>
      </w:tr>
      <w:tr>
        <w:trPr>
          <w:trHeight w:val="366"/>
        </w:trPr>
        <w:tc>
          <w:tcPr>
            <w:tcW w:w="800" w:type="dxa"/>
            <w:vAlign w:val="bottom"/>
          </w:tcPr>
          <w:p>
            <w:pPr>
              <w:ind w:left="20"/>
              <w:spacing w:after="0"/>
              <w:rPr>
                <w:sz w:val="20"/>
                <w:szCs w:val="20"/>
                <w:color w:val="auto"/>
              </w:rPr>
            </w:pPr>
            <w:r>
              <w:rPr>
                <w:rFonts w:ascii="Arial" w:cs="Arial" w:eastAsia="Arial" w:hAnsi="Arial"/>
                <w:sz w:val="15"/>
                <w:szCs w:val="15"/>
                <w:b w:val="1"/>
                <w:bCs w:val="1"/>
                <w:color w:val="auto"/>
              </w:rPr>
              <w:t>Item 16.</w:t>
            </w:r>
          </w:p>
        </w:tc>
        <w:tc>
          <w:tcPr>
            <w:tcW w:w="1380" w:type="dxa"/>
            <w:vAlign w:val="bottom"/>
          </w:tcPr>
          <w:p>
            <w:pPr>
              <w:ind w:left="320"/>
              <w:spacing w:after="0"/>
              <w:rPr>
                <w:sz w:val="20"/>
                <w:szCs w:val="20"/>
                <w:color w:val="auto"/>
              </w:rPr>
            </w:pPr>
            <w:r>
              <w:rPr>
                <w:rFonts w:ascii="Arial" w:cs="Arial" w:eastAsia="Arial" w:hAnsi="Arial"/>
                <w:sz w:val="15"/>
                <w:szCs w:val="15"/>
                <w:b w:val="1"/>
                <w:bCs w:val="1"/>
                <w:color w:val="auto"/>
                <w:w w:val="93"/>
              </w:rPr>
              <w:t>List of Exhibits.</w:t>
            </w:r>
          </w:p>
        </w:tc>
        <w:tc>
          <w:tcPr>
            <w:tcW w:w="9300" w:type="dxa"/>
            <w:vAlign w:val="bottom"/>
          </w:tcPr>
          <w:p>
            <w:pPr>
              <w:spacing w:after="0"/>
              <w:rPr>
                <w:sz w:val="24"/>
                <w:szCs w:val="24"/>
                <w:color w:val="auto"/>
              </w:rPr>
            </w:pPr>
          </w:p>
        </w:tc>
      </w:tr>
      <w:tr>
        <w:trPr>
          <w:trHeight w:val="355"/>
        </w:trPr>
        <w:tc>
          <w:tcPr>
            <w:tcW w:w="800" w:type="dxa"/>
            <w:vAlign w:val="bottom"/>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5"/>
                <w:szCs w:val="15"/>
                <w:b w:val="1"/>
                <w:bCs w:val="1"/>
                <w:color w:val="auto"/>
              </w:rPr>
              <w:t>Exhibit 1 -</w:t>
            </w:r>
          </w:p>
        </w:tc>
        <w:tc>
          <w:tcPr>
            <w:tcW w:w="9300" w:type="dxa"/>
            <w:vAlign w:val="bottom"/>
          </w:tcPr>
          <w:p>
            <w:pPr>
              <w:ind w:left="40"/>
              <w:spacing w:after="0"/>
              <w:rPr>
                <w:sz w:val="20"/>
                <w:szCs w:val="20"/>
                <w:color w:val="auto"/>
              </w:rPr>
            </w:pPr>
            <w:r>
              <w:rPr>
                <w:rFonts w:ascii="Arial" w:cs="Arial" w:eastAsia="Arial" w:hAnsi="Arial"/>
                <w:sz w:val="15"/>
                <w:szCs w:val="15"/>
                <w:color w:val="auto"/>
                <w:w w:val="96"/>
              </w:rPr>
              <w:t>Restated Organization Certificate of Bankers Trust Company dated August 31, 1998; Certificate of Amendment of the Organization Certificate of</w:t>
            </w:r>
          </w:p>
        </w:tc>
      </w:tr>
      <w:tr>
        <w:trPr>
          <w:trHeight w:val="183"/>
        </w:trPr>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w w:val="97"/>
              </w:rPr>
              <w:t>Bankers Trust Company dated September 25, 1998; Certificate of Amendment of the Organization Certificate of Bankers Trust Company dated</w:t>
            </w:r>
          </w:p>
        </w:tc>
      </w:tr>
      <w:tr>
        <w:trPr>
          <w:trHeight w:val="183"/>
        </w:trPr>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w w:val="93"/>
              </w:rPr>
              <w:t>December 18, 1998;Certificate of Amendment of the Organization Certificate of Bankers Trust Company dated September 3, 1999; and Certificate of</w:t>
            </w:r>
          </w:p>
        </w:tc>
      </w:tr>
      <w:tr>
        <w:trPr>
          <w:trHeight w:val="183"/>
        </w:trPr>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w w:val="94"/>
              </w:rPr>
              <w:t>Amendment of the Organization Certificate of Bankers Trust Company dated March 14, 2002, incorporated herein by reference to Exhibit 1 filed with</w:t>
            </w:r>
          </w:p>
        </w:tc>
      </w:tr>
      <w:tr>
        <w:trPr>
          <w:trHeight w:val="194"/>
        </w:trPr>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rPr>
              <w:t>Form T-1 Statement, Registration No. 333-201810.</w:t>
            </w:r>
          </w:p>
        </w:tc>
      </w:tr>
      <w:tr>
        <w:trPr>
          <w:trHeight w:val="355"/>
        </w:trPr>
        <w:tc>
          <w:tcPr>
            <w:tcW w:w="800" w:type="dxa"/>
            <w:vAlign w:val="bottom"/>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5"/>
                <w:szCs w:val="15"/>
                <w:b w:val="1"/>
                <w:bCs w:val="1"/>
                <w:color w:val="auto"/>
              </w:rPr>
              <w:t>Exhibit 2 -</w:t>
            </w:r>
          </w:p>
        </w:tc>
        <w:tc>
          <w:tcPr>
            <w:tcW w:w="9300" w:type="dxa"/>
            <w:vAlign w:val="bottom"/>
          </w:tcPr>
          <w:p>
            <w:pPr>
              <w:ind w:left="40"/>
              <w:spacing w:after="0"/>
              <w:rPr>
                <w:sz w:val="20"/>
                <w:szCs w:val="20"/>
                <w:color w:val="auto"/>
              </w:rPr>
            </w:pPr>
            <w:r>
              <w:rPr>
                <w:rFonts w:ascii="Arial" w:cs="Arial" w:eastAsia="Arial" w:hAnsi="Arial"/>
                <w:sz w:val="15"/>
                <w:szCs w:val="15"/>
                <w:color w:val="auto"/>
                <w:w w:val="96"/>
              </w:rPr>
              <w:t>Certificate of Authority to commence business, incorporated herein by reference to Exhibit 2 filed with Form T-1 Statement, Registration No. 333-</w:t>
            </w:r>
          </w:p>
        </w:tc>
      </w:tr>
      <w:tr>
        <w:trPr>
          <w:trHeight w:val="194"/>
        </w:trPr>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rPr>
              <w:t>201810.</w:t>
            </w:r>
          </w:p>
        </w:tc>
      </w:tr>
      <w:tr>
        <w:trPr>
          <w:trHeight w:val="355"/>
        </w:trPr>
        <w:tc>
          <w:tcPr>
            <w:tcW w:w="800" w:type="dxa"/>
            <w:vAlign w:val="bottom"/>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5"/>
                <w:szCs w:val="15"/>
                <w:b w:val="1"/>
                <w:bCs w:val="1"/>
                <w:color w:val="auto"/>
              </w:rPr>
              <w:t>Exhibit 3 -</w:t>
            </w:r>
          </w:p>
        </w:tc>
        <w:tc>
          <w:tcPr>
            <w:tcW w:w="9300" w:type="dxa"/>
            <w:vAlign w:val="bottom"/>
          </w:tcPr>
          <w:p>
            <w:pPr>
              <w:ind w:left="40"/>
              <w:spacing w:after="0"/>
              <w:rPr>
                <w:sz w:val="20"/>
                <w:szCs w:val="20"/>
                <w:color w:val="auto"/>
              </w:rPr>
            </w:pPr>
            <w:r>
              <w:rPr>
                <w:rFonts w:ascii="Arial" w:cs="Arial" w:eastAsia="Arial" w:hAnsi="Arial"/>
                <w:sz w:val="15"/>
                <w:szCs w:val="15"/>
                <w:color w:val="auto"/>
              </w:rPr>
              <w:t>Authorization of the Trustee to exercise corporate trust powers, incorporated herein by reference to Exhibit 3 filed with Form T-1 Statement,</w:t>
            </w:r>
          </w:p>
        </w:tc>
      </w:tr>
      <w:tr>
        <w:trPr>
          <w:trHeight w:val="194"/>
        </w:trPr>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rPr>
              <w:t>Registration No. 333-201810.</w:t>
            </w:r>
          </w:p>
        </w:tc>
      </w:tr>
      <w:tr>
        <w:trPr>
          <w:trHeight w:val="355"/>
        </w:trPr>
        <w:tc>
          <w:tcPr>
            <w:tcW w:w="800" w:type="dxa"/>
            <w:vAlign w:val="bottom"/>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5"/>
                <w:szCs w:val="15"/>
                <w:b w:val="1"/>
                <w:bCs w:val="1"/>
                <w:color w:val="auto"/>
              </w:rPr>
              <w:t>Exhibit 4 -</w:t>
            </w:r>
          </w:p>
        </w:tc>
        <w:tc>
          <w:tcPr>
            <w:tcW w:w="9300" w:type="dxa"/>
            <w:vAlign w:val="bottom"/>
          </w:tcPr>
          <w:p>
            <w:pPr>
              <w:ind w:left="40"/>
              <w:spacing w:after="0"/>
              <w:rPr>
                <w:sz w:val="20"/>
                <w:szCs w:val="20"/>
                <w:color w:val="auto"/>
              </w:rPr>
            </w:pPr>
            <w:r>
              <w:rPr>
                <w:rFonts w:ascii="Arial" w:cs="Arial" w:eastAsia="Arial" w:hAnsi="Arial"/>
                <w:sz w:val="15"/>
                <w:szCs w:val="15"/>
                <w:color w:val="auto"/>
                <w:w w:val="94"/>
              </w:rPr>
              <w:t>Existing By-Laws of Deutsche Bank Trust Company Americas, dated July 24, 2014, incorporated herein by reference to Exhibit 4 filed with Form T-1</w:t>
            </w:r>
          </w:p>
        </w:tc>
      </w:tr>
      <w:tr>
        <w:trPr>
          <w:trHeight w:val="194"/>
        </w:trPr>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300" w:type="dxa"/>
            <w:vAlign w:val="bottom"/>
          </w:tcPr>
          <w:p>
            <w:pPr>
              <w:ind w:left="20"/>
              <w:spacing w:after="0"/>
              <w:rPr>
                <w:sz w:val="20"/>
                <w:szCs w:val="20"/>
                <w:color w:val="auto"/>
              </w:rPr>
            </w:pPr>
            <w:r>
              <w:rPr>
                <w:rFonts w:ascii="Arial" w:cs="Arial" w:eastAsia="Arial" w:hAnsi="Arial"/>
                <w:sz w:val="15"/>
                <w:szCs w:val="15"/>
                <w:color w:val="auto"/>
              </w:rPr>
              <w:t>Statement, Registration No. 333-201810.</w:t>
            </w:r>
          </w:p>
        </w:tc>
      </w:tr>
      <w:tr>
        <w:trPr>
          <w:trHeight w:val="293"/>
        </w:trPr>
        <w:tc>
          <w:tcPr>
            <w:tcW w:w="8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98"/>
        </w:trPr>
        <w:tc>
          <w:tcPr>
            <w:tcW w:w="1860" w:type="dxa"/>
            <w:vAlign w:val="bottom"/>
          </w:tcPr>
          <w:p>
            <w:pPr>
              <w:ind w:left="840"/>
              <w:spacing w:after="0"/>
              <w:rPr>
                <w:sz w:val="20"/>
                <w:szCs w:val="20"/>
                <w:color w:val="auto"/>
              </w:rPr>
            </w:pPr>
            <w:r>
              <w:rPr>
                <w:rFonts w:ascii="Arial" w:cs="Arial" w:eastAsia="Arial" w:hAnsi="Arial"/>
                <w:sz w:val="15"/>
                <w:szCs w:val="15"/>
                <w:b w:val="1"/>
                <w:bCs w:val="1"/>
                <w:color w:val="auto"/>
              </w:rPr>
              <w:t>Exhibit 5 -</w:t>
            </w:r>
          </w:p>
        </w:tc>
        <w:tc>
          <w:tcPr>
            <w:tcW w:w="9620" w:type="dxa"/>
            <w:vAlign w:val="bottom"/>
          </w:tcPr>
          <w:p>
            <w:pPr>
              <w:ind w:left="360"/>
              <w:spacing w:after="0"/>
              <w:rPr>
                <w:sz w:val="20"/>
                <w:szCs w:val="20"/>
                <w:color w:val="auto"/>
              </w:rPr>
            </w:pPr>
            <w:r>
              <w:rPr>
                <w:rFonts w:ascii="Arial" w:cs="Arial" w:eastAsia="Arial" w:hAnsi="Arial"/>
                <w:sz w:val="15"/>
                <w:szCs w:val="15"/>
                <w:color w:val="auto"/>
              </w:rPr>
              <w:t>Not applicable.</w:t>
            </w:r>
          </w:p>
        </w:tc>
      </w:tr>
      <w:tr>
        <w:trPr>
          <w:trHeight w:val="355"/>
        </w:trPr>
        <w:tc>
          <w:tcPr>
            <w:tcW w:w="1860" w:type="dxa"/>
            <w:vAlign w:val="bottom"/>
          </w:tcPr>
          <w:p>
            <w:pPr>
              <w:ind w:left="840"/>
              <w:spacing w:after="0"/>
              <w:rPr>
                <w:sz w:val="20"/>
                <w:szCs w:val="20"/>
                <w:color w:val="auto"/>
              </w:rPr>
            </w:pPr>
            <w:r>
              <w:rPr>
                <w:rFonts w:ascii="Arial" w:cs="Arial" w:eastAsia="Arial" w:hAnsi="Arial"/>
                <w:sz w:val="15"/>
                <w:szCs w:val="15"/>
                <w:b w:val="1"/>
                <w:bCs w:val="1"/>
                <w:color w:val="auto"/>
              </w:rPr>
              <w:t>Exhibit 6 -</w:t>
            </w:r>
          </w:p>
        </w:tc>
        <w:tc>
          <w:tcPr>
            <w:tcW w:w="9620" w:type="dxa"/>
            <w:vAlign w:val="bottom"/>
          </w:tcPr>
          <w:p>
            <w:pPr>
              <w:ind w:left="360"/>
              <w:spacing w:after="0"/>
              <w:rPr>
                <w:sz w:val="20"/>
                <w:szCs w:val="20"/>
                <w:color w:val="auto"/>
              </w:rPr>
            </w:pPr>
            <w:r>
              <w:rPr>
                <w:rFonts w:ascii="Arial" w:cs="Arial" w:eastAsia="Arial" w:hAnsi="Arial"/>
                <w:sz w:val="15"/>
                <w:szCs w:val="15"/>
                <w:color w:val="auto"/>
              </w:rPr>
              <w:t>Consent of Bankers Trust Company required by Section 321(b) of the Act, incorporated herein by reference to Exhibit 6 filed with Form T-1</w:t>
            </w:r>
          </w:p>
        </w:tc>
      </w:tr>
      <w:tr>
        <w:trPr>
          <w:trHeight w:val="194"/>
        </w:trPr>
        <w:tc>
          <w:tcPr>
            <w:tcW w:w="1860" w:type="dxa"/>
            <w:vAlign w:val="bottom"/>
          </w:tcPr>
          <w:p>
            <w:pPr>
              <w:spacing w:after="0"/>
              <w:rPr>
                <w:sz w:val="16"/>
                <w:szCs w:val="16"/>
                <w:color w:val="auto"/>
              </w:rPr>
            </w:pPr>
          </w:p>
        </w:tc>
        <w:tc>
          <w:tcPr>
            <w:tcW w:w="9620" w:type="dxa"/>
            <w:vAlign w:val="bottom"/>
          </w:tcPr>
          <w:p>
            <w:pPr>
              <w:ind w:left="340"/>
              <w:spacing w:after="0"/>
              <w:rPr>
                <w:sz w:val="20"/>
                <w:szCs w:val="20"/>
                <w:color w:val="auto"/>
              </w:rPr>
            </w:pPr>
            <w:r>
              <w:rPr>
                <w:rFonts w:ascii="Arial" w:cs="Arial" w:eastAsia="Arial" w:hAnsi="Arial"/>
                <w:sz w:val="15"/>
                <w:szCs w:val="15"/>
                <w:color w:val="auto"/>
              </w:rPr>
              <w:t>Statement, Registration No. 333-201810.</w:t>
            </w:r>
          </w:p>
        </w:tc>
      </w:tr>
      <w:tr>
        <w:trPr>
          <w:trHeight w:val="366"/>
        </w:trPr>
        <w:tc>
          <w:tcPr>
            <w:tcW w:w="1860" w:type="dxa"/>
            <w:vAlign w:val="bottom"/>
          </w:tcPr>
          <w:p>
            <w:pPr>
              <w:ind w:left="840"/>
              <w:spacing w:after="0"/>
              <w:rPr>
                <w:sz w:val="20"/>
                <w:szCs w:val="20"/>
                <w:color w:val="auto"/>
              </w:rPr>
            </w:pPr>
            <w:r>
              <w:rPr>
                <w:rFonts w:ascii="Arial" w:cs="Arial" w:eastAsia="Arial" w:hAnsi="Arial"/>
                <w:sz w:val="15"/>
                <w:szCs w:val="15"/>
                <w:b w:val="1"/>
                <w:bCs w:val="1"/>
                <w:color w:val="auto"/>
              </w:rPr>
              <w:t>Exhibit 7 -</w:t>
            </w:r>
          </w:p>
        </w:tc>
        <w:tc>
          <w:tcPr>
            <w:tcW w:w="9620" w:type="dxa"/>
            <w:vAlign w:val="bottom"/>
          </w:tcPr>
          <w:p>
            <w:pPr>
              <w:ind w:left="360"/>
              <w:spacing w:after="0"/>
              <w:rPr>
                <w:sz w:val="20"/>
                <w:szCs w:val="20"/>
                <w:color w:val="auto"/>
              </w:rPr>
            </w:pPr>
            <w:r>
              <w:rPr>
                <w:rFonts w:ascii="Arial" w:cs="Arial" w:eastAsia="Arial" w:hAnsi="Arial"/>
                <w:sz w:val="15"/>
                <w:szCs w:val="15"/>
                <w:color w:val="auto"/>
              </w:rPr>
              <w:t>A copy of the latest report of condition of the trustee published pursuant to law or the requirements of its supervising or examining authority.</w:t>
            </w:r>
          </w:p>
        </w:tc>
      </w:tr>
      <w:tr>
        <w:trPr>
          <w:trHeight w:val="366"/>
        </w:trPr>
        <w:tc>
          <w:tcPr>
            <w:tcW w:w="1860" w:type="dxa"/>
            <w:vAlign w:val="bottom"/>
          </w:tcPr>
          <w:p>
            <w:pPr>
              <w:ind w:left="840"/>
              <w:spacing w:after="0"/>
              <w:rPr>
                <w:sz w:val="20"/>
                <w:szCs w:val="20"/>
                <w:color w:val="auto"/>
              </w:rPr>
            </w:pPr>
            <w:r>
              <w:rPr>
                <w:rFonts w:ascii="Arial" w:cs="Arial" w:eastAsia="Arial" w:hAnsi="Arial"/>
                <w:sz w:val="15"/>
                <w:szCs w:val="15"/>
                <w:b w:val="1"/>
                <w:bCs w:val="1"/>
                <w:color w:val="auto"/>
              </w:rPr>
              <w:t>Exhibit 8 -</w:t>
            </w:r>
          </w:p>
        </w:tc>
        <w:tc>
          <w:tcPr>
            <w:tcW w:w="9620" w:type="dxa"/>
            <w:vAlign w:val="bottom"/>
          </w:tcPr>
          <w:p>
            <w:pPr>
              <w:ind w:left="360"/>
              <w:spacing w:after="0"/>
              <w:rPr>
                <w:sz w:val="20"/>
                <w:szCs w:val="20"/>
                <w:color w:val="auto"/>
              </w:rPr>
            </w:pPr>
            <w:r>
              <w:rPr>
                <w:rFonts w:ascii="Arial" w:cs="Arial" w:eastAsia="Arial" w:hAnsi="Arial"/>
                <w:sz w:val="15"/>
                <w:szCs w:val="15"/>
                <w:color w:val="auto"/>
              </w:rPr>
              <w:t>Not Applicable.</w:t>
            </w:r>
          </w:p>
        </w:tc>
      </w:tr>
      <w:tr>
        <w:trPr>
          <w:trHeight w:val="366"/>
        </w:trPr>
        <w:tc>
          <w:tcPr>
            <w:tcW w:w="1860" w:type="dxa"/>
            <w:vAlign w:val="bottom"/>
          </w:tcPr>
          <w:p>
            <w:pPr>
              <w:ind w:left="840"/>
              <w:spacing w:after="0"/>
              <w:rPr>
                <w:sz w:val="20"/>
                <w:szCs w:val="20"/>
                <w:color w:val="auto"/>
              </w:rPr>
            </w:pPr>
            <w:r>
              <w:rPr>
                <w:rFonts w:ascii="Arial" w:cs="Arial" w:eastAsia="Arial" w:hAnsi="Arial"/>
                <w:sz w:val="15"/>
                <w:szCs w:val="15"/>
                <w:b w:val="1"/>
                <w:bCs w:val="1"/>
                <w:color w:val="auto"/>
              </w:rPr>
              <w:t>Exhibit 9 -</w:t>
            </w:r>
          </w:p>
        </w:tc>
        <w:tc>
          <w:tcPr>
            <w:tcW w:w="9620" w:type="dxa"/>
            <w:vAlign w:val="bottom"/>
          </w:tcPr>
          <w:p>
            <w:pPr>
              <w:ind w:left="360"/>
              <w:spacing w:after="0"/>
              <w:rPr>
                <w:sz w:val="20"/>
                <w:szCs w:val="20"/>
                <w:color w:val="auto"/>
              </w:rPr>
            </w:pPr>
            <w:r>
              <w:rPr>
                <w:rFonts w:ascii="Arial" w:cs="Arial" w:eastAsia="Arial" w:hAnsi="Arial"/>
                <w:sz w:val="15"/>
                <w:szCs w:val="15"/>
                <w:color w:val="auto"/>
              </w:rPr>
              <w:t>Not Applicable.</w:t>
            </w:r>
          </w:p>
        </w:tc>
      </w:tr>
      <w:tr>
        <w:trPr>
          <w:trHeight w:val="293"/>
        </w:trPr>
        <w:tc>
          <w:tcPr>
            <w:tcW w:w="1860" w:type="dxa"/>
            <w:vAlign w:val="bottom"/>
            <w:tcBorders>
              <w:bottom w:val="single" w:sz="8" w:color="808080"/>
            </w:tcBorders>
          </w:tcPr>
          <w:p>
            <w:pPr>
              <w:spacing w:after="0"/>
              <w:rPr>
                <w:sz w:val="24"/>
                <w:szCs w:val="24"/>
                <w:color w:val="auto"/>
              </w:rPr>
            </w:pPr>
          </w:p>
        </w:tc>
        <w:tc>
          <w:tcPr>
            <w:tcW w:w="9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4">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5"/>
          <w:szCs w:val="15"/>
          <w:b w:val="1"/>
          <w:bCs w:val="1"/>
          <w:color w:val="auto"/>
        </w:rPr>
        <w:t>SIGNATURE</w:t>
      </w:r>
    </w:p>
    <w:p>
      <w:pPr>
        <w:spacing w:after="0" w:line="198" w:lineRule="exact"/>
        <w:rPr>
          <w:sz w:val="20"/>
          <w:szCs w:val="20"/>
          <w:color w:val="auto"/>
        </w:rPr>
      </w:pPr>
    </w:p>
    <w:p>
      <w:pPr>
        <w:jc w:val="both"/>
        <w:ind w:left="20" w:right="180" w:firstLine="549"/>
        <w:spacing w:after="0" w:line="280" w:lineRule="auto"/>
        <w:rPr>
          <w:sz w:val="20"/>
          <w:szCs w:val="20"/>
          <w:color w:val="auto"/>
        </w:rPr>
      </w:pPr>
      <w:r>
        <w:rPr>
          <w:rFonts w:ascii="Arial" w:cs="Arial" w:eastAsia="Arial" w:hAnsi="Arial"/>
          <w:sz w:val="15"/>
          <w:szCs w:val="15"/>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December, 2018.</w:t>
      </w:r>
    </w:p>
    <w:p>
      <w:pPr>
        <w:spacing w:after="0" w:line="25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DEUTSCHE BANK TRUST COMPANY AMERICAS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80" w:type="dxa"/>
            <w:vAlign w:val="bottom"/>
          </w:tcPr>
          <w:p>
            <w:pPr>
              <w:ind w:left="6300"/>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Julia Engel</w:t>
            </w:r>
          </w:p>
        </w:tc>
        <w:tc>
          <w:tcPr>
            <w:tcW w:w="20" w:type="dxa"/>
            <w:vAlign w:val="bottom"/>
          </w:tcPr>
          <w:p>
            <w:pPr>
              <w:spacing w:after="0"/>
              <w:rPr>
                <w:sz w:val="16"/>
                <w:szCs w:val="16"/>
                <w:color w:val="auto"/>
              </w:rPr>
            </w:pPr>
          </w:p>
        </w:tc>
      </w:tr>
      <w:tr>
        <w:trPr>
          <w:trHeight w:val="164"/>
        </w:trPr>
        <w:tc>
          <w:tcPr>
            <w:tcW w:w="6980" w:type="dxa"/>
            <w:vAlign w:val="bottom"/>
          </w:tcPr>
          <w:p>
            <w:pPr>
              <w:spacing w:after="0"/>
              <w:rPr>
                <w:sz w:val="14"/>
                <w:szCs w:val="14"/>
                <w:color w:val="auto"/>
              </w:rPr>
            </w:pPr>
          </w:p>
        </w:tc>
        <w:tc>
          <w:tcPr>
            <w:tcW w:w="580" w:type="dxa"/>
            <w:vAlign w:val="bottom"/>
          </w:tcPr>
          <w:p>
            <w:pPr>
              <w:spacing w:after="0" w:line="164" w:lineRule="exact"/>
              <w:rPr>
                <w:sz w:val="20"/>
                <w:szCs w:val="20"/>
                <w:color w:val="auto"/>
              </w:rPr>
            </w:pPr>
            <w:r>
              <w:rPr>
                <w:rFonts w:ascii="Arial" w:cs="Arial" w:eastAsia="Arial" w:hAnsi="Arial"/>
                <w:sz w:val="15"/>
                <w:szCs w:val="15"/>
                <w:color w:val="auto"/>
              </w:rPr>
              <w:t>Name:</w:t>
            </w:r>
          </w:p>
        </w:tc>
        <w:tc>
          <w:tcPr>
            <w:tcW w:w="3900" w:type="dxa"/>
            <w:vAlign w:val="bottom"/>
          </w:tcPr>
          <w:p>
            <w:pPr>
              <w:ind w:left="180"/>
              <w:spacing w:after="0" w:line="164" w:lineRule="exact"/>
              <w:rPr>
                <w:sz w:val="20"/>
                <w:szCs w:val="20"/>
                <w:color w:val="auto"/>
              </w:rPr>
            </w:pPr>
            <w:r>
              <w:rPr>
                <w:rFonts w:ascii="Arial" w:cs="Arial" w:eastAsia="Arial" w:hAnsi="Arial"/>
                <w:sz w:val="15"/>
                <w:szCs w:val="15"/>
                <w:color w:val="auto"/>
              </w:rPr>
              <w:t>Julia Engel</w:t>
            </w:r>
          </w:p>
        </w:tc>
        <w:tc>
          <w:tcPr>
            <w:tcW w:w="20" w:type="dxa"/>
            <w:vAlign w:val="bottom"/>
          </w:tcPr>
          <w:p>
            <w:pPr>
              <w:spacing w:after="0"/>
              <w:rPr>
                <w:sz w:val="14"/>
                <w:szCs w:val="14"/>
                <w:color w:val="auto"/>
              </w:rPr>
            </w:pPr>
          </w:p>
        </w:tc>
      </w:tr>
      <w:tr>
        <w:trPr>
          <w:trHeight w:val="194"/>
        </w:trPr>
        <w:tc>
          <w:tcPr>
            <w:tcW w:w="698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5"/>
                <w:szCs w:val="15"/>
                <w:color w:val="auto"/>
              </w:rPr>
              <w:t>Title:</w:t>
            </w:r>
          </w:p>
        </w:tc>
        <w:tc>
          <w:tcPr>
            <w:tcW w:w="3900" w:type="dxa"/>
            <w:vAlign w:val="bottom"/>
          </w:tcPr>
          <w:p>
            <w:pPr>
              <w:ind w:left="180"/>
              <w:spacing w:after="0"/>
              <w:rPr>
                <w:sz w:val="20"/>
                <w:szCs w:val="20"/>
                <w:color w:val="auto"/>
              </w:rPr>
            </w:pPr>
            <w:r>
              <w:rPr>
                <w:rFonts w:ascii="Arial" w:cs="Arial" w:eastAsia="Arial" w:hAnsi="Arial"/>
                <w:sz w:val="15"/>
                <w:szCs w:val="15"/>
                <w:color w:val="auto"/>
              </w:rPr>
              <w:t>Vice President</w:t>
            </w:r>
          </w:p>
        </w:tc>
        <w:tc>
          <w:tcPr>
            <w:tcW w:w="20" w:type="dxa"/>
            <w:vAlign w:val="bottom"/>
          </w:tcPr>
          <w:p>
            <w:pPr>
              <w:spacing w:after="0"/>
              <w:rPr>
                <w:sz w:val="16"/>
                <w:szCs w:val="16"/>
                <w:color w:val="auto"/>
              </w:rPr>
            </w:pPr>
          </w:p>
        </w:tc>
      </w:tr>
      <w:tr>
        <w:trPr>
          <w:trHeight w:val="293"/>
        </w:trPr>
        <w:tc>
          <w:tcPr>
            <w:tcW w:w="69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1440" w:gutter="0" w:footer="0" w:header="0"/>
        </w:sectPr>
      </w:pPr>
    </w:p>
    <w:bookmarkStart w:id="137" w:name="page138"/>
    <w:bookmarkEnd w:id="137"/>
    <w:p>
      <w:pPr>
        <w:ind w:left="9640"/>
        <w:spacing w:after="0"/>
        <w:rPr>
          <w:sz w:val="20"/>
          <w:szCs w:val="20"/>
          <w:color w:val="auto"/>
        </w:rPr>
      </w:pPr>
      <w:r>
        <w:rPr>
          <w:rFonts w:ascii="Arial" w:cs="Arial" w:eastAsia="Arial" w:hAnsi="Arial"/>
          <w:sz w:val="14"/>
          <w:szCs w:val="14"/>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30480</wp:posOffset>
            </wp:positionV>
            <wp:extent cx="7320280" cy="9476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7">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96520</wp:posOffset>
            </wp:positionV>
            <wp:extent cx="7320280" cy="9476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96520</wp:posOffset>
            </wp:positionV>
            <wp:extent cx="7320280" cy="9476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1)"/>
      <w:numFmt w:val="decimal"/>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lvl w:ilvl="1">
      <w:lvlJc w:val="left"/>
      <w:lvlText w:val="%2."/>
      <w:numFmt w:val="decimal"/>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1)"/>
      <w:numFmt w:val="lowerLetter"/>
      <w:start w:val="1"/>
    </w:lvl>
  </w:abstractNum>
  <w:abstractNum w:abstractNumId="28">
    <w:nsid w:val="8F2B15E"/>
    <w:multiLevelType w:val="hybridMultilevel"/>
    <w:lvl w:ilvl="0">
      <w:lvlJc w:val="left"/>
      <w:lvlText w:val="(%1)"/>
      <w:numFmt w:val="decimal"/>
      <w:start w:val="2"/>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1)"/>
      <w:numFmt w:val="decimal"/>
      <w:start w:val="1"/>
    </w:lvl>
  </w:abstractNum>
  <w:abstractNum w:abstractNumId="31">
    <w:nsid w:val="68EB2F63"/>
    <w:multiLevelType w:val="hybridMultilevel"/>
    <w:lvl w:ilvl="0">
      <w:lvlJc w:val="left"/>
      <w:lvlText w:val="(%1)"/>
      <w:numFmt w:val="decimal"/>
      <w:start w:val="1"/>
    </w:lvl>
  </w:abstractNum>
  <w:abstractNum w:abstractNumId="32">
    <w:nsid w:val="4962813B"/>
    <w:multiLevelType w:val="hybridMultilevel"/>
    <w:lvl w:ilvl="0">
      <w:lvlJc w:val="left"/>
      <w:lvlText w:val="(%1)"/>
      <w:numFmt w:val="decimal"/>
      <w:start w:val="1"/>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1)"/>
      <w:numFmt w:val="decimal"/>
      <w:start w:val="1"/>
    </w:lvl>
  </w:abstractNum>
  <w:abstractNum w:abstractNumId="35">
    <w:nsid w:val="14330624"/>
    <w:multiLevelType w:val="hybridMultilevel"/>
    <w:lvl w:ilvl="0">
      <w:lvlJc w:val="left"/>
      <w:lvlText w:val="(%1)"/>
      <w:numFmt w:val="decimal"/>
      <w:start w:val="2"/>
    </w:lvl>
  </w:abstractNum>
  <w:abstractNum w:abstractNumId="36">
    <w:nsid w:val="7FFFCA11"/>
    <w:multiLevelType w:val="hybridMultilevel"/>
    <w:lvl w:ilvl="0">
      <w:lvlJc w:val="left"/>
      <w:lvlText w:val="(%1)"/>
      <w:numFmt w:val="decimal"/>
      <w:start w:val="13"/>
    </w:lvl>
  </w:abstractNum>
  <w:abstractNum w:abstractNumId="37">
    <w:nsid w:val="1A27709E"/>
    <w:multiLevelType w:val="hybridMultilevel"/>
    <w:lvl w:ilvl="0">
      <w:lvlJc w:val="left"/>
      <w:lvlText w:val="(%1)"/>
      <w:numFmt w:val="lowerRoman"/>
      <w:start w:val="2"/>
    </w:lvl>
  </w:abstractNum>
  <w:abstractNum w:abstractNumId="38">
    <w:nsid w:val="71EA1109"/>
    <w:multiLevelType w:val="hybridMultilevel"/>
    <w:lvl w:ilvl="0">
      <w:lvlJc w:val="left"/>
      <w:lvlText w:val="(%1)"/>
      <w:numFmt w:val="decimal"/>
      <w:start w:val="1"/>
    </w:lvl>
    <w:lvl w:ilvl="1">
      <w:lvlJc w:val="left"/>
      <w:lvlText w:val="(%2)"/>
      <w:numFmt w:val="lowerLetter"/>
      <w:start w:val="1"/>
    </w:lvl>
  </w:abstractNum>
  <w:abstractNum w:abstractNumId="39">
    <w:nsid w:val="100F59DC"/>
    <w:multiLevelType w:val="hybridMultilevel"/>
    <w:lvl w:ilvl="0">
      <w:lvlJc w:val="left"/>
      <w:lvlText w:val="(%1)"/>
      <w:numFmt w:val="lowerLetter"/>
      <w:start w:val="4"/>
    </w:lvl>
  </w:abstractNum>
  <w:abstractNum w:abstractNumId="40">
    <w:nsid w:val="7FB7E0AA"/>
    <w:multiLevelType w:val="hybridMultilevel"/>
    <w:lvl w:ilvl="0">
      <w:lvlJc w:val="left"/>
      <w:lvlText w:val="(%1)"/>
      <w:numFmt w:val="decimal"/>
      <w:start w:val="1"/>
    </w:lvl>
  </w:abstractNum>
  <w:abstractNum w:abstractNumId="41">
    <w:nsid w:val="6EB5BD4"/>
    <w:multiLevelType w:val="hybridMultilevel"/>
    <w:lvl w:ilvl="0">
      <w:lvlJc w:val="left"/>
      <w:lvlText w:val="(%1)"/>
      <w:numFmt w:val="decimal"/>
      <w:start w:val="7"/>
    </w:lvl>
  </w:abstractNum>
  <w:abstractNum w:abstractNumId="42">
    <w:nsid w:val="6F6DD9AC"/>
    <w:multiLevelType w:val="hybridMultilevel"/>
    <w:lvl w:ilvl="0">
      <w:lvlJc w:val="left"/>
      <w:lvlText w:val="(%1)"/>
      <w:numFmt w:val="lowerLetter"/>
      <w:start w:val="1"/>
    </w:lvl>
  </w:abstractNum>
  <w:abstractNum w:abstractNumId="43">
    <w:nsid w:val="94211F2"/>
    <w:multiLevelType w:val="hybridMultilevel"/>
    <w:lvl w:ilvl="0">
      <w:lvlJc w:val="left"/>
      <w:lvlText w:val="(%1)"/>
      <w:numFmt w:val="lowerLetter"/>
      <w:start w:val="3"/>
    </w:lvl>
  </w:abstractNum>
  <w:abstractNum w:abstractNumId="44">
    <w:nsid w:val="885E1B"/>
    <w:multiLevelType w:val="hybridMultilevel"/>
    <w:lvl w:ilvl="0">
      <w:lvlJc w:val="left"/>
      <w:lvlText w:val="(%1)"/>
      <w:numFmt w:val="decimal"/>
      <w:start w:val="1"/>
    </w:lvl>
  </w:abstractNum>
  <w:abstractNum w:abstractNumId="45">
    <w:nsid w:val="76272110"/>
    <w:multiLevelType w:val="hybridMultilevel"/>
    <w:lvl w:ilvl="0">
      <w:lvlJc w:val="left"/>
      <w:lvlText w:val="(%1)"/>
      <w:numFmt w:val="decimal"/>
      <w:start w:val="12"/>
    </w:lvl>
  </w:abstractNum>
  <w:abstractNum w:abstractNumId="46">
    <w:nsid w:val="4C04A8AF"/>
    <w:multiLevelType w:val="hybridMultilevel"/>
    <w:lvl w:ilvl="0">
      <w:lvlJc w:val="left"/>
      <w:lvlText w:val="(%1)"/>
      <w:numFmt w:val="decimal"/>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1)"/>
      <w:numFmt w:val="decimal"/>
      <w:start w:val="2"/>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2"/>
    </w:lvl>
  </w:abstractNum>
  <w:abstractNum w:abstractNumId="51">
    <w:nsid w:val="68EBC550"/>
    <w:multiLevelType w:val="hybridMultilevel"/>
    <w:lvl w:ilvl="0">
      <w:lvlJc w:val="left"/>
      <w:lvlText w:val="(%1)"/>
      <w:numFmt w:val="lowerLetter"/>
      <w:start w:val="1"/>
    </w:lvl>
  </w:abstractNum>
  <w:abstractNum w:abstractNumId="52">
    <w:nsid w:val="2DF6D648"/>
    <w:multiLevelType w:val="hybridMultilevel"/>
    <w:lvl w:ilvl="0">
      <w:lvlJc w:val="left"/>
      <w:lvlText w:val="(%1)"/>
      <w:numFmt w:val="decimal"/>
      <w:start w:val="1"/>
    </w:lvl>
  </w:abstractNum>
  <w:abstractNum w:abstractNumId="53">
    <w:nsid w:val="46B7D447"/>
    <w:multiLevelType w:val="hybridMultilevel"/>
    <w:lvl w:ilvl="0">
      <w:lvlJc w:val="left"/>
      <w:lvlText w:val="(%1)"/>
      <w:numFmt w:val="decimal"/>
      <w:start w:val="1"/>
    </w:lvl>
  </w:abstractNum>
  <w:abstractNum w:abstractNumId="54">
    <w:nsid w:val="4A2AC315"/>
    <w:multiLevelType w:val="hybridMultilevel"/>
    <w:lvl w:ilvl="0">
      <w:lvlJc w:val="left"/>
      <w:lvlText w:val="(%1)"/>
      <w:numFmt w:val="decimal"/>
      <w:start w:val="3"/>
    </w:lvl>
  </w:abstractNum>
  <w:abstractNum w:abstractNumId="55">
    <w:nsid w:val="39EE015C"/>
    <w:multiLevelType w:val="hybridMultilevel"/>
    <w:lvl w:ilvl="0">
      <w:lvlJc w:val="left"/>
      <w:lvlText w:val="(%1)"/>
      <w:numFmt w:val="decimal"/>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1)"/>
      <w:numFmt w:val="decimal"/>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1"/>
      <w:numFmt w:val="decimal"/>
      <w:start w:val="1"/>
    </w:lvl>
    <w:lvl w:ilvl="1">
      <w:lvlJc w:val="left"/>
      <w:lvlText w:val="(%2)"/>
      <w:numFmt w:val="lowerLetter"/>
      <w:start w:val="2"/>
    </w:lvl>
  </w:abstractNum>
  <w:abstractNum w:abstractNumId="60">
    <w:nsid w:val="26F324BA"/>
    <w:multiLevelType w:val="hybridMultilevel"/>
    <w:lvl w:ilvl="0">
      <w:lvlJc w:val="left"/>
      <w:lvlText w:val="(%1)"/>
      <w:numFmt w:val="decimal"/>
      <w:start w:val="5"/>
    </w:lvl>
    <w:lvl w:ilvl="1">
      <w:lvlJc w:val="left"/>
      <w:lvlText w:val="(%2)"/>
      <w:numFmt w:val="lowerLetter"/>
      <w:start w:val="1"/>
    </w:lvl>
  </w:abstractNum>
  <w:abstractNum w:abstractNumId="61">
    <w:nsid w:val="7F01579B"/>
    <w:multiLevelType w:val="hybridMultilevel"/>
    <w:lvl w:ilvl="0">
      <w:lvlJc w:val="left"/>
      <w:lvlText w:val="%1"/>
      <w:numFmt w:val="decimal"/>
      <w:start w:val="1"/>
    </w:lvl>
    <w:lvl w:ilvl="1">
      <w:lvlJc w:val="left"/>
      <w:lvlText w:val="(%2)"/>
      <w:numFmt w:val="lowerLetter"/>
      <w:start w:val="2"/>
    </w:lvl>
  </w:abstractNum>
  <w:abstractNum w:abstractNumId="62">
    <w:nsid w:val="49DA307D"/>
    <w:multiLevelType w:val="hybridMultilevel"/>
    <w:lvl w:ilvl="0">
      <w:lvlJc w:val="left"/>
      <w:lvlText w:val="(%1)"/>
      <w:numFmt w:val="decimal"/>
      <w:start w:val="6"/>
    </w:lvl>
    <w:lvl w:ilvl="1">
      <w:lvlJc w:val="left"/>
      <w:lvlText w:val="%2"/>
      <w:numFmt w:val="lowerLetter"/>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1)"/>
      <w:numFmt w:val="decimal"/>
      <w:start w:val="1"/>
    </w:lvl>
    <w:lvl w:ilvl="1">
      <w:lvlJc w:val="left"/>
      <w:lvlText w:val="(%2)"/>
      <w:numFmt w:val="lowerLetter"/>
      <w:start w:val="1"/>
    </w:lvl>
  </w:abstractNum>
  <w:abstractNum w:abstractNumId="66">
    <w:nsid w:val="488AC1A"/>
    <w:multiLevelType w:val="hybridMultilevel"/>
    <w:lvl w:ilvl="0">
      <w:lvlJc w:val="left"/>
      <w:lvlText w:val="(%1)"/>
      <w:numFmt w:val="decimal"/>
      <w:start w:val="1"/>
    </w:lvl>
    <w:lvl w:ilvl="1">
      <w:lvlJc w:val="left"/>
      <w:lvlText w:val="(%2)"/>
      <w:numFmt w:val="lowerLetter"/>
      <w:start w:val="2"/>
    </w:lvl>
  </w:abstractNum>
  <w:abstractNum w:abstractNumId="67">
    <w:nsid w:val="5FB8011C"/>
    <w:multiLevelType w:val="hybridMultilevel"/>
    <w:lvl w:ilvl="0">
      <w:lvlJc w:val="left"/>
      <w:lvlText w:val="(%1)"/>
      <w:numFmt w:val="decimal"/>
      <w:start w:val="1"/>
    </w:lvl>
  </w:abstractNum>
  <w:abstractNum w:abstractNumId="68">
    <w:nsid w:val="6AA78F7F"/>
    <w:multiLevelType w:val="hybridMultilevel"/>
    <w:lvl w:ilvl="0">
      <w:lvlJc w:val="left"/>
      <w:lvlText w:val="(%1)"/>
      <w:numFmt w:val="decimal"/>
      <w:start w:val="3"/>
    </w:lvl>
  </w:abstractNum>
  <w:abstractNum w:abstractNumId="69">
    <w:nsid w:val="7672BD23"/>
    <w:multiLevelType w:val="hybridMultilevel"/>
    <w:lvl w:ilvl="0">
      <w:lvlJc w:val="left"/>
      <w:lvlText w:val="(%1)"/>
      <w:numFmt w:val="decimal"/>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1)"/>
      <w:numFmt w:val="decimal"/>
      <w:start w:val="1"/>
    </w:lvl>
  </w:abstractNum>
  <w:abstractNum w:abstractNumId="73">
    <w:nsid w:val="5F3534A4"/>
    <w:multiLevelType w:val="hybridMultilevel"/>
    <w:lvl w:ilvl="0">
      <w:lvlJc w:val="left"/>
      <w:lvlText w:val="(%1)"/>
      <w:numFmt w:val="decimal"/>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1)"/>
      <w:numFmt w:val="decimal"/>
      <w:start w:val="5"/>
    </w:lvl>
  </w:abstractNum>
  <w:abstractNum w:abstractNumId="76">
    <w:nsid w:val="555C55B5"/>
    <w:multiLevelType w:val="hybridMultilevel"/>
    <w:lvl w:ilvl="0">
      <w:lvlJc w:val="left"/>
      <w:lvlText w:val="(%1)"/>
      <w:numFmt w:val="decimal"/>
      <w:start w:val="1"/>
    </w:lvl>
    <w:lvl w:ilvl="1">
      <w:lvlJc w:val="left"/>
      <w:lvlText w:val="(%2)"/>
      <w:numFmt w:val="lowerLetter"/>
      <w:start w:val="1"/>
    </w:lvl>
  </w:abstractNum>
  <w:abstractNum w:abstractNumId="77">
    <w:nsid w:val="3FA62ACA"/>
    <w:multiLevelType w:val="hybridMultilevel"/>
    <w:lvl w:ilvl="0">
      <w:lvlJc w:val="left"/>
      <w:lvlText w:val="(%1)"/>
      <w:numFmt w:val="decimal"/>
      <w:start w:val="1"/>
    </w:lvl>
  </w:abstractNum>
  <w:abstractNum w:abstractNumId="78">
    <w:nsid w:val="14FCE74E"/>
    <w:multiLevelType w:val="hybridMultilevel"/>
    <w:lvl w:ilvl="0">
      <w:lvlJc w:val="left"/>
      <w:lvlText w:val="(%1)"/>
      <w:numFmt w:val="decimal"/>
      <w:start w:val="1"/>
    </w:lvl>
  </w:abstractNum>
  <w:abstractNum w:abstractNumId="79">
    <w:nsid w:val="6A3DD3E8"/>
    <w:multiLevelType w:val="hybridMultilevel"/>
    <w:lvl w:ilvl="0">
      <w:lvlJc w:val="left"/>
      <w:lvlText w:val="(%1)"/>
      <w:numFmt w:val="decimal"/>
      <w:start w:val="1"/>
    </w:lvl>
  </w:abstractNum>
  <w:abstractNum w:abstractNumId="80">
    <w:nsid w:val="71C91298"/>
    <w:multiLevelType w:val="hybridMultilevel"/>
    <w:lvl w:ilvl="0">
      <w:lvlJc w:val="left"/>
      <w:lvlText w:val="(%1)"/>
      <w:numFmt w:val="decimal"/>
      <w:start w:val="2"/>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decimal"/>
      <w:start w:val="11"/>
    </w:lvl>
  </w:abstractNum>
  <w:abstractNum w:abstractNumId="83">
    <w:nsid w:val="1FBFE8E0"/>
    <w:multiLevelType w:val="hybridMultilevel"/>
    <w:lvl w:ilvl="0">
      <w:lvlJc w:val="left"/>
      <w:lvlText w:val="(%1)"/>
      <w:numFmt w:val="decimal"/>
      <w:start w:val="1"/>
    </w:lvl>
  </w:abstractNum>
  <w:abstractNum w:abstractNumId="84">
    <w:nsid w:val="5092CA79"/>
    <w:multiLevelType w:val="hybridMultilevel"/>
    <w:lvl w:ilvl="0">
      <w:lvlJc w:val="left"/>
      <w:lvlText w:val="(%1)"/>
      <w:numFmt w:val="decimal"/>
      <w:start w:val="1"/>
    </w:lvl>
  </w:abstractNum>
  <w:abstractNum w:abstractNumId="85">
    <w:nsid w:val="1D545C4D"/>
    <w:multiLevelType w:val="hybridMultilevel"/>
    <w:lvl w:ilvl="0">
      <w:lvlJc w:val="left"/>
      <w:lvlText w:val="(%1)"/>
      <w:numFmt w:val="decimal"/>
      <w:start w:val="1"/>
    </w:lvl>
  </w:abstractNum>
  <w:abstractNum w:abstractNumId="86">
    <w:nsid w:val="59ADEA3D"/>
    <w:multiLevelType w:val="hybridMultilevel"/>
    <w:lvl w:ilvl="0">
      <w:lvlJc w:val="left"/>
      <w:lvlText w:val="(%1)"/>
      <w:numFmt w:val="decimal"/>
      <w:start w:val="1"/>
    </w:lvl>
  </w:abstractNum>
  <w:abstractNum w:abstractNumId="87">
    <w:nsid w:val="288F1A34"/>
    <w:multiLevelType w:val="hybridMultilevel"/>
    <w:lvl w:ilvl="0">
      <w:lvlJc w:val="left"/>
      <w:lvlText w:val="(%1)"/>
      <w:numFmt w:val="decimal"/>
      <w:start w:val="19"/>
    </w:lvl>
  </w:abstractNum>
  <w:abstractNum w:abstractNumId="88">
    <w:nsid w:val="2A155DBC"/>
    <w:multiLevelType w:val="hybridMultilevel"/>
    <w:lvl w:ilvl="0">
      <w:lvlJc w:val="left"/>
      <w:lvlText w:val="(%1)"/>
      <w:numFmt w:val="decimal"/>
      <w:start w:val="1"/>
    </w:lvl>
  </w:abstractNum>
  <w:abstractNum w:abstractNumId="89">
    <w:nsid w:val="1D9F6E5F"/>
    <w:multiLevelType w:val="hybridMultilevel"/>
    <w:lvl w:ilvl="0">
      <w:lvlJc w:val="left"/>
      <w:lvlText w:val="(%1)"/>
      <w:numFmt w:val="decimal"/>
      <w:start w:val="3"/>
    </w:lvl>
    <w:lvl w:ilvl="1">
      <w:lvlJc w:val="left"/>
      <w:lvlText w:val="(%2)"/>
      <w:numFmt w:val="lowerLetter"/>
      <w:start w:val="24"/>
    </w:lvl>
  </w:abstractNum>
  <w:abstractNum w:abstractNumId="90">
    <w:nsid w:val="97E1B4E"/>
    <w:multiLevelType w:val="hybridMultilevel"/>
    <w:lvl w:ilvl="0">
      <w:lvlJc w:val="left"/>
      <w:lvlText w:val="(%1)"/>
      <w:numFmt w:val="decimal"/>
      <w:start w:val="1"/>
    </w:lvl>
  </w:abstractNum>
  <w:abstractNum w:abstractNumId="91">
    <w:nsid w:val="51088277"/>
    <w:multiLevelType w:val="hybridMultilevel"/>
    <w:lvl w:ilvl="0">
      <w:lvlJc w:val="left"/>
      <w:lvlText w:val="(%1)"/>
      <w:numFmt w:val="decimal"/>
      <w:start w:val="1"/>
    </w:lvl>
    <w:lvl w:ilvl="1">
      <w:lvlJc w:val="left"/>
      <w:lvlText w:val="(%2)"/>
      <w:numFmt w:val="lowerLetter"/>
      <w:start w:val="1"/>
    </w:lvl>
  </w:abstractNum>
  <w:abstractNum w:abstractNumId="92">
    <w:nsid w:val="1CA0C5FA"/>
    <w:multiLevelType w:val="hybridMultilevel"/>
    <w:lvl w:ilvl="0">
      <w:lvlJc w:val="left"/>
      <w:lvlText w:val="(%1)"/>
      <w:numFmt w:val="decimal"/>
      <w:start w:val="1"/>
    </w:lvl>
  </w:abstractNum>
  <w:abstractNum w:abstractNumId="93">
    <w:nsid w:val="53584BCB"/>
    <w:multiLevelType w:val="hybridMultilevel"/>
    <w:lvl w:ilvl="0">
      <w:lvlJc w:val="left"/>
      <w:lvlText w:val="(%1)"/>
      <w:numFmt w:val="decimal"/>
      <w:start w:val="4"/>
    </w:lvl>
  </w:abstractNum>
  <w:abstractNum w:abstractNumId="94">
    <w:nsid w:val="415E286C"/>
    <w:multiLevelType w:val="hybridMultilevel"/>
    <w:lvl w:ilvl="0">
      <w:lvlJc w:val="left"/>
      <w:lvlText w:val="(%1)"/>
      <w:numFmt w:val="decimal"/>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1)"/>
      <w:numFmt w:val="decimal"/>
      <w:start w:val="713"/>
    </w:lvl>
  </w:abstractNum>
  <w:abstractNum w:abstractNumId="101">
    <w:nsid w:val="4BD8591A"/>
    <w:multiLevelType w:val="hybridMultilevel"/>
    <w:lvl w:ilvl="0">
      <w:lvlJc w:val="left"/>
      <w:lvlText w:val="(%1)"/>
      <w:numFmt w:val="decimal"/>
      <w:start w:val="615"/>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1)"/>
      <w:numFmt w:val="decimal"/>
      <w:start w:val="1"/>
    </w:lvl>
    <w:lvl w:ilvl="1">
      <w:lvlJc w:val="left"/>
      <w:lvlText w:val="(%2)"/>
      <w:numFmt w:val="lowerLetter"/>
      <w:start w:val="1"/>
    </w:lvl>
  </w:abstractNum>
  <w:abstractNum w:abstractNumId="104">
    <w:nsid w:val="2B0D8DBE"/>
    <w:multiLevelType w:val="hybridMultilevel"/>
    <w:lvl w:ilvl="0">
      <w:lvlJc w:val="left"/>
      <w:lvlText w:val="(%1)"/>
      <w:numFmt w:val="lowerLetter"/>
      <w:start w:val="2"/>
    </w:lvl>
  </w:abstractNum>
  <w:abstractNum w:abstractNumId="105">
    <w:nsid w:val="6C80EC70"/>
    <w:multiLevelType w:val="hybridMultilevel"/>
    <w:lvl w:ilvl="0">
      <w:lvlJc w:val="left"/>
      <w:lvlText w:val="(%1)"/>
      <w:numFmt w:val="decimal"/>
      <w:start w:val="6"/>
    </w:lvl>
  </w:abstractNum>
  <w:abstractNum w:abstractNumId="106">
    <w:nsid w:val="379E21B5"/>
    <w:multiLevelType w:val="hybridMultilevel"/>
    <w:lvl w:ilvl="0">
      <w:lvlJc w:val="left"/>
      <w:lvlText w:val="(%1)"/>
      <w:numFmt w:val="decimal"/>
      <w:start w:val="8"/>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
      <w:numFmt w:val="bullet"/>
      <w:start w:val="1"/>
    </w:lvl>
    <w:lvl w:ilvl="1">
      <w:lvlJc w:val="left"/>
      <w:lvlText w:val="*"/>
      <w:numFmt w:val="bullet"/>
      <w:start w:val="1"/>
    </w:lvl>
  </w:abstractNum>
  <w:abstractNum w:abstractNumId="109">
    <w:nsid w:val="4C9B0904"/>
    <w:multiLevelType w:val="hybridMultilevel"/>
    <w:lvl w:ilvl="0">
      <w:lvlJc w:val="left"/>
      <w:lvlText w:val="(%1)"/>
      <w:numFmt w:val="decimal"/>
      <w:start w:val="1"/>
    </w:lvl>
    <w:lvl w:ilvl="1">
      <w:lvlJc w:val="left"/>
      <w:lvlText w:val="(%2)"/>
      <w:numFmt w:val="lowerRoman"/>
      <w:start w:val="1"/>
    </w:lvl>
  </w:abstractNum>
  <w:abstractNum w:abstractNumId="110">
    <w:nsid w:val="6AA7B75C"/>
    <w:multiLevelType w:val="hybridMultilevel"/>
    <w:lvl w:ilvl="0">
      <w:lvlJc w:val="left"/>
      <w:lvlText w:val="(%1)"/>
      <w:numFmt w:val="decimal"/>
      <w:start w:val="5"/>
    </w:lvl>
    <w:lvl w:ilvl="1">
      <w:lvlJc w:val="left"/>
      <w:lvlText w:val="(%2)"/>
      <w:numFmt w:val="lowerRoman"/>
      <w:start w:val="1"/>
    </w:lvl>
  </w:abstractNum>
  <w:abstractNum w:abstractNumId="111">
    <w:nsid w:val="1DF029D3"/>
    <w:multiLevelType w:val="hybridMultilevel"/>
    <w:lvl w:ilvl="0">
      <w:lvlJc w:val="left"/>
      <w:lvlText w:val="(%1)"/>
      <w:numFmt w:val="lowerRoman"/>
      <w:start w:val="1"/>
    </w:lvl>
  </w:abstractNum>
  <w:abstractNum w:abstractNumId="112">
    <w:nsid w:val="5675FF36"/>
    <w:multiLevelType w:val="hybridMultilevel"/>
    <w:lvl w:ilvl="0">
      <w:lvlJc w:val="left"/>
      <w:lvlText w:val="(%1)"/>
      <w:numFmt w:val="lowerRoman"/>
      <w:start w:val="2"/>
    </w:lvl>
  </w:abstractNum>
  <w:abstractNum w:abstractNumId="113">
    <w:nsid w:val="3DD15094"/>
    <w:multiLevelType w:val="hybridMultilevel"/>
    <w:lvl w:ilvl="0">
      <w:lvlJc w:val="left"/>
      <w:lvlText w:val="(%1)"/>
      <w:numFmt w:val="lowerLetter"/>
      <w:start w:val="4"/>
    </w:lvl>
  </w:abstractNum>
  <w:abstractNum w:abstractNumId="114">
    <w:nsid w:val="3DB012B3"/>
    <w:multiLevelType w:val="hybridMultilevel"/>
    <w:lvl w:ilvl="0">
      <w:lvlJc w:val="left"/>
      <w:lvlText w:val="%1."/>
      <w:numFmt w:val="decimal"/>
      <w:start w:val="1"/>
    </w:lvl>
  </w:abstractNum>
  <w:abstractNum w:abstractNumId="115">
    <w:nsid w:val="2708C9AF"/>
    <w:multiLevelType w:val="hybridMultilevel"/>
    <w:lvl w:ilvl="0">
      <w:lvlJc w:val="left"/>
      <w:lvlText w:val="%1."/>
      <w:numFmt w:val="decimal"/>
      <w:start w:val="2"/>
    </w:lvl>
  </w:abstractNum>
  <w:abstractNum w:abstractNumId="116">
    <w:nsid w:val="5B25ACE2"/>
    <w:multiLevelType w:val="hybridMultilevel"/>
    <w:lvl w:ilvl="0">
      <w:lvlJc w:val="left"/>
      <w:lvlText w:val="1"/>
      <w:numFmt w:val="bullet"/>
      <w:start w:val="1"/>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2"/>
      <w:numFmt w:val="bullet"/>
      <w:start w:val="1"/>
    </w:lvl>
    <w:lvl w:ilvl="1">
      <w:lvlJc w:val="left"/>
      <w:lvlText w:val="(%2)"/>
      <w:numFmt w:val="lowerLetter"/>
      <w:start w:val="1"/>
    </w:lvl>
  </w:abstractNum>
  <w:abstractNum w:abstractNumId="119">
    <w:nsid w:val="53B0A9E"/>
    <w:multiLevelType w:val="hybridMultilevel"/>
    <w:lvl w:ilvl="0">
      <w:lvlJc w:val="left"/>
      <w:lvlText w:val="(%1)"/>
      <w:numFmt w:val="lowerLetter"/>
      <w:start w:val="10"/>
    </w:lvl>
  </w:abstractNum>
  <w:abstractNum w:abstractNumId="120">
    <w:nsid w:val="34FD6B4F"/>
    <w:multiLevelType w:val="hybridMultilevel"/>
    <w:lvl w:ilvl="0">
      <w:lvlJc w:val="left"/>
      <w:lvlText w:val="(%1)"/>
      <w:numFmt w:val="lowerLetter"/>
      <w:start w:val="18"/>
    </w:lvl>
  </w:abstractNum>
  <w:abstractNum w:abstractNumId="121">
    <w:nsid w:val="5915FF32"/>
    <w:multiLevelType w:val="hybridMultilevel"/>
    <w:lvl w:ilvl="0">
      <w:lvlJc w:val="left"/>
      <w:lvlText w:val="3"/>
      <w:numFmt w:val="bullet"/>
      <w:start w:val="1"/>
    </w:lvl>
    <w:lvl w:ilvl="1">
      <w:lvlJc w:val="left"/>
      <w:lvlText w:val="(%2)"/>
      <w:numFmt w:val="lowerLetter"/>
      <w:start w:val="1"/>
    </w:lvl>
  </w:abstractNum>
  <w:abstractNum w:abstractNumId="122">
    <w:nsid w:val="56438D15"/>
    <w:multiLevelType w:val="hybridMultilevel"/>
    <w:lvl w:ilvl="0">
      <w:lvlJc w:val="left"/>
      <w:lvlText w:val="4"/>
      <w:numFmt w:val="bullet"/>
      <w:start w:val="1"/>
    </w:lvl>
    <w:lvl w:ilvl="1">
      <w:lvlJc w:val="left"/>
      <w:lvlText w:val="(%2)"/>
      <w:numFmt w:val="lowerLetter"/>
      <w:start w:val="1"/>
    </w:lvl>
  </w:abstractNum>
  <w:abstractNum w:abstractNumId="123">
    <w:nsid w:val="519E3149"/>
    <w:multiLevelType w:val="hybridMultilevel"/>
    <w:lvl w:ilvl="0">
      <w:lvlJc w:val="left"/>
      <w:lvlText w:val="(%1)"/>
      <w:numFmt w:val="lowerLetter"/>
      <w:start w:val="3"/>
    </w:lvl>
    <w:lvl w:ilvl="1">
      <w:lvlJc w:val="left"/>
      <w:lvlText w:val="(%2)"/>
      <w:numFmt w:val="lowerRoman"/>
      <w:start w:val="1"/>
    </w:lvl>
  </w:abstractNum>
  <w:abstractNum w:abstractNumId="124">
    <w:nsid w:val="2C6E4AFD"/>
    <w:multiLevelType w:val="hybridMultilevel"/>
    <w:lvl w:ilvl="0">
      <w:lvlJc w:val="left"/>
      <w:lvlText w:val="(%1)"/>
      <w:numFmt w:val="lowerLetter"/>
      <w:start w:val="7"/>
    </w:lvl>
  </w:abstractNum>
  <w:abstractNum w:abstractNumId="125">
    <w:nsid w:val="17A1B582"/>
    <w:multiLevelType w:val="hybridMultilevel"/>
    <w:lvl w:ilvl="0">
      <w:lvlJc w:val="left"/>
      <w:lvlText w:val="o"/>
      <w:numFmt w:val="bullet"/>
      <w:start w:val="1"/>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36" Type="http://schemas.openxmlformats.org/officeDocument/2006/relationships/image" Target="media/image119.png"/><Relationship Id="rId143" Type="http://schemas.openxmlformats.org/officeDocument/2006/relationships/image" Target="media/image120.png"/><Relationship Id="rId151" Type="http://schemas.openxmlformats.org/officeDocument/2006/relationships/image" Target="media/image121.png"/><Relationship Id="rId162" Type="http://schemas.openxmlformats.org/officeDocument/2006/relationships/image" Target="media/image122.png"/><Relationship Id="rId174" Type="http://schemas.openxmlformats.org/officeDocument/2006/relationships/image" Target="media/image123.png"/><Relationship Id="rId185" Type="http://schemas.openxmlformats.org/officeDocument/2006/relationships/image" Target="media/image124.png"/><Relationship Id="rId195" Type="http://schemas.openxmlformats.org/officeDocument/2006/relationships/image" Target="media/image125.png"/><Relationship Id="rId204" Type="http://schemas.openxmlformats.org/officeDocument/2006/relationships/image" Target="media/image126.png"/><Relationship Id="rId205" Type="http://schemas.openxmlformats.org/officeDocument/2006/relationships/image" Target="media/image127.png"/><Relationship Id="rId213" Type="http://schemas.openxmlformats.org/officeDocument/2006/relationships/image" Target="media/image128.png"/><Relationship Id="rId214" Type="http://schemas.openxmlformats.org/officeDocument/2006/relationships/image" Target="media/image129.png"/><Relationship Id="rId216"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19" Type="http://schemas.openxmlformats.org/officeDocument/2006/relationships/image" Target="media/image133.png"/><Relationship Id="rId220" Type="http://schemas.openxmlformats.org/officeDocument/2006/relationships/image" Target="media/image134.png"/><Relationship Id="rId221" Type="http://schemas.openxmlformats.org/officeDocument/2006/relationships/image" Target="media/image135.png"/><Relationship Id="rId222" Type="http://schemas.openxmlformats.org/officeDocument/2006/relationships/image" Target="media/image136.png"/><Relationship Id="rId223" Type="http://schemas.openxmlformats.org/officeDocument/2006/relationships/image" Target="media/image137.png"/><Relationship Id="rId224" Type="http://schemas.openxmlformats.org/officeDocument/2006/relationships/image" Target="media/image138.png"/><Relationship Id="rId225" Type="http://schemas.openxmlformats.org/officeDocument/2006/relationships/image" Target="media/image139.png"/><Relationship Id="rId226" Type="http://schemas.openxmlformats.org/officeDocument/2006/relationships/image" Target="media/image140.png"/><Relationship Id="rId227" Type="http://schemas.openxmlformats.org/officeDocument/2006/relationships/image" Target="media/image141.png"/><Relationship Id="rId228" Type="http://schemas.openxmlformats.org/officeDocument/2006/relationships/image" Target="media/image142.png"/><Relationship Id="rId229" Type="http://schemas.openxmlformats.org/officeDocument/2006/relationships/image" Target="media/image143.png"/><Relationship Id="rId230" Type="http://schemas.openxmlformats.org/officeDocument/2006/relationships/image" Target="media/image144.png"/><Relationship Id="rId231" Type="http://schemas.openxmlformats.org/officeDocument/2006/relationships/image" Target="media/image145.png"/><Relationship Id="rId232" Type="http://schemas.openxmlformats.org/officeDocument/2006/relationships/image" Target="media/image146.png"/><Relationship Id="rId233" Type="http://schemas.openxmlformats.org/officeDocument/2006/relationships/image" Target="media/image147.png"/><Relationship Id="rId234" Type="http://schemas.openxmlformats.org/officeDocument/2006/relationships/image" Target="media/image148.png"/><Relationship Id="rId235" Type="http://schemas.openxmlformats.org/officeDocument/2006/relationships/image" Target="media/image149.png"/><Relationship Id="rId236" Type="http://schemas.openxmlformats.org/officeDocument/2006/relationships/image" Target="media/image150.png"/><Relationship Id="rId237" Type="http://schemas.openxmlformats.org/officeDocument/2006/relationships/image" Target="media/image151.png"/><Relationship Id="rId238" Type="http://schemas.openxmlformats.org/officeDocument/2006/relationships/image" Target="media/image152.png"/><Relationship Id="rId239" Type="http://schemas.openxmlformats.org/officeDocument/2006/relationships/image" Target="media/image153.png"/><Relationship Id="rId240" Type="http://schemas.openxmlformats.org/officeDocument/2006/relationships/image" Target="media/image154.png"/><Relationship Id="rId241" Type="http://schemas.openxmlformats.org/officeDocument/2006/relationships/image" Target="media/image155.png"/><Relationship Id="rId242" Type="http://schemas.openxmlformats.org/officeDocument/2006/relationships/image" Target="media/image156.png"/><Relationship Id="rId243" Type="http://schemas.openxmlformats.org/officeDocument/2006/relationships/image" Target="media/image157.png"/><Relationship Id="rId244" Type="http://schemas.openxmlformats.org/officeDocument/2006/relationships/image" Target="media/image158.png"/><Relationship Id="rId245" Type="http://schemas.openxmlformats.org/officeDocument/2006/relationships/image" Target="media/image159.png"/><Relationship Id="rId246" Type="http://schemas.openxmlformats.org/officeDocument/2006/relationships/image" Target="media/image160.jpeg"/><Relationship Id="rId247" Type="http://schemas.openxmlformats.org/officeDocument/2006/relationships/image" Target="media/image161.png"/><Relationship Id="rId248" Type="http://schemas.openxmlformats.org/officeDocument/2006/relationships/image" Target="media/image162.jpeg"/><Relationship Id="rId249" Type="http://schemas.openxmlformats.org/officeDocument/2006/relationships/image" Target="media/image163.png"/><Relationship Id="rId250" Type="http://schemas.openxmlformats.org/officeDocument/2006/relationships/image" Target="media/image164.jpeg"/><Relationship Id="rId251"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54" Type="http://schemas.openxmlformats.org/officeDocument/2006/relationships/image" Target="media/image168.png"/><Relationship Id="rId255" Type="http://schemas.openxmlformats.org/officeDocument/2006/relationships/image" Target="media/image169.png"/><Relationship Id="rId256" Type="http://schemas.openxmlformats.org/officeDocument/2006/relationships/image" Target="media/image170.jpeg"/><Relationship Id="rId257" Type="http://schemas.openxmlformats.org/officeDocument/2006/relationships/image" Target="media/image171.png"/><Relationship Id="rId258" Type="http://schemas.openxmlformats.org/officeDocument/2006/relationships/image" Target="media/image172.jpeg"/><Relationship Id="rId259" Type="http://schemas.openxmlformats.org/officeDocument/2006/relationships/image" Target="media/image173.jpeg"/><Relationship Id="rId260" Type="http://schemas.openxmlformats.org/officeDocument/2006/relationships/image" Target="media/image174.png"/><Relationship Id="rId261" Type="http://schemas.openxmlformats.org/officeDocument/2006/relationships/image" Target="media/image175.jpeg"/><Relationship Id="rId262" Type="http://schemas.openxmlformats.org/officeDocument/2006/relationships/image" Target="media/image176.png"/><Relationship Id="rId263" Type="http://schemas.openxmlformats.org/officeDocument/2006/relationships/image" Target="media/image177.jpeg"/><Relationship Id="rId264" Type="http://schemas.openxmlformats.org/officeDocument/2006/relationships/image" Target="media/image178.png"/><Relationship Id="rId265" Type="http://schemas.openxmlformats.org/officeDocument/2006/relationships/image" Target="media/image179.jpeg"/><Relationship Id="rId266" Type="http://schemas.openxmlformats.org/officeDocument/2006/relationships/image" Target="media/image180.png"/><Relationship Id="rId267" Type="http://schemas.openxmlformats.org/officeDocument/2006/relationships/image" Target="media/image181.jpeg"/><Relationship Id="rId268" Type="http://schemas.openxmlformats.org/officeDocument/2006/relationships/image" Target="media/image182.png"/><Relationship Id="rId269" Type="http://schemas.openxmlformats.org/officeDocument/2006/relationships/image" Target="media/image183.jpeg"/><Relationship Id="rId270" Type="http://schemas.openxmlformats.org/officeDocument/2006/relationships/image" Target="media/image184.png"/><Relationship Id="rId271" Type="http://schemas.openxmlformats.org/officeDocument/2006/relationships/image" Target="media/image185.png"/><Relationship Id="rId272" Type="http://schemas.openxmlformats.org/officeDocument/2006/relationships/image" Target="media/image186.png"/><Relationship Id="rId273" Type="http://schemas.openxmlformats.org/officeDocument/2006/relationships/image" Target="media/image187.png"/><Relationship Id="rId274" Type="http://schemas.openxmlformats.org/officeDocument/2006/relationships/image" Target="media/image188.png"/><Relationship Id="rId275" Type="http://schemas.openxmlformats.org/officeDocument/2006/relationships/image" Target="media/image189.png"/><Relationship Id="rId276" Type="http://schemas.openxmlformats.org/officeDocument/2006/relationships/image" Target="media/image190.png"/><Relationship Id="rId277" Type="http://schemas.openxmlformats.org/officeDocument/2006/relationships/image" Target="media/image191.png"/><Relationship Id="rId278" Type="http://schemas.openxmlformats.org/officeDocument/2006/relationships/image" Target="media/image192.png"/><Relationship Id="rId279" Type="http://schemas.openxmlformats.org/officeDocument/2006/relationships/image" Target="media/image193.png"/><Relationship Id="rId280" Type="http://schemas.openxmlformats.org/officeDocument/2006/relationships/image" Target="media/image194.png"/><Relationship Id="rId281" Type="http://schemas.openxmlformats.org/officeDocument/2006/relationships/image" Target="media/image195.png"/><Relationship Id="rId282" Type="http://schemas.openxmlformats.org/officeDocument/2006/relationships/image" Target="media/image196.png"/><Relationship Id="rId283" Type="http://schemas.openxmlformats.org/officeDocument/2006/relationships/image" Target="media/image197.png"/><Relationship Id="rId284" Type="http://schemas.openxmlformats.org/officeDocument/2006/relationships/image" Target="media/image198.png"/><Relationship Id="rId285" Type="http://schemas.openxmlformats.org/officeDocument/2006/relationships/image" Target="media/image199.png"/><Relationship Id="rId286" Type="http://schemas.openxmlformats.org/officeDocument/2006/relationships/image" Target="media/image200.png"/><Relationship Id="rId287" Type="http://schemas.openxmlformats.org/officeDocument/2006/relationships/image" Target="media/image201.jpeg"/><Relationship Id="rId288" Type="http://schemas.openxmlformats.org/officeDocument/2006/relationships/image" Target="media/image202.jpeg"/><Relationship Id="rId289" Type="http://schemas.openxmlformats.org/officeDocument/2006/relationships/image" Target="media/image203.jpeg"/><Relationship Id="rId124" Type="http://schemas.openxmlformats.org/officeDocument/2006/relationships/hyperlink" Target="http://www.sec.gov/Archives/edgar/data/1603923/000160392318000043/ex11purchaseagreementforbo.htm" TargetMode="External"/><Relationship Id="rId127" Type="http://schemas.openxmlformats.org/officeDocument/2006/relationships/hyperlink" Target="http://www.sec.gov/Archives/edgar/data/1453090/000145309014000034/exhibit21mergeragreementir.htm" TargetMode="External"/><Relationship Id="rId128" Type="http://schemas.openxmlformats.org/officeDocument/2006/relationships/hyperlink" Target="http://www.sec.gov/Archives/edgar/data/1603923/000160392314000013/exhibit31memorandumandarti.htm" TargetMode="External"/><Relationship Id="rId129" Type="http://schemas.openxmlformats.org/officeDocument/2006/relationships/hyperlink" Target="http://www.sec.gov/Archives/edgar/data/1170565/000095012902002692/h95792a1sv4za.txt" TargetMode="External"/><Relationship Id="rId130" Type="http://schemas.openxmlformats.org/officeDocument/2006/relationships/hyperlink" Target="http://www.sec.gov/Archives/edgar/data/32908/000119312517040410/d343393dex34.htm" TargetMode="External"/><Relationship Id="rId131" Type="http://schemas.openxmlformats.org/officeDocument/2006/relationships/hyperlink" Target="http://www.sec.gov/Archives/edgar/data/1170565/000095012906005514/h36261exv4w1.htm" TargetMode="External"/><Relationship Id="rId132" Type="http://schemas.openxmlformats.org/officeDocument/2006/relationships/hyperlink" Target="http://www.sec.gov/Archives/edgar/data/32908/000145309014000026/wfts-3ex47.htm" TargetMode="External"/><Relationship Id="rId133" Type="http://schemas.openxmlformats.org/officeDocument/2006/relationships/hyperlink" Target="http://www.sec.gov/Archives/edgar/data/32908/000145309014000026/wfts-3ex48.htm" TargetMode="External"/><Relationship Id="rId134" Type="http://schemas.openxmlformats.org/officeDocument/2006/relationships/hyperlink" Target="http://www.sec.gov/Archives/edgar/data/1170565/000095012903004882/h09341exv4w1.txt" TargetMode="External"/><Relationship Id="rId135" Type="http://schemas.openxmlformats.org/officeDocument/2006/relationships/hyperlink" Target="http://www.sec.gov/Archives/edgar/data/1170565/000095012908001882/h55139exv4w1.htm" TargetMode="External"/><Relationship Id="rId137" Type="http://schemas.openxmlformats.org/officeDocument/2006/relationships/hyperlink" Target="http://www.sec.gov/Archives/edgar/data/1170565/000095013409000247/h65364exv4w1.htm" TargetMode="External"/><Relationship Id="rId138" Type="http://schemas.openxmlformats.org/officeDocument/2006/relationships/hyperlink" Target="http://www.sec.gov/Archives/edgar/data/1453090/000095013409003813/h65865exv4w2.htm" TargetMode="External"/><Relationship Id="rId139" Type="http://schemas.openxmlformats.org/officeDocument/2006/relationships/hyperlink" Target="http://www.sec.gov/Archives/edgar/data/1453090/000095012310098982/h77261exv4w1.htm" TargetMode="External"/><Relationship Id="rId140" Type="http://schemas.openxmlformats.org/officeDocument/2006/relationships/hyperlink" Target="http://www.sec.gov/Archives/edgar/data/1453090/000119312512150004/d326928dex41.htm" TargetMode="External"/><Relationship Id="rId141" Type="http://schemas.openxmlformats.org/officeDocument/2006/relationships/hyperlink" Target="http://www.sec.gov/Archives/edgar/data/1453090/000119312512355694/d395254dex41.htm" TargetMode="External"/><Relationship Id="rId142" Type="http://schemas.openxmlformats.org/officeDocument/2006/relationships/hyperlink" Target="http://www.sec.gov/Archives/edgar/data/1453090/000145309013000016/wftex41.htm" TargetMode="External"/><Relationship Id="rId144" Type="http://schemas.openxmlformats.org/officeDocument/2006/relationships/hyperlink" Target="http://www.sec.gov/Archives/edgar/data/1603923/000160392314000013/exhibit41eighthsupplementa.htm" TargetMode="External"/><Relationship Id="rId145" Type="http://schemas.openxmlformats.org/officeDocument/2006/relationships/hyperlink" Target="http://www.sec.gov/Archives/edgar/data/1603923/000119312516615376/d202652dex41.htm" TargetMode="External"/><Relationship Id="rId146" Type="http://schemas.openxmlformats.org/officeDocument/2006/relationships/hyperlink" Target="http://www.sec.gov/Archives/edgar/data/1603923/000119312516625051/d192001dex41.htm" TargetMode="External"/><Relationship Id="rId147" Type="http://schemas.openxmlformats.org/officeDocument/2006/relationships/hyperlink" Target="http://www.sec.gov/Archives/edgar/data/1603923/000119312516773814/d293655dex41.htm" TargetMode="External"/><Relationship Id="rId148" Type="http://schemas.openxmlformats.org/officeDocument/2006/relationships/hyperlink" Target="http://www.sec.gov/Archives/edgar/data/1170565/000095012907003024/h47597exv4w1.htm" TargetMode="External"/><Relationship Id="rId149" Type="http://schemas.openxmlformats.org/officeDocument/2006/relationships/hyperlink" Target="http://www.sec.gov/Archives/edgar/data/1170565/000095012907003024/h47597exv4w2.htm" TargetMode="External"/><Relationship Id="rId150" Type="http://schemas.openxmlformats.org/officeDocument/2006/relationships/hyperlink" Target="http://www.sec.gov/Archives/edgar/data/1170565/000095013409003811/h65866exv4w3.htm" TargetMode="External"/><Relationship Id="rId152" Type="http://schemas.openxmlformats.org/officeDocument/2006/relationships/hyperlink" Target="http://www.sec.gov/Archives/edgar/data/1453090/000119312512355694/d395254dex42.htm" TargetMode="External"/><Relationship Id="rId153" Type="http://schemas.openxmlformats.org/officeDocument/2006/relationships/hyperlink" Target="http://www.sec.gov/Archives/edgar/data/1453090/000145309013000016/wftex42.htm" TargetMode="External"/><Relationship Id="rId154" Type="http://schemas.openxmlformats.org/officeDocument/2006/relationships/hyperlink" Target="http://www.sec.gov/Archives/edgar/data/1603923/000160392314000013/exhibit42fifthsupplemental.htm" TargetMode="External"/><Relationship Id="rId155" Type="http://schemas.openxmlformats.org/officeDocument/2006/relationships/hyperlink" Target="http://www.sec.gov/Archives/edgar/data/1603923/000160392318000045/ex41sixthsupplementalinden.htm" TargetMode="External"/><Relationship Id="rId156" Type="http://schemas.openxmlformats.org/officeDocument/2006/relationships/hyperlink" Target="http://www.sec.gov/Archives/edgar/data/1603923/000119312516773814/d293655dex43.htm" TargetMode="External"/><Relationship Id="rId157" Type="http://schemas.openxmlformats.org/officeDocument/2006/relationships/hyperlink" Target="http://www.sec.gov/Archives/edgar/data/1603923/000160392318000045/ex42registrationrightsagre.htm" TargetMode="External"/><Relationship Id="rId158" Type="http://schemas.openxmlformats.org/officeDocument/2006/relationships/hyperlink" Target="file:///data/convert/a18-41385_1ex5d1.htm#Exhibit5_1_112507" TargetMode="External"/><Relationship Id="rId159" Type="http://schemas.openxmlformats.org/officeDocument/2006/relationships/hyperlink" Target="file:///data/convert/a18-41385_1ex5d2.htm#Exhibit5_2_113256" TargetMode="External"/><Relationship Id="rId160" Type="http://schemas.openxmlformats.org/officeDocument/2006/relationships/hyperlink" Target="file:///data/convert/a18-41385_1ex5d3.htm#Exhibit5_3_113710" TargetMode="External"/><Relationship Id="rId161" Type="http://schemas.openxmlformats.org/officeDocument/2006/relationships/hyperlink" Target="http://www.sec.gov/Archives/edgar/data/1170565/000095012904001122/h13203exv10w18.txt" TargetMode="External"/><Relationship Id="rId163" Type="http://schemas.openxmlformats.org/officeDocument/2006/relationships/hyperlink" Target="http://www.sec.gov/Archives/edgar/data/1603923/000160392314000013/exhibit103deedpollofassump.htm" TargetMode="External"/><Relationship Id="rId164" Type="http://schemas.openxmlformats.org/officeDocument/2006/relationships/hyperlink" Target="http://www.sec.gov/Archives/edgar/data/1603923/000160392315000070/ex102wft2006omnibusincenti.htm" TargetMode="External"/><Relationship Id="rId165" Type="http://schemas.openxmlformats.org/officeDocument/2006/relationships/hyperlink" Target="http://www.sec.gov/Archives/edgar/data/1603923/000160392314000013/exhibit105restrictedshareu.htm" TargetMode="External"/><Relationship Id="rId166" Type="http://schemas.openxmlformats.org/officeDocument/2006/relationships/hyperlink" Target="http://www.sec.gov/Archives/edgar/data/1170565/000095013407003977/h43750exv10w46.htm" TargetMode="External"/><Relationship Id="rId167" Type="http://schemas.openxmlformats.org/officeDocument/2006/relationships/hyperlink" Target="http://www.sec.gov/Archives/edgar/data/1603923/000160392314000013/exhibit106weatherfordinter.htm" TargetMode="External"/><Relationship Id="rId168" Type="http://schemas.openxmlformats.org/officeDocument/2006/relationships/hyperlink" Target="http://www.sec.gov/Archives/edgar/data/1603923/000120677415001454/weatherford_def14a.htm" TargetMode="External"/><Relationship Id="rId169" Type="http://schemas.openxmlformats.org/officeDocument/2006/relationships/hyperlink" Target="http://www.sec.gov/Archives/edgar/data/1603923/000119312517134977/d321787ddef14a.htm" TargetMode="External"/><Relationship Id="rId170" Type="http://schemas.openxmlformats.org/officeDocument/2006/relationships/hyperlink" Target="http://www.sec.gov/Archives/edgar/data/1603923/000160392314000013/exhibit107restrictedshareu.htm" TargetMode="External"/><Relationship Id="rId171" Type="http://schemas.openxmlformats.org/officeDocument/2006/relationships/hyperlink" Target="http://www.sec.gov/Archives/edgar/data/1603923/000160392315000042/ex101formofperformanceunit.htm" TargetMode="External"/><Relationship Id="rId172" Type="http://schemas.openxmlformats.org/officeDocument/2006/relationships/hyperlink" Target="http://www.sec.gov/Archives/edgar/data/1603923/000160392316000144/ex1021wft2010omnibusincent.htm" TargetMode="External"/><Relationship Id="rId173" Type="http://schemas.openxmlformats.org/officeDocument/2006/relationships/hyperlink" Target="http://www.sec.gov/Archives/edgar/data/1603923/000160392315000070/ex105formofrestrictedshare.htm" TargetMode="External"/><Relationship Id="rId175" Type="http://schemas.openxmlformats.org/officeDocument/2006/relationships/hyperlink" Target="http://www.sec.gov/Archives/edgar/data/1603923/000160392315000025/ex1026wftformofaddendum.htm" TargetMode="External"/><Relationship Id="rId176" Type="http://schemas.openxmlformats.org/officeDocument/2006/relationships/hyperlink" Target="http://www.sec.gov/Archives/edgar/data/1603923/000160392314000013/exhibit109restrictedshareu.htm" TargetMode="External"/><Relationship Id="rId177" Type="http://schemas.openxmlformats.org/officeDocument/2006/relationships/hyperlink" Target="http://www.sec.gov/Archives/edgar/data/1453090/000145309014000023/exhibit102-puawardagreement.htm" TargetMode="External"/><Relationship Id="rId178" Type="http://schemas.openxmlformats.org/officeDocument/2006/relationships/hyperlink" Target="http://www.sec.gov/Archives/edgar/data/1603923/000160392316000144/ex1028wft2010omnibusincent.htm" TargetMode="External"/><Relationship Id="rId179" Type="http://schemas.openxmlformats.org/officeDocument/2006/relationships/hyperlink" Target="http://www.sec.gov/Archives/edgar/data/1603923/000160392317000152/ex105rsuawardagreement-201.htm" TargetMode="External"/><Relationship Id="rId180" Type="http://schemas.openxmlformats.org/officeDocument/2006/relationships/hyperlink" Target="http://www.sec.gov/Archives/edgar/data/1603923/000160392318000037/ex1027wft2010omnibusincent.htm" TargetMode="External"/><Relationship Id="rId181" Type="http://schemas.openxmlformats.org/officeDocument/2006/relationships/hyperlink" Target="http://www.sec.gov/Archives/edgar/data/1603923/000160392318000037/ex1028wft2010omnibusincent.htm" TargetMode="External"/><Relationship Id="rId182" Type="http://schemas.openxmlformats.org/officeDocument/2006/relationships/hyperlink" Target="http://www.sec.gov/Archives/edgar/data/1603923/000160392318000037/ex1029wft2010omnibusincent.htm" TargetMode="External"/><Relationship Id="rId183" Type="http://schemas.openxmlformats.org/officeDocument/2006/relationships/hyperlink" Target="http://www.sec.gov/Archives/edgar/data/1453090/000145309014000023/exhibit101-executivenonxeq.htm" TargetMode="External"/><Relationship Id="rId184" Type="http://schemas.openxmlformats.org/officeDocument/2006/relationships/hyperlink" Target="http://www.sec.gov/Archives/edgar/data/1603923/000160392317000076/wftceoofferletter.htm" TargetMode="External"/><Relationship Id="rId186" Type="http://schemas.openxmlformats.org/officeDocument/2006/relationships/hyperlink" Target="http://www.sec.gov/Archives/edgar/data/1603923/000160392316000287/ex101formofchangeincontrol.htm" TargetMode="External"/><Relationship Id="rId187" Type="http://schemas.openxmlformats.org/officeDocument/2006/relationships/hyperlink" Target="http://www.sec.gov/Archives/edgar/data/1603923/000160392314000013/exhibit1011deedofindemnifi.htm" TargetMode="External"/><Relationship Id="rId188" Type="http://schemas.openxmlformats.org/officeDocument/2006/relationships/hyperlink" Target="http://www.sec.gov/Archives/edgar/data/1603923/000160392314000013/exhibit1012deedofindemnifi.htm" TargetMode="External"/><Relationship Id="rId189" Type="http://schemas.openxmlformats.org/officeDocument/2006/relationships/hyperlink" Target="http://www.sec.gov/Archives/edgar/data/1603923/000160392317000152/ex104deedofindemnification.htm" TargetMode="External"/><Relationship Id="rId190" Type="http://schemas.openxmlformats.org/officeDocument/2006/relationships/hyperlink" Target="http://www.sec.gov/Archives/edgar/data/1603923/000160392316000182/ex101amendmentandrestateme.htm" TargetMode="External"/><Relationship Id="rId191" Type="http://schemas.openxmlformats.org/officeDocument/2006/relationships/hyperlink" Target="http://www.sec.gov/Archives/edgar/data/1603923/000160392316000182/ex102amendedandrestatedcre.htm" TargetMode="External"/><Relationship Id="rId192" Type="http://schemas.openxmlformats.org/officeDocument/2006/relationships/hyperlink" Target="http://www.sec.gov/Archives/edgar/data/1603923/000160392316000219/ex101amendmentno1toamended.htm" TargetMode="External"/><Relationship Id="rId193" Type="http://schemas.openxmlformats.org/officeDocument/2006/relationships/hyperlink" Target="http://www.sec.gov/Archives/edgar/data/1603923/000160392317000063/ex101amendmentno2toamended.htm" TargetMode="External"/><Relationship Id="rId194" Type="http://schemas.openxmlformats.org/officeDocument/2006/relationships/hyperlink" Target="http://www.sec.gov/Archives/edgar/data/1603923/000110465918052849/a18-19108_1ex10d1.htm" TargetMode="External"/><Relationship Id="rId196" Type="http://schemas.openxmlformats.org/officeDocument/2006/relationships/hyperlink" Target="http://www.sec.gov/Archives/edgar/data/1603923/000160392316000182/ex103termloanagreement.htm" TargetMode="External"/><Relationship Id="rId197" Type="http://schemas.openxmlformats.org/officeDocument/2006/relationships/hyperlink" Target="http://www.sec.gov/Archives/edgar/data/1603923/000160392316000219/ex102amendmentno1totermloa.htm" TargetMode="External"/><Relationship Id="rId198" Type="http://schemas.openxmlformats.org/officeDocument/2006/relationships/hyperlink" Target="http://www.sec.gov/Archives/edgar/data/1603923/000160392317000063/ex102amendmentno2totermloa.htm" TargetMode="External"/><Relationship Id="rId199" Type="http://schemas.openxmlformats.org/officeDocument/2006/relationships/hyperlink" Target="http://www.sec.gov/Archives/edgar/data/1603923/000110465918052849/a18-19108_1ex10d2.htm" TargetMode="External"/><Relationship Id="rId200" Type="http://schemas.openxmlformats.org/officeDocument/2006/relationships/hyperlink" Target="http://www.sec.gov/Archives/edgar/data/1603923/000110465918052849/a18-19108_1ex10d3.htm" TargetMode="External"/><Relationship Id="rId201" Type="http://schemas.openxmlformats.org/officeDocument/2006/relationships/hyperlink" Target="http://www.sec.gov/Archives/edgar/data/1603923/000110465918052849/a18-19108_1ex10d4.htm" TargetMode="External"/><Relationship Id="rId202" Type="http://schemas.openxmlformats.org/officeDocument/2006/relationships/hyperlink" Target="http://www.sec.gov/Archives/edgar/data/1603923/000160392316000182/ex104uspledgeandsecurityag.htm" TargetMode="External"/><Relationship Id="rId203" Type="http://schemas.openxmlformats.org/officeDocument/2006/relationships/hyperlink" Target="http://www.sec.gov/Archives/edgar/data/1603923/000160392316000182/ex105rcfaffiliateguaranty.htm" TargetMode="External"/><Relationship Id="rId206" Type="http://schemas.openxmlformats.org/officeDocument/2006/relationships/hyperlink" Target="http://www.sec.gov/Archives/edgar/data/1603923/000160392316000182/ex106tlaaffiliateguaranty.htm" TargetMode="External"/><Relationship Id="rId207" Type="http://schemas.openxmlformats.org/officeDocument/2006/relationships/hyperlink" Target="http://www.sec.gov/Archives/edgar/data/1603923/000110465918052849/a18-19108_1ex10d5.htm" TargetMode="External"/><Relationship Id="rId208" Type="http://schemas.openxmlformats.org/officeDocument/2006/relationships/hyperlink" Target="http://www.sec.gov/Archives/edgar/data/1603923/000160392318000151/ex106saleandpurchaseagreem.htm" TargetMode="External"/><Relationship Id="rId209" Type="http://schemas.openxmlformats.org/officeDocument/2006/relationships/hyperlink" Target="http://www.sec.gov/Archives/edgar/data/1603923/000160392318000151/ex107saleandpurchase-alger.htm" TargetMode="External"/><Relationship Id="rId210" Type="http://schemas.openxmlformats.org/officeDocument/2006/relationships/hyperlink" Target="http://www.sec.gov/Archives/edgar/data/1603923/000160392318000151/ex108-bridgingexhibitxhoud.htm" TargetMode="External"/><Relationship Id="rId211" Type="http://schemas.openxmlformats.org/officeDocument/2006/relationships/hyperlink" Target="http://www.sec.gov/Archives/edgar/data/1603923/000160392318000037/ex211-sigsubswft123117.htm" TargetMode="External"/><Relationship Id="rId212" Type="http://schemas.openxmlformats.org/officeDocument/2006/relationships/hyperlink" Target="file:///data/convert/a18-41385_1ex23d3.htm#Exhibit23_3_111357" TargetMode="External"/><Relationship Id="rId215" Type="http://schemas.openxmlformats.org/officeDocument/2006/relationships/hyperlink" Target="file:///data/convert/a18-41385_1ex25d1.htm#Exhibit25_1_1142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2019-12-16T22:04:25Z</dcterms:created>
  <dcterms:modified xsi:type="dcterms:W3CDTF">2019-12-16T22:04:25Z</dcterms:modified>
</cp:coreProperties>
</file>