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-224155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June 25, 2019</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3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Ireland</w:t>
            </w:r>
          </w:p>
        </w:tc>
        <w:tc>
          <w:tcPr>
            <w:tcW w:w="3440" w:type="dxa"/>
            <w:vAlign w:val="bottom"/>
          </w:tcPr>
          <w:p>
            <w:pPr>
              <w:jc w:val="right"/>
              <w:ind w:right="1210"/>
              <w:spacing w:after="0"/>
              <w:rPr>
                <w:sz w:val="20"/>
                <w:szCs w:val="20"/>
                <w:color w:val="auto"/>
              </w:rPr>
            </w:pPr>
            <w:r>
              <w:rPr>
                <w:rFonts w:ascii="Arial" w:cs="Arial" w:eastAsia="Arial" w:hAnsi="Arial"/>
                <w:sz w:val="18"/>
                <w:szCs w:val="18"/>
                <w:b w:val="1"/>
                <w:bCs w:val="1"/>
                <w:color w:val="auto"/>
              </w:rPr>
              <w:t>001-36504</w:t>
            </w:r>
          </w:p>
        </w:tc>
        <w:tc>
          <w:tcPr>
            <w:tcW w:w="2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r>
        <w:trPr>
          <w:trHeight w:val="237"/>
        </w:trPr>
        <w:tc>
          <w:tcPr>
            <w:tcW w:w="37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36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(Commission File Number)</w:t>
            </w: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05"/>
        </w:trPr>
        <w:tc>
          <w:tcPr>
            <w:tcW w:w="73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140" w:type="dxa"/>
            <w:vAlign w:val="bottom"/>
            <w:tcBorders>
              <w:bottom w:val="single" w:sz="8" w:color="auto"/>
            </w:tcBorders>
            <w:gridSpan w:val="3"/>
          </w:tcPr>
          <w:p>
            <w:pPr>
              <w:spacing w:after="0"/>
              <w:rPr>
                <w:sz w:val="4"/>
                <w:szCs w:val="4"/>
                <w:color w:val="auto"/>
              </w:rPr>
            </w:pPr>
          </w:p>
        </w:tc>
        <w:tc>
          <w:tcPr>
            <w:tcW w:w="220" w:type="dxa"/>
            <w:vAlign w:val="bottom"/>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r>
        <w:trPr>
          <w:trHeight w:val="237"/>
        </w:trPr>
        <w:tc>
          <w:tcPr>
            <w:tcW w:w="7360" w:type="dxa"/>
            <w:vAlign w:val="bottom"/>
            <w:gridSpan w:val="4"/>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614045</wp:posOffset>
            </wp:positionH>
            <wp:positionV relativeFrom="paragraph">
              <wp:posOffset>51435</wp:posOffset>
            </wp:positionV>
            <wp:extent cx="6106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88"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06"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46"/>
        </w:trPr>
        <w:tc>
          <w:tcPr>
            <w:tcW w:w="1560" w:type="dxa"/>
            <w:vAlign w:val="bottom"/>
          </w:tcPr>
          <w:p>
            <w:pPr>
              <w:spacing w:after="0"/>
              <w:rPr>
                <w:sz w:val="24"/>
                <w:szCs w:val="24"/>
                <w:color w:val="auto"/>
              </w:rPr>
            </w:pPr>
          </w:p>
        </w:tc>
        <w:tc>
          <w:tcPr>
            <w:tcW w:w="352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6"/>
              </w:rPr>
              <w:t>Title of each class</w:t>
            </w: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Trading Symbol</w:t>
            </w:r>
          </w:p>
        </w:tc>
        <w:tc>
          <w:tcPr>
            <w:tcW w:w="380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15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318"/>
        </w:trPr>
        <w:tc>
          <w:tcPr>
            <w:tcW w:w="508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Ordinary Shares, par value $0.001 per share</w:t>
            </w: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WFTIF</w:t>
            </w:r>
          </w:p>
        </w:tc>
        <w:tc>
          <w:tcPr>
            <w:tcW w:w="4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460"/>
        <w:spacing w:after="0"/>
        <w:tabs>
          <w:tab w:leader="none" w:pos="97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949"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3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2019 Annual General Meeting of Shareholders (the “Annual Meeting”) of Weatherford International plc (the “Company”) was held on June 25, 2019. At the Annual Meeting 876,674,413 ordinary shares, nominal value $0.001 per share, or approximately 87.35%, of the 1,003,533,795 issued and outstanding ordinary shares entitled to vote at the Annual Meeting were present in person or by proxies.</w:t>
      </w:r>
    </w:p>
    <w:p>
      <w:pPr>
        <w:spacing w:after="0" w:line="3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Annual Meeting, in light of the Company’s announcement on May 10, 2019 that it has entered into a Restructuring Support Agreement with holders of a majority in aggregate principal amount of the Company’s outstanding unsecured notes, on the recommendation of the Board of Directors, the Chairman of the Annual Meeting introduced a special agenda item requesting that the meeting consent to the adjournment sine die of agenda items four (reverse stock split), five (increase in authorized share capital), six (authority to issue shares), seven (opt-out of statutory pre-emptive rights), eight (amendment and restatement of the 2010 Omnibus Incentive Plan) and nine (amendment to the Company’s Employee Stock Purchase Plan). Set forth below are the results of the matters voted upon by the shareholders at 2019 Annual Meeting.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w w:val="90"/>
              </w:rPr>
              <w:t>Agenda Item</w:t>
            </w:r>
          </w:p>
        </w:tc>
        <w:tc>
          <w:tcPr>
            <w:tcW w:w="3520" w:type="dxa"/>
            <w:vAlign w:val="bottom"/>
          </w:tcPr>
          <w:p>
            <w:pPr>
              <w:spacing w:after="0"/>
              <w:rPr>
                <w:sz w:val="20"/>
                <w:szCs w:val="20"/>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Votes For</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Votes Against</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Votes Abstaining</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Broker Non-Votes</w:t>
            </w:r>
          </w:p>
        </w:tc>
      </w:tr>
      <w:tr>
        <w:trPr>
          <w:trHeight w:val="27"/>
        </w:trPr>
        <w:tc>
          <w:tcPr>
            <w:tcW w:w="9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Election of the following directors:</w:t>
            </w:r>
          </w:p>
        </w:tc>
        <w:tc>
          <w:tcPr>
            <w:tcW w:w="1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Mohamed A. Awad</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571,661,695</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86,393,446</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9,745,181</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208,874,091</w:t>
            </w:r>
          </w:p>
        </w:tc>
      </w:tr>
      <w:tr>
        <w:trPr>
          <w:trHeight w:val="27"/>
        </w:trPr>
        <w:tc>
          <w:tcPr>
            <w:tcW w:w="9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Roxanne J. Decyk</w:t>
            </w: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572,566,482</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85,443,672</w:t>
            </w: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9,790,168</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208,874,091</w:t>
            </w:r>
          </w:p>
        </w:tc>
      </w:tr>
      <w:tr>
        <w:trPr>
          <w:trHeight w:val="243"/>
        </w:trPr>
        <w:tc>
          <w:tcPr>
            <w:tcW w:w="980" w:type="dxa"/>
            <w:vAlign w:val="bottom"/>
          </w:tcPr>
          <w:p>
            <w:pPr>
              <w:spacing w:after="0"/>
              <w:rPr>
                <w:sz w:val="21"/>
                <w:szCs w:val="21"/>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John D. Gass</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572,381,679</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85,688,932</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9,729,711</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208,874,091</w:t>
            </w:r>
          </w:p>
        </w:tc>
      </w:tr>
      <w:tr>
        <w:trPr>
          <w:trHeight w:val="27"/>
        </w:trPr>
        <w:tc>
          <w:tcPr>
            <w:tcW w:w="9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Sir Emyr Jones Parry</w:t>
            </w: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572,220,420</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85,776,835</w:t>
            </w: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9,803,067</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208,874,091</w:t>
            </w:r>
          </w:p>
        </w:tc>
      </w:tr>
      <w:tr>
        <w:trPr>
          <w:trHeight w:val="243"/>
        </w:trPr>
        <w:tc>
          <w:tcPr>
            <w:tcW w:w="980" w:type="dxa"/>
            <w:vAlign w:val="bottom"/>
          </w:tcPr>
          <w:p>
            <w:pPr>
              <w:spacing w:after="0"/>
              <w:rPr>
                <w:sz w:val="21"/>
                <w:szCs w:val="21"/>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Francis S. Kalman</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572,541,165</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85,474,907</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9,784,250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208,874,091</w:t>
            </w:r>
          </w:p>
        </w:tc>
      </w:tr>
      <w:tr>
        <w:trPr>
          <w:trHeight w:val="27"/>
        </w:trPr>
        <w:tc>
          <w:tcPr>
            <w:tcW w:w="9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David S. King</w:t>
            </w: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572,957,769</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85,081,735</w:t>
            </w: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9,760,818</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208,874,091</w:t>
            </w:r>
          </w:p>
        </w:tc>
      </w:tr>
      <w:tr>
        <w:trPr>
          <w:trHeight w:val="243"/>
        </w:trPr>
        <w:tc>
          <w:tcPr>
            <w:tcW w:w="980" w:type="dxa"/>
            <w:vAlign w:val="bottom"/>
          </w:tcPr>
          <w:p>
            <w:pPr>
              <w:spacing w:after="0"/>
              <w:rPr>
                <w:sz w:val="21"/>
                <w:szCs w:val="21"/>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William E. Macaulay</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569,485,514</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88,432,601</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9,882,207</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208,874,091</w:t>
            </w:r>
          </w:p>
        </w:tc>
      </w:tr>
      <w:tr>
        <w:trPr>
          <w:trHeight w:val="27"/>
        </w:trPr>
        <w:tc>
          <w:tcPr>
            <w:tcW w:w="9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 A. McCollum</w:t>
            </w: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575,050,533</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83,089,696</w:t>
            </w: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9,660,093</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208,874,091</w:t>
            </w:r>
          </w:p>
        </w:tc>
      </w:tr>
      <w:tr>
        <w:trPr>
          <w:trHeight w:val="243"/>
        </w:trPr>
        <w:tc>
          <w:tcPr>
            <w:tcW w:w="980" w:type="dxa"/>
            <w:vAlign w:val="bottom"/>
          </w:tcPr>
          <w:p>
            <w:pPr>
              <w:spacing w:after="0"/>
              <w:rPr>
                <w:sz w:val="21"/>
                <w:szCs w:val="21"/>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Angela A. Minas</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572,340,791</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85,677,817</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9,781,714</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208,874,091</w:t>
            </w:r>
          </w:p>
        </w:tc>
      </w:tr>
      <w:tr>
        <w:trPr>
          <w:trHeight w:val="27"/>
        </w:trPr>
        <w:tc>
          <w:tcPr>
            <w:tcW w:w="9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Dr. Guillermo Ortiz</w:t>
            </w: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478,748,738</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179,287,914</w:t>
            </w: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9,763,670</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208,874,091</w:t>
            </w:r>
          </w:p>
        </w:tc>
      </w:tr>
      <w:tr>
        <w:trPr>
          <w:trHeight w:val="567"/>
        </w:trPr>
        <w:tc>
          <w:tcPr>
            <w:tcW w:w="980" w:type="dxa"/>
            <w:vAlign w:val="bottom"/>
          </w:tcPr>
          <w:p>
            <w:pPr>
              <w:ind w:left="40"/>
              <w:spacing w:after="0"/>
              <w:rPr>
                <w:sz w:val="20"/>
                <w:szCs w:val="20"/>
                <w:color w:val="auto"/>
              </w:rPr>
            </w:pPr>
            <w:r>
              <w:rPr>
                <w:rFonts w:ascii="Arial" w:cs="Arial" w:eastAsia="Arial" w:hAnsi="Arial"/>
                <w:sz w:val="18"/>
                <w:szCs w:val="18"/>
                <w:color w:val="auto"/>
                <w:w w:val="90"/>
              </w:rPr>
              <w:t>Agenda Item</w:t>
            </w:r>
          </w:p>
        </w:tc>
        <w:tc>
          <w:tcPr>
            <w:tcW w:w="3520" w:type="dxa"/>
            <w:vAlign w:val="bottom"/>
          </w:tcPr>
          <w:p>
            <w:pPr>
              <w:spacing w:after="0"/>
              <w:rPr>
                <w:sz w:val="24"/>
                <w:szCs w:val="24"/>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Votes For</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Votes Against</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Votes Abstaining</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Broker Non-Votes</w:t>
            </w:r>
          </w:p>
        </w:tc>
      </w:tr>
      <w:tr>
        <w:trPr>
          <w:trHeight w:val="27"/>
        </w:trPr>
        <w:tc>
          <w:tcPr>
            <w:tcW w:w="9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2"/>
        </w:trPr>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2.</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Ratify the appointment of KPMG LLP as the</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846,526,337</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23,450,155</w:t>
            </w:r>
          </w:p>
        </w:tc>
        <w:tc>
          <w:tcPr>
            <w:tcW w:w="1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6,697,921</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independent registered public</w:t>
            </w:r>
          </w:p>
        </w:tc>
        <w:tc>
          <w:tcPr>
            <w:tcW w:w="1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firm and auditor for the financial</w:t>
            </w:r>
          </w:p>
        </w:tc>
        <w:tc>
          <w:tcPr>
            <w:tcW w:w="1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2019 and to</w:t>
            </w:r>
          </w:p>
        </w:tc>
        <w:tc>
          <w:tcPr>
            <w:tcW w:w="1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authorize the board of directors of the</w:t>
            </w:r>
          </w:p>
        </w:tc>
        <w:tc>
          <w:tcPr>
            <w:tcW w:w="1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acting through the Audit</w:t>
            </w:r>
          </w:p>
        </w:tc>
        <w:tc>
          <w:tcPr>
            <w:tcW w:w="1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Committee, to determine auditor’s</w:t>
            </w:r>
          </w:p>
        </w:tc>
        <w:tc>
          <w:tcPr>
            <w:tcW w:w="1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7"/>
        </w:trPr>
        <w:tc>
          <w:tcPr>
            <w:tcW w:w="98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remuneration.</w:t>
            </w:r>
          </w:p>
        </w:tc>
        <w:tc>
          <w:tcPr>
            <w:tcW w:w="14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567"/>
        </w:trPr>
        <w:tc>
          <w:tcPr>
            <w:tcW w:w="980" w:type="dxa"/>
            <w:vAlign w:val="bottom"/>
          </w:tcPr>
          <w:p>
            <w:pPr>
              <w:ind w:left="40"/>
              <w:spacing w:after="0"/>
              <w:rPr>
                <w:sz w:val="20"/>
                <w:szCs w:val="20"/>
                <w:color w:val="auto"/>
              </w:rPr>
            </w:pPr>
            <w:r>
              <w:rPr>
                <w:rFonts w:ascii="Arial" w:cs="Arial" w:eastAsia="Arial" w:hAnsi="Arial"/>
                <w:sz w:val="18"/>
                <w:szCs w:val="18"/>
                <w:color w:val="auto"/>
                <w:w w:val="90"/>
              </w:rPr>
              <w:t>Agenda Item</w:t>
            </w:r>
          </w:p>
        </w:tc>
        <w:tc>
          <w:tcPr>
            <w:tcW w:w="3520" w:type="dxa"/>
            <w:vAlign w:val="bottom"/>
          </w:tcPr>
          <w:p>
            <w:pPr>
              <w:spacing w:after="0"/>
              <w:rPr>
                <w:sz w:val="24"/>
                <w:szCs w:val="24"/>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Votes For</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Votes Against</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Votes Abstaining</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Broker Non-Votes</w:t>
            </w:r>
          </w:p>
        </w:tc>
      </w:tr>
      <w:tr>
        <w:trPr>
          <w:trHeight w:val="27"/>
        </w:trPr>
        <w:tc>
          <w:tcPr>
            <w:tcW w:w="9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2"/>
        </w:trPr>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3.</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Adopt an advisory resolution approving</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566,706,756</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99,597,229</w:t>
            </w:r>
          </w:p>
        </w:tc>
        <w:tc>
          <w:tcPr>
            <w:tcW w:w="1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1,496,337</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208,874,091</w:t>
            </w:r>
          </w:p>
        </w:tc>
      </w:tr>
      <w:tr>
        <w:trPr>
          <w:trHeight w:val="216"/>
        </w:trPr>
        <w:tc>
          <w:tcPr>
            <w:tcW w:w="980" w:type="dxa"/>
            <w:vAlign w:val="bottom"/>
            <w:shd w:val="clear" w:color="auto" w:fill="CCEEFF"/>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of the named executive</w:t>
            </w:r>
          </w:p>
        </w:tc>
        <w:tc>
          <w:tcPr>
            <w:tcW w:w="1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7"/>
        </w:trPr>
        <w:tc>
          <w:tcPr>
            <w:tcW w:w="98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officers.</w:t>
            </w:r>
          </w:p>
        </w:tc>
        <w:tc>
          <w:tcPr>
            <w:tcW w:w="14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567"/>
        </w:trPr>
        <w:tc>
          <w:tcPr>
            <w:tcW w:w="980" w:type="dxa"/>
            <w:vAlign w:val="bottom"/>
          </w:tcPr>
          <w:p>
            <w:pPr>
              <w:ind w:left="40"/>
              <w:spacing w:after="0"/>
              <w:rPr>
                <w:sz w:val="20"/>
                <w:szCs w:val="20"/>
                <w:color w:val="auto"/>
              </w:rPr>
            </w:pPr>
            <w:r>
              <w:rPr>
                <w:rFonts w:ascii="Arial" w:cs="Arial" w:eastAsia="Arial" w:hAnsi="Arial"/>
                <w:sz w:val="18"/>
                <w:szCs w:val="18"/>
                <w:color w:val="auto"/>
              </w:rPr>
              <w:t>Special</w:t>
            </w:r>
          </w:p>
        </w:tc>
        <w:tc>
          <w:tcPr>
            <w:tcW w:w="3520" w:type="dxa"/>
            <w:vAlign w:val="bottom"/>
          </w:tcPr>
          <w:p>
            <w:pPr>
              <w:spacing w:after="0"/>
              <w:rPr>
                <w:sz w:val="24"/>
                <w:szCs w:val="24"/>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Votes For</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Votes Against</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Votes Abstaining</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Broker Non-Votes</w:t>
            </w:r>
          </w:p>
        </w:tc>
      </w:tr>
      <w:tr>
        <w:trPr>
          <w:trHeight w:val="27"/>
        </w:trPr>
        <w:tc>
          <w:tcPr>
            <w:tcW w:w="9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2"/>
        </w:trPr>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4.</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xml:space="preserve">Adjournment, </w:t>
            </w:r>
            <w:r>
              <w:rPr>
                <w:rFonts w:ascii="Arial" w:cs="Arial" w:eastAsia="Arial" w:hAnsi="Arial"/>
                <w:sz w:val="18"/>
                <w:szCs w:val="18"/>
                <w:i w:val="1"/>
                <w:iCs w:val="1"/>
                <w:color w:val="auto"/>
                <w:w w:val="97"/>
              </w:rPr>
              <w:t>sine die</w:t>
            </w:r>
            <w:r>
              <w:rPr>
                <w:rFonts w:ascii="Arial" w:cs="Arial" w:eastAsia="Arial" w:hAnsi="Arial"/>
                <w:sz w:val="18"/>
                <w:szCs w:val="18"/>
                <w:color w:val="auto"/>
                <w:w w:val="97"/>
              </w:rPr>
              <w:t>, of announced agenda</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876,674,413</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shd w:val="clear" w:color="auto" w:fill="CCEEFF"/>
          </w:tcPr>
          <w:p>
            <w:pPr>
              <w:spacing w:after="0"/>
              <w:rPr>
                <w:sz w:val="20"/>
                <w:szCs w:val="20"/>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four thru nine.</w:t>
            </w:r>
          </w:p>
        </w:tc>
        <w:tc>
          <w:tcPr>
            <w:tcW w:w="14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7"/>
        </w:trPr>
        <w:tc>
          <w:tcPr>
            <w:tcW w:w="98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tabs>
          <w:tab w:leader="none" w:pos="3360" w:val="left"/>
        </w:tabs>
        <w:rPr>
          <w:sz w:val="20"/>
          <w:szCs w:val="20"/>
          <w:color w:val="auto"/>
        </w:rPr>
      </w:pPr>
      <w:r>
        <w:rPr>
          <w:rFonts w:ascii="Arial" w:cs="Arial" w:eastAsia="Arial" w:hAnsi="Arial"/>
          <w:sz w:val="18"/>
          <w:szCs w:val="18"/>
          <w:color w:val="auto"/>
        </w:rPr>
        <w:t>Date: June 25, 2019</w:t>
      </w:r>
      <w:r>
        <w:rPr>
          <w:sz w:val="20"/>
          <w:szCs w:val="20"/>
          <w:color w:val="auto"/>
        </w:rPr>
        <w:tab/>
      </w:r>
      <w:r>
        <w:rPr>
          <w:rFonts w:ascii="Arial" w:cs="Arial" w:eastAsia="Arial" w:hAnsi="Arial"/>
          <w:sz w:val="17"/>
          <w:szCs w:val="17"/>
          <w:color w:val="auto"/>
        </w:rPr>
        <w:t>By: /s/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48895</wp:posOffset>
            </wp:positionV>
            <wp:extent cx="4639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70"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 Christina M. Ibrahim</w:t>
      </w:r>
    </w:p>
    <w:p>
      <w:pPr>
        <w:spacing w:after="0" w:line="104"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Title: Executive Vice President, General Counsel, Chief Compliance Officer and Corporate Secretary</w:t>
      </w:r>
    </w:p>
    <w:sectPr>
      <w:pgSz w:w="11900" w:h="16838" w:orient="portrait"/>
      <w:cols w:equalWidth="0" w:num="1">
        <w:col w:w="11220"/>
      </w:cols>
      <w:pgMar w:left="24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2019-12-01T11:52:40Z</dcterms:created>
  <dcterms:modified xsi:type="dcterms:W3CDTF">2019-12-01T11:52:40Z</dcterms:modified>
</cp:coreProperties>
</file>