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$.001 par value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G48833100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8300" w:hanging="620"/>
        <w:spacing w:after="0" w:line="339"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Names of Reporting Persons </w:t>
      </w:r>
      <w:r>
        <w:rPr>
          <w:rFonts w:ascii="Arial" w:cs="Arial" w:eastAsia="Arial" w:hAnsi="Arial"/>
          <w:sz w:val="15"/>
          <w:szCs w:val="15"/>
          <w:color w:val="auto"/>
        </w:rPr>
        <w:t>CVI Investments, Inc.</w:t>
      </w:r>
    </w:p>
    <w:p>
      <w:pPr>
        <w:spacing w:after="0" w:line="344"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 xml:space="preserve">Shared Voting Power </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101,309,998</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Reporting</w:t>
      </w:r>
    </w:p>
    <w:p>
      <w:pPr>
        <w:ind w:left="52"/>
        <w:spacing w:after="0" w:line="217" w:lineRule="auto"/>
        <w:rPr>
          <w:sz w:val="20"/>
          <w:szCs w:val="20"/>
          <w:color w:val="auto"/>
        </w:rPr>
      </w:pPr>
      <w:r>
        <w:rPr>
          <w:rFonts w:ascii="Arial" w:cs="Arial" w:eastAsia="Arial" w:hAnsi="Arial"/>
          <w:sz w:val="18"/>
          <w:szCs w:val="18"/>
          <w:color w:val="auto"/>
        </w:rPr>
        <w:t>Person With</w:t>
      </w:r>
    </w:p>
    <w:p>
      <w:pPr>
        <w:ind w:left="2752" w:right="6780" w:hanging="1091"/>
        <w:spacing w:after="0" w:line="256" w:lineRule="auto"/>
        <w:tabs>
          <w:tab w:leader="none" w:pos="2752" w:val="left"/>
        </w:tabs>
        <w:numPr>
          <w:ilvl w:val="2"/>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0</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2752" w:right="6380" w:hanging="1091"/>
        <w:spacing w:after="0" w:line="277" w:lineRule="auto"/>
        <w:tabs>
          <w:tab w:leader="none" w:pos="2752"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 101,309,998</w:t>
      </w:r>
    </w:p>
    <w:p>
      <w:pPr>
        <w:spacing w:after="0" w:line="386" w:lineRule="exact"/>
        <w:rPr>
          <w:rFonts w:ascii="Arial" w:cs="Arial" w:eastAsia="Arial" w:hAnsi="Arial"/>
          <w:sz w:val="18"/>
          <w:szCs w:val="18"/>
          <w:color w:val="auto"/>
        </w:rPr>
      </w:pPr>
    </w:p>
    <w:p>
      <w:pPr>
        <w:ind w:left="1052" w:right="5380" w:hanging="620"/>
        <w:spacing w:after="0" w:line="275" w:lineRule="auto"/>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101,309,998</w:t>
      </w:r>
    </w:p>
    <w:p>
      <w:pPr>
        <w:spacing w:after="0" w:line="389"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77" w:lineRule="auto"/>
        <w:tabs>
          <w:tab w:leader="none" w:pos="217" w:val="left"/>
        </w:tabs>
        <w:numPr>
          <w:ilvl w:val="0"/>
          <w:numId w:val="4"/>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-585470</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-1682750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-2643505</wp:posOffset>
            </wp:positionV>
            <wp:extent cx="5531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-3192145</wp:posOffset>
            </wp:positionV>
            <wp:extent cx="5531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7760" w:hanging="620"/>
        <w:spacing w:after="0" w:line="305" w:lineRule="auto"/>
        <w:tabs>
          <w:tab w:leader="none" w:pos="1052"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Names of Reporting Persons </w:t>
      </w:r>
      <w:r>
        <w:rPr>
          <w:rFonts w:ascii="Arial" w:cs="Arial" w:eastAsia="Arial" w:hAnsi="Arial"/>
          <w:sz w:val="16"/>
          <w:szCs w:val="16"/>
          <w:color w:val="auto"/>
        </w:rPr>
        <w:t>Heights Capital Management, Inc.</w:t>
      </w:r>
    </w:p>
    <w:p>
      <w:pPr>
        <w:spacing w:after="0" w:line="367" w:lineRule="exact"/>
        <w:rPr>
          <w:rFonts w:ascii="Arial" w:cs="Arial" w:eastAsia="Arial" w:hAnsi="Arial"/>
          <w:sz w:val="17"/>
          <w:szCs w:val="17"/>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5" w:lineRule="auto"/>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-531495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-942975</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-1157605</wp:posOffset>
            </wp:positionV>
            <wp:extent cx="5874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-1774825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125" w:right="419" w:bottom="217"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Shared Voting Power </w:t>
      </w:r>
      <w:r>
        <w:rPr>
          <w:rFonts w:ascii="Arial" w:cs="Arial" w:eastAsia="Arial" w:hAnsi="Arial"/>
          <w:sz w:val="15"/>
          <w:szCs w:val="15"/>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101,309,998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Sole Dispositive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17" w:lineRule="exact"/>
        <w:rPr>
          <w:sz w:val="20"/>
          <w:szCs w:val="20"/>
          <w:color w:val="auto"/>
        </w:rPr>
      </w:pPr>
    </w:p>
    <w:p>
      <w:pPr>
        <w:sectPr>
          <w:pgSz w:w="11900" w:h="16838" w:orient="portrait"/>
          <w:cols w:equalWidth="0" w:num="2">
            <w:col w:w="2032" w:space="720"/>
            <w:col w:w="8480"/>
          </w:cols>
          <w:pgMar w:left="248" w:top="125" w:right="419" w:bottom="217" w:gutter="0" w:footer="0" w:header="0"/>
          <w:type w:val="continuous"/>
        </w:sectPr>
      </w:pPr>
    </w:p>
    <w:p>
      <w:pPr>
        <w:spacing w:after="0" w:line="110" w:lineRule="exact"/>
        <w:rPr>
          <w:sz w:val="20"/>
          <w:szCs w:val="20"/>
          <w:color w:val="auto"/>
        </w:rPr>
      </w:pPr>
    </w:p>
    <w:p>
      <w:pPr>
        <w:ind w:left="2752" w:right="6380" w:hanging="1091"/>
        <w:spacing w:after="0" w:line="277" w:lineRule="auto"/>
        <w:tabs>
          <w:tab w:leader="none" w:pos="2752"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 101,309,998</w:t>
      </w:r>
    </w:p>
    <w:p>
      <w:pPr>
        <w:spacing w:after="0" w:line="386" w:lineRule="exact"/>
        <w:rPr>
          <w:rFonts w:ascii="Arial" w:cs="Arial" w:eastAsia="Arial" w:hAnsi="Arial"/>
          <w:sz w:val="18"/>
          <w:szCs w:val="18"/>
          <w:color w:val="auto"/>
        </w:rPr>
      </w:pPr>
    </w:p>
    <w:p>
      <w:pPr>
        <w:ind w:left="1052" w:right="5380" w:hanging="620"/>
        <w:spacing w:after="0" w:line="275" w:lineRule="auto"/>
        <w:tabs>
          <w:tab w:leader="none" w:pos="105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101,309,998</w:t>
      </w:r>
    </w:p>
    <w:p>
      <w:pPr>
        <w:spacing w:after="0" w:line="389" w:lineRule="exact"/>
        <w:rPr>
          <w:rFonts w:ascii="Arial" w:cs="Arial" w:eastAsia="Arial" w:hAnsi="Arial"/>
          <w:sz w:val="18"/>
          <w:szCs w:val="18"/>
          <w:color w:val="auto"/>
        </w:rPr>
      </w:pPr>
    </w:p>
    <w:p>
      <w:pPr>
        <w:ind w:left="1052" w:hanging="620"/>
        <w:spacing w:after="0"/>
        <w:tabs>
          <w:tab w:leader="none" w:pos="1052"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Box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63500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-347345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-895985</wp:posOffset>
            </wp:positionV>
            <wp:extent cx="55314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232"/>
          </w:cols>
          <w:pgMar w:left="248" w:top="125" w:right="419" w:bottom="217" w:gutter="0" w:footer="0" w:header="0"/>
          <w:type w:val="continuous"/>
        </w:sectPr>
      </w:pPr>
    </w:p>
    <w:bookmarkStart w:id="2" w:name="page3"/>
    <w:bookmarkEnd w:id="2"/>
    <w:p>
      <w:pPr>
        <w:ind w:left="1052" w:hanging="620"/>
        <w:spacing w:after="0"/>
        <w:tabs>
          <w:tab w:leader="none" w:pos="105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77" w:lineRule="auto"/>
        <w:tabs>
          <w:tab w:leader="none" w:pos="217"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-585470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92" w:hanging="479"/>
        <w:spacing w:after="0"/>
        <w:tabs>
          <w:tab w:leader="none" w:pos="1492"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Weatherford International public limited company (the “Company”)</w:t>
      </w:r>
    </w:p>
    <w:p>
      <w:pPr>
        <w:spacing w:after="0" w:line="116" w:lineRule="exact"/>
        <w:rPr>
          <w:rFonts w:ascii="Arial" w:cs="Arial" w:eastAsia="Arial" w:hAnsi="Arial"/>
          <w:sz w:val="18"/>
          <w:szCs w:val="18"/>
          <w:color w:val="auto"/>
        </w:rPr>
      </w:pPr>
    </w:p>
    <w:p>
      <w:pPr>
        <w:ind w:left="1492" w:right="6140" w:hanging="479"/>
        <w:spacing w:after="0" w:line="339" w:lineRule="auto"/>
        <w:tabs>
          <w:tab w:leader="none" w:pos="1492"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Address of Issuer’s Principal Executive Offices </w:t>
      </w:r>
      <w:r>
        <w:rPr>
          <w:rFonts w:ascii="Arial" w:cs="Arial" w:eastAsia="Arial" w:hAnsi="Arial"/>
          <w:sz w:val="15"/>
          <w:szCs w:val="15"/>
          <w:color w:val="auto"/>
        </w:rPr>
        <w:t>Bahnhofstrasse 1, 6340 Baar Switzerland CH 6340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-11430</wp:posOffset>
            </wp:positionV>
            <wp:extent cx="63290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-363220</wp:posOffset>
            </wp:positionV>
            <wp:extent cx="6329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1" w:lineRule="exact"/>
        <w:rPr>
          <w:sz w:val="20"/>
          <w:szCs w:val="20"/>
          <w:color w:val="auto"/>
        </w:rPr>
      </w:pPr>
    </w:p>
    <w:p>
      <w:pPr>
        <w:ind w:left="52"/>
        <w:spacing w:after="0"/>
        <w:tabs>
          <w:tab w:leader="none" w:pos="1472"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ectPr>
          <w:pgSz w:w="11900" w:h="16838" w:orient="portrait"/>
          <w:cols w:equalWidth="0" w:num="1">
            <w:col w:w="11232"/>
          </w:cols>
          <w:pgMar w:left="248" w:top="125"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This statement is filed by the entities listed below, who are collectively referred to herein as “Reporting Persons,” with respect to the Ordinary Shares of the Company, $.001 par value per share (the “Shares”).</w:t>
      </w:r>
    </w:p>
    <w:p>
      <w:pPr>
        <w:spacing w:after="0" w:line="189" w:lineRule="exact"/>
        <w:rPr>
          <w:sz w:val="20"/>
          <w:szCs w:val="20"/>
          <w:color w:val="auto"/>
        </w:rPr>
      </w:pPr>
    </w:p>
    <w:p>
      <w:pPr>
        <w:ind w:left="420" w:hanging="413"/>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CVI Investments, Inc.</w:t>
      </w:r>
    </w:p>
    <w:p>
      <w:pPr>
        <w:spacing w:after="0" w:line="225" w:lineRule="exact"/>
        <w:rPr>
          <w:rFonts w:ascii="Arial" w:cs="Arial" w:eastAsia="Arial" w:hAnsi="Arial"/>
          <w:sz w:val="18"/>
          <w:szCs w:val="18"/>
          <w:color w:val="auto"/>
        </w:rPr>
      </w:pPr>
    </w:p>
    <w:p>
      <w:pPr>
        <w:ind w:left="420" w:hanging="413"/>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Heights Capital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48895</wp:posOffset>
            </wp:positionV>
            <wp:extent cx="6329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CVI Investments, Inc.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 Box 309GT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Heights Capital Management, Inc.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 California Street, Suite 3250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ectPr>
          <w:pgSz w:w="11900" w:h="16838" w:orient="portrait"/>
          <w:cols w:equalWidth="0" w:num="2">
            <w:col w:w="812" w:space="680"/>
            <w:col w:w="9740"/>
          </w:cols>
          <w:pgMar w:left="248" w:top="125" w:right="419" w:bottom="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2(d)</w:t>
      </w:r>
    </w:p>
    <w:p>
      <w:pPr>
        <w:spacing w:after="0" w:line="358"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ind w:left="480" w:right="60"/>
        <w:spacing w:after="0" w:line="258" w:lineRule="auto"/>
        <w:rPr>
          <w:sz w:val="20"/>
          <w:szCs w:val="20"/>
          <w:color w:val="auto"/>
        </w:rPr>
      </w:pPr>
      <w:r>
        <w:rPr>
          <w:rFonts w:ascii="Arial" w:cs="Arial" w:eastAsia="Arial" w:hAnsi="Arial"/>
          <w:sz w:val="18"/>
          <w:szCs w:val="18"/>
          <w:color w:val="auto"/>
        </w:rPr>
        <w:t>Citizenship is set forth in Row 4 of the cover page for each Reporting Person hereto and is incorporated herein by reference for each such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26035</wp:posOffset>
            </wp:positionV>
            <wp:extent cx="6329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Ordinary Shares, $.001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40005</wp:posOffset>
            </wp:positionV>
            <wp:extent cx="63290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40005</wp:posOffset>
            </wp:positionV>
            <wp:extent cx="63290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480" w:hanging="47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ectPr>
          <w:pgSz w:w="11900" w:h="16838" w:orient="portrait"/>
          <w:cols w:equalWidth="0" w:num="2">
            <w:col w:w="772" w:space="240"/>
            <w:col w:w="10220"/>
          </w:cols>
          <w:pgMar w:left="248" w:top="125" w:right="419" w:bottom="0" w:gutter="0" w:footer="0" w:header="0"/>
          <w:type w:val="continuous"/>
        </w:sectPr>
      </w:pPr>
    </w:p>
    <w:bookmarkStart w:id="3" w:name="page4"/>
    <w:bookmarkEnd w:id="3"/>
    <w:p>
      <w:pPr>
        <w:ind w:left="1500" w:hanging="479"/>
        <w:spacing w:after="0"/>
        <w:tabs>
          <w:tab w:leader="none" w:pos="1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t>
      </w:r>
    </w:p>
    <w:p>
      <w:pPr>
        <w:spacing w:after="0" w:line="236" w:lineRule="exact"/>
        <w:rPr>
          <w:rFonts w:ascii="Arial" w:cs="Arial" w:eastAsia="Arial" w:hAnsi="Arial"/>
          <w:sz w:val="17"/>
          <w:szCs w:val="17"/>
          <w:color w:val="auto"/>
        </w:rPr>
      </w:pPr>
    </w:p>
    <w:p>
      <w:pPr>
        <w:ind w:left="1500" w:hanging="479"/>
        <w:spacing w:after="0"/>
        <w:tabs>
          <w:tab w:leader="none" w:pos="1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500" w:hanging="479"/>
        <w:spacing w:after="0"/>
        <w:tabs>
          <w:tab w:leader="none" w:pos="1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t>
      </w:r>
    </w:p>
    <w:p>
      <w:pPr>
        <w:spacing w:after="0" w:line="344" w:lineRule="exact"/>
        <w:rPr>
          <w:rFonts w:ascii="Arial" w:cs="Arial" w:eastAsia="Arial" w:hAnsi="Arial"/>
          <w:sz w:val="17"/>
          <w:szCs w:val="17"/>
          <w:color w:val="auto"/>
        </w:rPr>
      </w:pPr>
    </w:p>
    <w:p>
      <w:pPr>
        <w:ind w:left="1500" w:hanging="479"/>
        <w:spacing w:after="0"/>
        <w:tabs>
          <w:tab w:leader="none" w:pos="1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 savings association as defined in Section 3(b) of the Federal Deposit Insurance Act (12 U.S.C. 1813);</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non-U.S. institution in accordance with § 240.13d–1(b)(1)(ii)(J);</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Group, in accordance with Rule 13d–1(b)(1)(ii)(K). If filing as a non-U.S. institution in accordance with §240.13d–1(b)(1)(ii)(J), please specify the type of institution:____________________________</w:t>
      </w:r>
    </w:p>
    <w:p>
      <w:pPr>
        <w:spacing w:after="0" w:line="27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420"/>
            <w:col w:w="9320"/>
          </w:cols>
          <w:pgMar w:left="240" w:top="125" w:right="319"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60" w:right="10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8"/>
          <w:szCs w:val="18"/>
          <w:color w:val="auto"/>
        </w:rPr>
        <w:t>The number of Shares reported as beneficially owned consists of (i) 68,174,657 Shares and (ii) Shares issuable upon exercise of warrants (the “Warrants”).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9.99%.</w:t>
      </w:r>
    </w:p>
    <w:p>
      <w:pPr>
        <w:spacing w:after="0" w:line="187" w:lineRule="exact"/>
        <w:rPr>
          <w:sz w:val="20"/>
          <w:szCs w:val="20"/>
          <w:color w:val="auto"/>
        </w:rPr>
      </w:pPr>
    </w:p>
    <w:p>
      <w:pPr>
        <w:jc w:val="both"/>
        <w:ind w:left="60" w:right="80"/>
        <w:spacing w:after="0" w:line="277" w:lineRule="auto"/>
        <w:rPr>
          <w:sz w:val="20"/>
          <w:szCs w:val="20"/>
          <w:color w:val="auto"/>
        </w:rPr>
      </w:pPr>
      <w:r>
        <w:rPr>
          <w:rFonts w:ascii="Arial" w:cs="Arial" w:eastAsia="Arial" w:hAnsi="Arial"/>
          <w:sz w:val="18"/>
          <w:szCs w:val="18"/>
          <w:color w:val="auto"/>
        </w:rPr>
        <w:t>The Company’s Prospectus Supplement (to Prospectus dated November 16, 2016, Registration No. 333-194431), dated November 16, 2016, indicates there were 980,978,754 Shares outstanding as of the completion of the offering of the Shares referred to therein.</w:t>
      </w:r>
    </w:p>
    <w:p>
      <w:pPr>
        <w:spacing w:after="0" w:line="170" w:lineRule="exact"/>
        <w:rPr>
          <w:sz w:val="20"/>
          <w:szCs w:val="20"/>
          <w:color w:val="auto"/>
        </w:rPr>
      </w:pPr>
    </w:p>
    <w:p>
      <w:pPr>
        <w:jc w:val="both"/>
        <w:ind w:left="60" w:right="440"/>
        <w:spacing w:after="0" w:line="264" w:lineRule="auto"/>
        <w:rPr>
          <w:sz w:val="20"/>
          <w:szCs w:val="20"/>
          <w:color w:val="auto"/>
        </w:rPr>
      </w:pPr>
      <w:r>
        <w:rPr>
          <w:rFonts w:ascii="Arial" w:cs="Arial" w:eastAsia="Arial" w:hAnsi="Arial"/>
          <w:sz w:val="18"/>
          <w:szCs w:val="18"/>
          <w:color w:val="auto"/>
        </w:rPr>
        <w:t>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39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firstLine="824"/>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1340"/>
          </w:cols>
          <w:pgMar w:left="240" w:top="125" w:right="319" w:bottom="0" w:gutter="0" w:footer="0" w:header="0"/>
          <w:type w:val="continuous"/>
        </w:sectPr>
      </w:pPr>
    </w:p>
    <w:bookmarkStart w:id="4" w:name="page5"/>
    <w:bookmarkEnd w:id="4"/>
    <w:p>
      <w:pPr>
        <w:ind w:right="380" w:firstLine="824"/>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Dated: February 10, 2017</w:t>
            </w: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CVI INVESTMENTS,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HEIGHTS CAPITAL MANAGEMENT, INC.</w:t>
            </w:r>
          </w:p>
        </w:tc>
        <w:tc>
          <w:tcPr>
            <w:tcW w:w="40" w:type="dxa"/>
            <w:vAlign w:val="bottom"/>
          </w:tcPr>
          <w:p>
            <w:pPr>
              <w:spacing w:after="0"/>
              <w:rPr>
                <w:sz w:val="24"/>
                <w:szCs w:val="24"/>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By: Heights Capital Management,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By:  /s/ Brian Sopinsky</w:t>
            </w:r>
          </w:p>
        </w:tc>
        <w:tc>
          <w:tcPr>
            <w:tcW w:w="40" w:type="dxa"/>
            <w:vAlign w:val="bottom"/>
          </w:tcPr>
          <w:p>
            <w:pPr>
              <w:spacing w:after="0"/>
              <w:rPr>
                <w:sz w:val="24"/>
                <w:szCs w:val="24"/>
                <w:color w:val="auto"/>
              </w:rPr>
            </w:pPr>
          </w:p>
        </w:tc>
      </w:tr>
      <w:tr>
        <w:trPr>
          <w:trHeight w:val="182"/>
        </w:trPr>
        <w:tc>
          <w:tcPr>
            <w:tcW w:w="5620" w:type="dxa"/>
            <w:vAlign w:val="bottom"/>
            <w:gridSpan w:val="2"/>
          </w:tcPr>
          <w:p>
            <w:pPr>
              <w:spacing w:after="0" w:line="182" w:lineRule="exact"/>
              <w:rPr>
                <w:sz w:val="20"/>
                <w:szCs w:val="20"/>
                <w:color w:val="auto"/>
              </w:rPr>
            </w:pPr>
            <w:r>
              <w:rPr>
                <w:rFonts w:ascii="Arial" w:cs="Arial" w:eastAsia="Arial" w:hAnsi="Arial"/>
                <w:sz w:val="18"/>
                <w:szCs w:val="18"/>
                <w:color w:val="auto"/>
                <w:w w:val="98"/>
              </w:rPr>
              <w:t>pursuant to a Limited Power of Attorney, a copy of which is attached as</w:t>
            </w:r>
          </w:p>
        </w:tc>
        <w:tc>
          <w:tcPr>
            <w:tcW w:w="660" w:type="dxa"/>
            <w:vAlign w:val="bottom"/>
          </w:tcPr>
          <w:p>
            <w:pPr>
              <w:ind w:left="220"/>
              <w:spacing w:after="0" w:line="182" w:lineRule="exact"/>
              <w:rPr>
                <w:sz w:val="20"/>
                <w:szCs w:val="20"/>
                <w:color w:val="auto"/>
              </w:rPr>
            </w:pPr>
            <w:r>
              <w:rPr>
                <w:rFonts w:ascii="Arial" w:cs="Arial" w:eastAsia="Arial" w:hAnsi="Arial"/>
                <w:sz w:val="18"/>
                <w:szCs w:val="18"/>
                <w:color w:val="auto"/>
                <w:w w:val="79"/>
              </w:rPr>
              <w:t>Name:</w:t>
            </w:r>
          </w:p>
        </w:tc>
        <w:tc>
          <w:tcPr>
            <w:tcW w:w="51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Brian Sopinsky</w:t>
            </w:r>
          </w:p>
        </w:tc>
        <w:tc>
          <w:tcPr>
            <w:tcW w:w="40" w:type="dxa"/>
            <w:vAlign w:val="bottom"/>
          </w:tcPr>
          <w:p>
            <w:pPr>
              <w:spacing w:after="0"/>
              <w:rPr>
                <w:sz w:val="15"/>
                <w:szCs w:val="15"/>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Exhibit I to the original filing on Schedule 13G.</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Title: Secretary</w:t>
            </w:r>
          </w:p>
        </w:tc>
        <w:tc>
          <w:tcPr>
            <w:tcW w:w="4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By:   /s/ Brian Sopinsky</w:t>
            </w:r>
          </w:p>
        </w:tc>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500" w:type="dxa"/>
            <w:vAlign w:val="bottom"/>
          </w:tcPr>
          <w:p>
            <w:pPr>
              <w:spacing w:after="0" w:line="182" w:lineRule="exact"/>
              <w:rPr>
                <w:sz w:val="20"/>
                <w:szCs w:val="20"/>
                <w:color w:val="auto"/>
              </w:rPr>
            </w:pPr>
            <w:r>
              <w:rPr>
                <w:rFonts w:ascii="Arial" w:cs="Arial" w:eastAsia="Arial" w:hAnsi="Arial"/>
                <w:sz w:val="18"/>
                <w:szCs w:val="18"/>
                <w:color w:val="auto"/>
                <w:w w:val="90"/>
              </w:rPr>
              <w:t>Name:</w:t>
            </w:r>
          </w:p>
        </w:tc>
        <w:tc>
          <w:tcPr>
            <w:tcW w:w="512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8"/>
                <w:szCs w:val="18"/>
                <w:color w:val="auto"/>
              </w:rPr>
              <w:t>Brian Sopinsky</w:t>
            </w:r>
          </w:p>
        </w:tc>
        <w:tc>
          <w:tcPr>
            <w:tcW w:w="6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Title: Secretary</w:t>
            </w: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6</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540" w:type="dxa"/>
            <w:vAlign w:val="bottom"/>
          </w:tcPr>
          <w:p>
            <w:pPr>
              <w:jc w:val="center"/>
              <w:ind w:right="277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540" w:type="dxa"/>
            <w:vAlign w:val="bottom"/>
          </w:tcPr>
          <w:p>
            <w:pPr>
              <w:ind w:left="30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Limited Power of Attorney*</w:t>
            </w:r>
          </w:p>
        </w:tc>
        <w:tc>
          <w:tcPr>
            <w:tcW w:w="40" w:type="dxa"/>
            <w:vAlign w:val="bottom"/>
          </w:tcPr>
          <w:p>
            <w:pPr>
              <w:spacing w:after="0"/>
              <w:rPr>
                <w:sz w:val="16"/>
                <w:szCs w:val="16"/>
                <w:color w:val="auto"/>
              </w:rPr>
            </w:pPr>
          </w:p>
        </w:tc>
      </w:tr>
      <w:tr>
        <w:trPr>
          <w:trHeight w:val="230"/>
        </w:trPr>
        <w:tc>
          <w:tcPr>
            <w:tcW w:w="1400" w:type="dxa"/>
            <w:vAlign w:val="bottom"/>
            <w:gridSpan w:val="3"/>
          </w:tcPr>
          <w:p>
            <w:pPr>
              <w:spacing w:after="0"/>
              <w:rPr>
                <w:sz w:val="20"/>
                <w:szCs w:val="20"/>
                <w:color w:val="auto"/>
              </w:rPr>
            </w:pPr>
            <w:r>
              <w:rPr>
                <w:rFonts w:ascii="Arial" w:cs="Arial" w:eastAsia="Arial" w:hAnsi="Arial"/>
                <w:sz w:val="18"/>
                <w:szCs w:val="18"/>
                <w:color w:val="auto"/>
              </w:rPr>
              <w:t>II</w:t>
            </w:r>
          </w:p>
        </w:tc>
        <w:tc>
          <w:tcPr>
            <w:tcW w:w="10020" w:type="dxa"/>
            <w:vAlign w:val="bottom"/>
            <w:gridSpan w:val="3"/>
          </w:tcPr>
          <w:p>
            <w:pPr>
              <w:ind w:left="100"/>
              <w:spacing w:after="0"/>
              <w:rPr>
                <w:sz w:val="20"/>
                <w:szCs w:val="20"/>
                <w:color w:val="auto"/>
              </w:rPr>
            </w:pPr>
            <w:r>
              <w:rPr>
                <w:rFonts w:ascii="Arial" w:cs="Arial" w:eastAsia="Arial" w:hAnsi="Arial"/>
                <w:sz w:val="18"/>
                <w:szCs w:val="18"/>
                <w:color w:val="auto"/>
              </w:rPr>
              <w:t>Joint Filing Agreement*</w:t>
            </w:r>
          </w:p>
        </w:tc>
        <w:tc>
          <w:tcPr>
            <w:tcW w:w="40" w:type="dxa"/>
            <w:vAlign w:val="bottom"/>
          </w:tcPr>
          <w:p>
            <w:pPr>
              <w:spacing w:after="0"/>
              <w:rPr>
                <w:sz w:val="20"/>
                <w:szCs w:val="20"/>
                <w:color w:val="auto"/>
              </w:rPr>
            </w:pPr>
          </w:p>
        </w:tc>
      </w:tr>
      <w:tr>
        <w:trPr>
          <w:trHeight w:val="324"/>
        </w:trPr>
        <w:tc>
          <w:tcPr>
            <w:tcW w:w="1400" w:type="dxa"/>
            <w:vAlign w:val="bottom"/>
            <w:tcBorders>
              <w:bottom w:val="single" w:sz="8" w:color="808080"/>
            </w:tcBorders>
            <w:gridSpan w:val="3"/>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400" w:type="dxa"/>
            <w:vAlign w:val="bottom"/>
            <w:gridSpan w:val="3"/>
          </w:tcPr>
          <w:p>
            <w:pPr>
              <w:spacing w:after="0"/>
              <w:rPr>
                <w:sz w:val="20"/>
                <w:szCs w:val="20"/>
                <w:color w:val="auto"/>
              </w:rPr>
            </w:pPr>
            <w:r>
              <w:rPr>
                <w:rFonts w:ascii="Arial" w:cs="Arial" w:eastAsia="Arial" w:hAnsi="Arial"/>
                <w:sz w:val="18"/>
                <w:szCs w:val="18"/>
                <w:color w:val="auto"/>
              </w:rPr>
              <w:t>*Previously filed.</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gridSpan w:val="3"/>
          </w:tcPr>
          <w:p>
            <w:pPr>
              <w:jc w:val="right"/>
              <w:ind w:right="5579"/>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8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3">
    <w:nsid w:val="7545E14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1"/>
    </w:lvl>
    <w:lvl w:ilvl="1">
      <w:lvlJc w:val="left"/>
      <w:lvlText w:val="(%2)"/>
      <w:numFmt w:val="decimal"/>
      <w:start w:val="8"/>
    </w:lvl>
  </w:abstractNum>
  <w:abstractNum w:abstractNumId="6">
    <w:nsid w:val="12200854"/>
    <w:multiLevelType w:val="hybridMultilevel"/>
    <w:lvl w:ilvl="0">
      <w:lvlJc w:val="left"/>
      <w:lvlText w:val="(%1)"/>
      <w:numFmt w:val="decimal"/>
      <w:start w:val="9"/>
    </w:lvl>
    <w:lvl w:ilvl="1">
      <w:lvlJc w:val="left"/>
      <w:lvlText w:val="%2"/>
      <w:numFmt w:val="decimal"/>
      <w:start w:val="1"/>
    </w:lvl>
  </w:abstractNum>
  <w:abstractNum w:abstractNumId="7">
    <w:nsid w:val="4DB127F8"/>
    <w:multiLevelType w:val="hybridMultilevel"/>
    <w:lvl w:ilvl="0">
      <w:lvlJc w:val="left"/>
      <w:lvlText w:val="**"/>
      <w:numFmt w:val="bullet"/>
      <w:start w:val="1"/>
    </w:lvl>
    <w:lvl w:ilvl="1">
      <w:lvlJc w:val="left"/>
      <w:lvlText w:val="(%2)"/>
      <w:numFmt w:val="decimal"/>
      <w:start w:val="1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2019-12-07T22:50:50Z</dcterms:created>
  <dcterms:modified xsi:type="dcterms:W3CDTF">2019-12-07T22:50:50Z</dcterms:modified>
</cp:coreProperties>
</file>