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Awad Mohamed A.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Weatherford International plc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WFT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WEATHERFORD INTERNATIONAL PLC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09/25/2015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BAHNHOFSTRASSE 1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BAAR</w:t>
            </w:r>
          </w:p>
        </w:tc>
        <w:tc>
          <w:tcPr>
            <w:tcW w:w="88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V8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6340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Ordinary Shares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09/25/2015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12,000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9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26,162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Transaction was a grant of restricted share units and therefore has no price. The units are scheduled to vest on September 25, 2016.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Charity R. Kohl,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1572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09/28/2015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40" w:space="2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26553" TargetMode="External"/><Relationship Id="rId13" Type="http://schemas.openxmlformats.org/officeDocument/2006/relationships/hyperlink" Target="http://www.sec.gov/cgi-bin/browse-edgar?action=getcompany&amp;CIK=00016039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2019-12-09T04:35:52Z</dcterms:created>
  <dcterms:modified xsi:type="dcterms:W3CDTF">2019-12-09T04:35:52Z</dcterms:modified>
</cp:coreProperties>
</file>