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February 9, 2022</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49"/>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3"/>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320"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47" w:lineRule="exact"/>
        <w:rPr>
          <w:sz w:val="20"/>
          <w:szCs w:val="20"/>
          <w:color w:val="auto"/>
        </w:rPr>
      </w:pPr>
    </w:p>
    <w:p>
      <w:pPr>
        <w:jc w:val="both"/>
        <w:ind w:firstLine="322"/>
        <w:spacing w:after="0" w:line="284" w:lineRule="auto"/>
        <w:rPr>
          <w:sz w:val="20"/>
          <w:szCs w:val="20"/>
          <w:color w:val="auto"/>
        </w:rPr>
      </w:pPr>
      <w:r>
        <w:rPr>
          <w:rFonts w:ascii="Arial" w:cs="Arial" w:eastAsia="Arial" w:hAnsi="Arial"/>
          <w:sz w:val="17"/>
          <w:szCs w:val="17"/>
          <w:color w:val="auto"/>
        </w:rPr>
        <w:t>Effective fourth quarter of 2021, Weatherford realigned its reporting structure to three product line segments (1) Drilling and Evaluation (2) Well Construction and Completions, and (3) Production and Intervention. The updated structure further refines the Company’s organizational focus and business strategy around the well life cycle and is intended to drive improved customer collaboration and growth opportunities.</w:t>
      </w:r>
    </w:p>
    <w:p>
      <w:pPr>
        <w:spacing w:after="0" w:line="192" w:lineRule="exact"/>
        <w:rPr>
          <w:sz w:val="20"/>
          <w:szCs w:val="20"/>
          <w:color w:val="auto"/>
        </w:rPr>
      </w:pPr>
    </w:p>
    <w:p>
      <w:pPr>
        <w:jc w:val="both"/>
        <w:ind w:firstLine="322"/>
        <w:spacing w:after="0" w:line="254" w:lineRule="auto"/>
        <w:rPr>
          <w:sz w:val="20"/>
          <w:szCs w:val="20"/>
          <w:color w:val="auto"/>
        </w:rPr>
      </w:pPr>
      <w:r>
        <w:rPr>
          <w:rFonts w:ascii="Arial" w:cs="Arial" w:eastAsia="Arial" w:hAnsi="Arial"/>
          <w:sz w:val="18"/>
          <w:szCs w:val="18"/>
          <w:color w:val="auto"/>
        </w:rPr>
        <w:t>As a result, beginning with the announcement of the Company's fourth quarter of 2021 results and its Annual Report on Form 10-K for the year ended December 31, 2021, Weatherford will report its results in these three reportable segments. All other segments, corporate and other expenses that do not individually meet the criteria for segment reporting will be combined and reported separately. Additionally, we have changed our primary measure of segment profitability to be segment adjusted EBITDA, which is based on segment earnings before interest, taxes, depreciation, amortization, share-based compensation expense and other adjustments. The change in segment reporting had no impact on the Company’s consolidated revenue, income before taxes, net income, or earnings per share for any period.</w:t>
      </w:r>
    </w:p>
    <w:p>
      <w:pPr>
        <w:spacing w:after="0" w:line="216"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The Company has revised its segment reporting to reflect the current management approach and has recast prior periods to conform to the current segment presentation. See the press release furnished as Exhibit 99.1 for more details about the new segment structure and recasted quarterly segment financial results.</w:t>
      </w:r>
    </w:p>
    <w:p>
      <w:pPr>
        <w:spacing w:after="0" w:line="210"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18"/>
          <w:szCs w:val="18"/>
          <w:color w:val="auto"/>
        </w:rPr>
        <w:t>The information in this Current Report on Form 8-K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0"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4" w:lineRule="exact"/>
        <w:rPr>
          <w:sz w:val="20"/>
          <w:szCs w:val="20"/>
          <w:color w:val="auto"/>
        </w:rPr>
      </w:pPr>
    </w:p>
    <w:p>
      <w:pPr>
        <w:ind w:left="1660" w:hanging="978"/>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960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February 9, 2022 - Weatherford Reportable Segment Change</w:t>
              </w:r>
            </w:hyperlink>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9"/>
        </w:trPr>
        <w:tc>
          <w:tcPr>
            <w:tcW w:w="1520" w:type="dxa"/>
            <w:vAlign w:val="bottom"/>
          </w:tcPr>
          <w:p>
            <w:pPr>
              <w:jc w:val="right"/>
              <w:ind w:right="5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3"/>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February 9, 2022</w:t>
      </w:r>
    </w:p>
    <w:p>
      <w:pPr>
        <w:spacing w:after="0" w:line="2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H. Keith Jennings</w:t>
      </w:r>
    </w:p>
    <w:p>
      <w:pPr>
        <w:spacing w:after="0" w:line="2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140"/>
          </w:cols>
          <w:pgMar w:left="320" w:top="88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59055</wp:posOffset>
            </wp:positionV>
            <wp:extent cx="1891665" cy="78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Weatherford Reportable Segment Change</w:t>
      </w:r>
    </w:p>
    <w:p>
      <w:pPr>
        <w:spacing w:after="0" w:line="326" w:lineRule="exact"/>
        <w:rPr>
          <w:sz w:val="20"/>
          <w:szCs w:val="20"/>
          <w:color w:val="auto"/>
        </w:rPr>
      </w:pPr>
    </w:p>
    <w:p>
      <w:pPr>
        <w:jc w:val="both"/>
        <w:spacing w:after="0" w:line="388" w:lineRule="auto"/>
        <w:rPr>
          <w:sz w:val="20"/>
          <w:szCs w:val="20"/>
          <w:color w:val="auto"/>
        </w:rPr>
      </w:pPr>
      <w:r>
        <w:rPr>
          <w:rFonts w:ascii="Arial" w:cs="Arial" w:eastAsia="Arial" w:hAnsi="Arial"/>
          <w:sz w:val="18"/>
          <w:szCs w:val="18"/>
          <w:b w:val="1"/>
          <w:bCs w:val="1"/>
          <w:color w:val="auto"/>
        </w:rPr>
        <w:t xml:space="preserve">Houston, February 9, 2021 – </w:t>
      </w:r>
      <w:r>
        <w:rPr>
          <w:rFonts w:ascii="Arial" w:cs="Arial" w:eastAsia="Arial" w:hAnsi="Arial"/>
          <w:sz w:val="18"/>
          <w:szCs w:val="18"/>
          <w:color w:val="auto"/>
        </w:rPr>
        <w:t>Weatherford International plc (NASDAQ: WFRD) (“Weatherford” or the “Company”) announced today a segment recast by</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for the full year 2020 and through the third quarter of 2021.</w:t>
      </w:r>
    </w:p>
    <w:p>
      <w:pPr>
        <w:spacing w:after="0" w:line="113"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Effective the fourth quarter of 2021, Weatherford realigned its reporting structure to three product line segments (1) Drilling and Evaluation (2) Well Construction and Completions, and (3) Production and Intervention. The updated structure further refines the Company’s organizational focus and business strategy around the well life cycle and is intended to drive improved customer collaboration and growth opportunities. All segments provide services to core oil and gas as well as new energy markets.</w:t>
      </w:r>
    </w:p>
    <w:p>
      <w:pPr>
        <w:spacing w:after="0" w:line="133"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As a result, beginning with the announcement of the Company's fourth quarter of 2021 results and its Annual Report on Form 10-K for the year ended December 31, 2021, Weatherford will report its results in these three reportable segments. All other segments, corporate and other expenses that do not individually meet the criteria for segment reporting will be combined and reported separately. Additionally, we have changed our primary measure of segment profitability to be segment adjusted EBITDA, which is based on segment earnings before interest, taxes, depreciation, amortization, share-based compensation expense and other adjustments. The change in segment reporting had no impact on the Company’s consolidated revenue, income before taxes, net income, or earnings per share for any period.</w:t>
      </w:r>
    </w:p>
    <w:p>
      <w:pPr>
        <w:spacing w:after="0" w:line="135"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Girish K. Saligram, President and Chief Executive Officer, commented, “The alignment of our management strategy and reporting structure allows us to further drive organizational priorities into our operating processes. Our market leading product lines in each segment are a testament to the technology innovation and differentiation we provide and will serve as a foundation to drive growth and pull through across our portfolio. Additionally, the seamless integration of our digital offerings and ability to provide integrated solutions across our segments will be key to growth in our core operations and in the energy transition”.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product line divisions are comprised of the following services and products:</w:t>
      </w:r>
    </w:p>
    <w:p>
      <w:pPr>
        <w:spacing w:after="0" w:line="263" w:lineRule="exact"/>
        <w:rPr>
          <w:sz w:val="20"/>
          <w:szCs w:val="20"/>
          <w:color w:val="auto"/>
        </w:rPr>
      </w:pPr>
    </w:p>
    <w:p>
      <w:pPr>
        <w:jc w:val="both"/>
        <w:spacing w:after="0" w:line="370" w:lineRule="auto"/>
        <w:rPr>
          <w:sz w:val="20"/>
          <w:szCs w:val="20"/>
          <w:color w:val="auto"/>
        </w:rPr>
      </w:pPr>
      <w:r>
        <w:rPr>
          <w:rFonts w:ascii="Arial" w:cs="Arial" w:eastAsia="Arial" w:hAnsi="Arial"/>
          <w:sz w:val="18"/>
          <w:szCs w:val="18"/>
          <w:b w:val="1"/>
          <w:bCs w:val="1"/>
          <w:i w:val="1"/>
          <w:iCs w:val="1"/>
          <w:color w:val="auto"/>
        </w:rPr>
        <w:t xml:space="preserve">Drilling and Evaluation (“DRE”) </w:t>
      </w:r>
      <w:r>
        <w:rPr>
          <w:rFonts w:ascii="Arial" w:cs="Arial" w:eastAsia="Arial" w:hAnsi="Arial"/>
          <w:sz w:val="18"/>
          <w:szCs w:val="18"/>
          <w:color w:val="auto"/>
        </w:rPr>
        <w:t>offers a suite of services including managed pressure drilling, drilling services, wireline and drilling fluids. DRE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range from early well planning to reservoir management through innovative tools and expert engineering to optimize reservoir access and productivity.</w:t>
      </w:r>
    </w:p>
    <w:p>
      <w:pPr>
        <w:spacing w:after="0" w:line="130" w:lineRule="exact"/>
        <w:rPr>
          <w:sz w:val="20"/>
          <w:szCs w:val="20"/>
          <w:color w:val="auto"/>
        </w:rPr>
      </w:pPr>
    </w:p>
    <w:p>
      <w:pPr>
        <w:jc w:val="both"/>
        <w:spacing w:after="0" w:line="370" w:lineRule="auto"/>
        <w:rPr>
          <w:sz w:val="20"/>
          <w:szCs w:val="20"/>
          <w:color w:val="auto"/>
        </w:rPr>
      </w:pPr>
      <w:r>
        <w:rPr>
          <w:rFonts w:ascii="Arial" w:cs="Arial" w:eastAsia="Arial" w:hAnsi="Arial"/>
          <w:sz w:val="18"/>
          <w:szCs w:val="18"/>
          <w:b w:val="1"/>
          <w:bCs w:val="1"/>
          <w:i w:val="1"/>
          <w:iCs w:val="1"/>
          <w:color w:val="auto"/>
        </w:rPr>
        <w:t xml:space="preserve">Well Construction and Completions (“WCC”) </w:t>
      </w:r>
      <w:r>
        <w:rPr>
          <w:rFonts w:ascii="Arial" w:cs="Arial" w:eastAsia="Arial" w:hAnsi="Arial"/>
          <w:sz w:val="18"/>
          <w:szCs w:val="18"/>
          <w:color w:val="auto"/>
        </w:rPr>
        <w:t>offers products and services for well integrity assurance across the full life cycle of the well.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ectPr>
          <w:pgSz w:w="11900" w:h="16838" w:orient="portrait"/>
          <w:cols w:equalWidth="0" w:num="1">
            <w:col w:w="11240"/>
          </w:cols>
          <w:pgMar w:left="320" w:top="1047" w:right="339" w:bottom="1440" w:gutter="0" w:footer="0" w:header="0"/>
        </w:sectPr>
      </w:pPr>
    </w:p>
    <w:bookmarkStart w:id="4" w:name="page5"/>
    <w:bookmarkEnd w:id="4"/>
    <w:p>
      <w:pPr>
        <w:jc w:val="both"/>
        <w:spacing w:after="0" w:line="364" w:lineRule="auto"/>
        <w:rPr>
          <w:sz w:val="20"/>
          <w:szCs w:val="20"/>
          <w:color w:val="auto"/>
        </w:rPr>
      </w:pPr>
      <w:r>
        <w:rPr>
          <w:rFonts w:ascii="Arial" w:cs="Arial" w:eastAsia="Arial" w:hAnsi="Arial"/>
          <w:sz w:val="18"/>
          <w:szCs w:val="18"/>
          <w:b w:val="1"/>
          <w:bCs w:val="1"/>
          <w:i w:val="1"/>
          <w:iCs w:val="1"/>
          <w:color w:val="auto"/>
        </w:rPr>
        <w:t xml:space="preserve">Production and Intervention (“PRI”) </w:t>
      </w:r>
      <w:r>
        <w:rPr>
          <w:rFonts w:ascii="Arial" w:cs="Arial" w:eastAsia="Arial" w:hAnsi="Arial"/>
          <w:sz w:val="18"/>
          <w:szCs w:val="18"/>
          <w:color w:val="auto"/>
        </w:rPr>
        <w:t>offers production optimization technologies through the Company’s ability to design and deliver a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ecosystem to boost productivity and responsible abandonment for our customers. The primary offerings are intervention services &amp; drilling tools, artificial lift, production automation &amp; software,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135" w:lineRule="exact"/>
        <w:rPr>
          <w:sz w:val="20"/>
          <w:szCs w:val="20"/>
          <w:color w:val="auto"/>
        </w:rPr>
      </w:pPr>
    </w:p>
    <w:p>
      <w:pPr>
        <w:jc w:val="both"/>
        <w:ind w:right="20"/>
        <w:spacing w:after="0" w:line="383" w:lineRule="auto"/>
        <w:rPr>
          <w:sz w:val="20"/>
          <w:szCs w:val="20"/>
          <w:color w:val="auto"/>
        </w:rPr>
      </w:pPr>
      <w:r>
        <w:rPr>
          <w:rFonts w:ascii="Arial" w:cs="Arial" w:eastAsia="Arial" w:hAnsi="Arial"/>
          <w:sz w:val="18"/>
          <w:szCs w:val="18"/>
          <w:color w:val="auto"/>
        </w:rPr>
        <w:t>All of our segments are enabled by a full suite of digital, monitoring, optimization and artificial intelligence solutions providing services throughout the well lifecycle, including responsible plug and abandonment.</w:t>
      </w:r>
    </w:p>
    <w:p>
      <w:pPr>
        <w:spacing w:after="0" w:line="118"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In order to provide additional perspective on this change in segments, Weatherford has prepared the accompanying unaudited historical consolidated financial information on the basis of the new reporting structure as compared to the prior. Additional information regarding the realigned segment reporting structure is also available on the Company’s website www.weatherford.com under “Investor Relations”.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106" w:lineRule="exact"/>
        <w:rPr>
          <w:sz w:val="20"/>
          <w:szCs w:val="20"/>
          <w:color w:val="auto"/>
        </w:rPr>
      </w:pPr>
    </w:p>
    <w:p>
      <w:pPr>
        <w:jc w:val="both"/>
        <w:ind w:right="40"/>
        <w:spacing w:after="0" w:line="366" w:lineRule="auto"/>
        <w:rPr>
          <w:sz w:val="20"/>
          <w:szCs w:val="20"/>
          <w:color w:val="auto"/>
        </w:rPr>
      </w:pPr>
      <w:r>
        <w:rPr>
          <w:rFonts w:ascii="Arial" w:cs="Arial" w:eastAsia="Arial" w:hAnsi="Arial"/>
          <w:sz w:val="18"/>
          <w:szCs w:val="18"/>
          <w:color w:val="auto"/>
        </w:rPr>
        <w:t xml:space="preserve">Weatherford is a leading global energy services company. Operating in approximately 75 countries, the Company answers the challenges of the energy industry with its global talent network of approximately 17,000 team members and approximately 350 operating locations, including manufacturing, research and development, service, and training facilities. Visit </w:t>
      </w:r>
      <w:r>
        <w:rPr>
          <w:rFonts w:ascii="Arial" w:cs="Arial" w:eastAsia="Arial" w:hAnsi="Arial"/>
          <w:sz w:val="18"/>
          <w:szCs w:val="18"/>
          <w:u w:val="single" w:color="auto"/>
          <w:color w:val="3051F2"/>
        </w:rPr>
        <w:t>https://www.weatherford.com/</w:t>
      </w:r>
      <w:r>
        <w:rPr>
          <w:rFonts w:ascii="Arial" w:cs="Arial" w:eastAsia="Arial" w:hAnsi="Arial"/>
          <w:sz w:val="18"/>
          <w:szCs w:val="18"/>
          <w:color w:val="auto"/>
        </w:rPr>
        <w:t xml:space="preserve"> for more information or connect on LinkedIn, Facebook, Twitter, Instagram, or YouTube.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M&amp;A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E32E1"/>
        </w:rPr>
        <w:t>investor.relations@weatherford.com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Director, Global 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4" w:lineRule="exact"/>
        <w:rPr>
          <w:sz w:val="20"/>
          <w:szCs w:val="20"/>
          <w:color w:val="auto"/>
        </w:rPr>
      </w:pPr>
    </w:p>
    <w:p>
      <w:pPr>
        <w:jc w:val="both"/>
        <w:spacing w:after="0" w:line="406" w:lineRule="auto"/>
        <w:rPr>
          <w:sz w:val="20"/>
          <w:szCs w:val="20"/>
          <w:color w:val="auto"/>
        </w:rPr>
      </w:pPr>
      <w:r>
        <w:rPr>
          <w:rFonts w:ascii="Arial" w:cs="Arial" w:eastAsia="Arial" w:hAnsi="Arial"/>
          <w:sz w:val="16"/>
          <w:szCs w:val="16"/>
          <w:color w:val="auto"/>
        </w:rPr>
        <w:t>This news release contains projections and forward-looking statements concerning, among other things, the Company’s quarterly and full-year revenues, operating income and losses, segment adjusted EBITDA, forecasts or expectations regarding business outlook, prospects for its operations and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These risks and uncertainties are more fully described in Weatherford’s reports and registration statements filed with the SEC.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99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Recast: Revenues and Segment Measure of Profitability Through Operating Income (Loss)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Q3</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9"/>
              </w:rPr>
              <w:t>Q2</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Q1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Q4</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Q3</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Q2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Q1</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Current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Drilling and Evaluation</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8"/>
        </w:trPr>
        <w:tc>
          <w:tcPr>
            <w:tcW w:w="3900" w:type="dxa"/>
            <w:vAlign w:val="bottom"/>
          </w:tcPr>
          <w:p>
            <w:pPr>
              <w:ind w:left="240"/>
              <w:spacing w:after="0"/>
              <w:rPr>
                <w:sz w:val="20"/>
                <w:szCs w:val="20"/>
                <w:color w:val="auto"/>
              </w:rPr>
            </w:pPr>
            <w:r>
              <w:rPr>
                <w:rFonts w:ascii="Arial" w:cs="Arial" w:eastAsia="Arial" w:hAnsi="Arial"/>
                <w:sz w:val="18"/>
                <w:szCs w:val="18"/>
                <w:color w:val="auto"/>
              </w:rPr>
              <w:t>Well Construction and Completions</w:t>
            </w:r>
          </w:p>
        </w:tc>
        <w:tc>
          <w:tcPr>
            <w:tcW w:w="2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Production and Intervention</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2"/>
        </w:trPr>
        <w:tc>
          <w:tcPr>
            <w:tcW w:w="3900" w:type="dxa"/>
            <w:vAlign w:val="bottom"/>
          </w:tcPr>
          <w:p>
            <w:pPr>
              <w:ind w:left="300"/>
              <w:spacing w:after="0"/>
              <w:rPr>
                <w:sz w:val="20"/>
                <w:szCs w:val="20"/>
                <w:color w:val="auto"/>
              </w:rPr>
            </w:pPr>
            <w:r>
              <w:rPr>
                <w:rFonts w:ascii="Arial" w:cs="Arial" w:eastAsia="Arial" w:hAnsi="Arial"/>
                <w:sz w:val="18"/>
                <w:szCs w:val="18"/>
                <w:color w:val="auto"/>
              </w:rPr>
              <w:t>Total Reportable Segment Revenues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915</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880</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3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945</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903</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842</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807</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821</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9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Prior</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478</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491</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7"/>
        </w:trPr>
        <w:tc>
          <w:tcPr>
            <w:tcW w:w="39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821</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auto"/>
            </w:tcBorders>
            <w:gridSpan w:val="5"/>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96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Segment Measure of Profitability Through Operating Income (Loss):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Current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Drilling and Evaluation</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rPr>
                <w:sz w:val="20"/>
                <w:szCs w:val="20"/>
                <w:color w:val="auto"/>
              </w:rPr>
            </w:pPr>
            <w:r>
              <w:rPr>
                <w:rFonts w:ascii="Arial" w:cs="Arial" w:eastAsia="Arial" w:hAnsi="Arial"/>
                <w:sz w:val="18"/>
                <w:szCs w:val="18"/>
                <w:color w:val="auto"/>
              </w:rPr>
              <w:t>Well Construction and Completions</w:t>
            </w:r>
          </w:p>
        </w:tc>
        <w:tc>
          <w:tcPr>
            <w:tcW w:w="2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Production and Intervention</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3900" w:type="dxa"/>
            <w:vAlign w:val="bottom"/>
            <w:tcBorders>
              <w:bottom w:val="single" w:sz="8" w:color="auto"/>
            </w:tcBorders>
          </w:tcPr>
          <w:p>
            <w:pPr>
              <w:ind w:left="260"/>
              <w:spacing w:after="0" w:line="222"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160"/>
              <w:spacing w:after="0" w:line="222"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3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180"/>
              <w:spacing w:after="0" w:line="229"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7"/>
        </w:trPr>
        <w:tc>
          <w:tcPr>
            <w:tcW w:w="3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Prior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3900" w:type="dxa"/>
            <w:vAlign w:val="bottom"/>
          </w:tcPr>
          <w:p>
            <w:pPr>
              <w:ind w:left="260"/>
              <w:spacing w:after="0"/>
              <w:rPr>
                <w:sz w:val="20"/>
                <w:szCs w:val="20"/>
                <w:color w:val="auto"/>
              </w:rPr>
            </w:pPr>
            <w:r>
              <w:rPr>
                <w:rFonts w:ascii="Arial" w:cs="Arial" w:eastAsia="Arial" w:hAnsi="Arial"/>
                <w:sz w:val="18"/>
                <w:szCs w:val="18"/>
                <w:color w:val="auto"/>
              </w:rPr>
              <w:t>Segment Operating Income (Loss)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Adjustments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7"/>
        </w:trPr>
        <w:tc>
          <w:tcPr>
            <w:tcW w:w="39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40" w:hanging="233"/>
        <w:spacing w:after="0" w:line="232" w:lineRule="auto"/>
        <w:tabs>
          <w:tab w:leader="none" w:pos="22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Segment adjusted EBITDA is our primary measure of segment profitability and is based on segment earnings before interest, taxes, depreciation, amortization, share-based compensation expense and other adjustments. Research and development expenses are included in segment adjusted EBITDA.</w:t>
      </w:r>
    </w:p>
    <w:p>
      <w:pPr>
        <w:ind w:left="240" w:right="20" w:hanging="233"/>
        <w:spacing w:after="0" w:line="211" w:lineRule="auto"/>
        <w:tabs>
          <w:tab w:leader="none" w:pos="2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Corporate and other includes business activities related to all other segments (profit and loss), corporate and other expenses (overhead support and centrally managed or shared facilities costs) that do not individually meet the criteria for segment reporting.</w:t>
      </w:r>
    </w:p>
    <w:p>
      <w:pPr>
        <w:spacing w:after="0" w:line="1" w:lineRule="exact"/>
        <w:rPr>
          <w:rFonts w:ascii="Arial" w:cs="Arial" w:eastAsia="Arial" w:hAnsi="Arial"/>
          <w:sz w:val="21"/>
          <w:szCs w:val="21"/>
          <w:color w:val="auto"/>
          <w:vertAlign w:val="superscript"/>
        </w:rPr>
      </w:pPr>
    </w:p>
    <w:p>
      <w:pPr>
        <w:ind w:left="240" w:right="20" w:hanging="233"/>
        <w:spacing w:after="0" w:line="214" w:lineRule="auto"/>
        <w:tabs>
          <w:tab w:leader="none" w:pos="22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Other adjustments in the third quarter of 2020 under the current presentation is a higher expense than the prior due to a $12 million gain on sale of operational assets which is included in WCC under the current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74"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Segment Recast: Depreciation and Amortization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Q3</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9"/>
              </w:rPr>
              <w:t>Q2</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Q1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Q4</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Q3</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Q2</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Q1</w:t>
            </w:r>
          </w:p>
        </w:tc>
      </w:tr>
      <w:tr>
        <w:trPr>
          <w:trHeight w:val="222"/>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8"/>
        </w:trPr>
        <w:tc>
          <w:tcPr>
            <w:tcW w:w="38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Current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8"/>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Drilling and Evaluation</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8"/>
        </w:trPr>
        <w:tc>
          <w:tcPr>
            <w:tcW w:w="3860" w:type="dxa"/>
            <w:vAlign w:val="bottom"/>
          </w:tcPr>
          <w:p>
            <w:pPr>
              <w:ind w:left="220"/>
              <w:spacing w:after="0"/>
              <w:rPr>
                <w:sz w:val="20"/>
                <w:szCs w:val="20"/>
                <w:color w:val="auto"/>
              </w:rPr>
            </w:pPr>
            <w:r>
              <w:rPr>
                <w:rFonts w:ascii="Arial" w:cs="Arial" w:eastAsia="Arial" w:hAnsi="Arial"/>
                <w:sz w:val="18"/>
                <w:szCs w:val="18"/>
                <w:color w:val="auto"/>
              </w:rPr>
              <w:t>Well Construction and Completions</w:t>
            </w: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8"/>
        </w:trPr>
        <w:tc>
          <w:tcPr>
            <w:tcW w:w="3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Production and Intervention</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3860" w:type="dxa"/>
            <w:vAlign w:val="bottom"/>
          </w:tcPr>
          <w:p>
            <w:pPr>
              <w:ind w:left="340"/>
              <w:spacing w:after="0"/>
              <w:rPr>
                <w:sz w:val="20"/>
                <w:szCs w:val="20"/>
                <w:color w:val="auto"/>
              </w:rPr>
            </w:pPr>
            <w:r>
              <w:rPr>
                <w:rFonts w:ascii="Arial" w:cs="Arial" w:eastAsia="Arial" w:hAnsi="Arial"/>
                <w:sz w:val="18"/>
                <w:szCs w:val="18"/>
                <w:color w:val="auto"/>
              </w:rPr>
              <w:t>Segment Depreciation and Amortization</w:t>
            </w: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8"/>
        </w:trPr>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3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42"/>
        </w:trPr>
        <w:tc>
          <w:tcPr>
            <w:tcW w:w="38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Prior</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8"/>
        </w:trPr>
        <w:tc>
          <w:tcPr>
            <w:tcW w:w="3860" w:type="dxa"/>
            <w:vAlign w:val="bottom"/>
          </w:tcPr>
          <w:p>
            <w:pPr>
              <w:ind w:left="200"/>
              <w:spacing w:after="0"/>
              <w:rPr>
                <w:sz w:val="20"/>
                <w:szCs w:val="20"/>
                <w:color w:val="auto"/>
              </w:rPr>
            </w:pPr>
            <w:r>
              <w:rPr>
                <w:rFonts w:ascii="Arial" w:cs="Arial" w:eastAsia="Arial" w:hAnsi="Arial"/>
                <w:sz w:val="18"/>
                <w:szCs w:val="18"/>
                <w:color w:val="auto"/>
              </w:rPr>
              <w:t>Eastern Hemisphere</w:t>
            </w: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8"/>
        </w:trPr>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3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14"/>
        </w:trPr>
        <w:tc>
          <w:tcPr>
            <w:tcW w:w="3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sectPr>
      <w:pgSz w:w="11900" w:h="16838" w:orient="portrait"/>
      <w:cols w:equalWidth="0" w:num="1">
        <w:col w:w="11180"/>
      </w:cols>
      <w:pgMar w:left="360" w:top="10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2022-02-09T15:36:40Z</dcterms:created>
  <dcterms:modified xsi:type="dcterms:W3CDTF">2022-02-09T15:36:40Z</dcterms:modified>
</cp:coreProperties>
</file>