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3"/>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1202690</wp:posOffset>
            </wp:positionH>
            <wp:positionV relativeFrom="paragraph">
              <wp:posOffset>-203200</wp:posOffset>
            </wp:positionV>
            <wp:extent cx="52317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31765" cy="7620"/>
                    </a:xfrm>
                    <a:prstGeom prst="rect">
                      <a:avLst/>
                    </a:prstGeom>
                    <a:noFill/>
                  </pic:spPr>
                </pic:pic>
              </a:graphicData>
            </a:graphic>
          </wp:anchor>
        </w:drawing>
      </w:r>
    </w:p>
    <w:p>
      <w:pPr>
        <w:spacing w:after="0" w:line="16" w:lineRule="exact"/>
        <w:rPr>
          <w:sz w:val="24"/>
          <w:szCs w:val="24"/>
          <w:color w:val="auto"/>
        </w:rPr>
      </w:pPr>
    </w:p>
    <w:p>
      <w:pPr>
        <w:jc w:val="center"/>
        <w:ind w:right="-263"/>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63"/>
        <w:spacing w:after="0"/>
        <w:rPr>
          <w:sz w:val="20"/>
          <w:szCs w:val="20"/>
          <w:color w:val="auto"/>
        </w:rPr>
      </w:pPr>
      <w:r>
        <w:rPr>
          <w:rFonts w:ascii="Arial" w:cs="Arial" w:eastAsia="Arial" w:hAnsi="Arial"/>
          <w:sz w:val="19"/>
          <w:szCs w:val="19"/>
          <w:b w:val="1"/>
          <w:bCs w:val="1"/>
          <w:color w:val="auto"/>
        </w:rPr>
        <w:t>WASHINGTON, D.C. 20549</w:t>
      </w:r>
    </w:p>
    <w:p>
      <w:pPr>
        <w:spacing w:after="0" w:line="206" w:lineRule="exact"/>
        <w:rPr>
          <w:sz w:val="24"/>
          <w:szCs w:val="24"/>
          <w:color w:val="auto"/>
        </w:rPr>
      </w:pPr>
    </w:p>
    <w:p>
      <w:pPr>
        <w:jc w:val="center"/>
        <w:ind w:right="-263"/>
        <w:spacing w:after="0"/>
        <w:rPr>
          <w:sz w:val="20"/>
          <w:szCs w:val="20"/>
          <w:color w:val="auto"/>
        </w:rPr>
      </w:pPr>
      <w:r>
        <w:rPr>
          <w:rFonts w:ascii="Arial" w:cs="Arial" w:eastAsia="Arial" w:hAnsi="Arial"/>
          <w:sz w:val="29"/>
          <w:szCs w:val="29"/>
          <w:b w:val="1"/>
          <w:bCs w:val="1"/>
          <w:color w:val="auto"/>
        </w:rPr>
        <w:t>FORM 8-K</w:t>
      </w:r>
    </w:p>
    <w:p>
      <w:pPr>
        <w:spacing w:after="0" w:line="273" w:lineRule="exact"/>
        <w:rPr>
          <w:sz w:val="24"/>
          <w:szCs w:val="24"/>
          <w:color w:val="auto"/>
        </w:rPr>
      </w:pPr>
    </w:p>
    <w:p>
      <w:pPr>
        <w:jc w:val="center"/>
        <w:ind w:right="-263"/>
        <w:spacing w:after="0"/>
        <w:rPr>
          <w:sz w:val="20"/>
          <w:szCs w:val="20"/>
          <w:color w:val="auto"/>
        </w:rPr>
      </w:pPr>
      <w:r>
        <w:rPr>
          <w:rFonts w:ascii="Arial" w:cs="Arial" w:eastAsia="Arial" w:hAnsi="Arial"/>
          <w:sz w:val="23"/>
          <w:szCs w:val="23"/>
          <w:b w:val="1"/>
          <w:bCs w:val="1"/>
          <w:color w:val="auto"/>
        </w:rPr>
        <w:t>CURRENT REPORT</w:t>
      </w:r>
    </w:p>
    <w:p>
      <w:pPr>
        <w:spacing w:after="0" w:line="28" w:lineRule="exact"/>
        <w:rPr>
          <w:sz w:val="24"/>
          <w:szCs w:val="24"/>
          <w:color w:val="auto"/>
        </w:rPr>
      </w:pPr>
    </w:p>
    <w:p>
      <w:pPr>
        <w:jc w:val="center"/>
        <w:ind w:right="-263"/>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18" w:lineRule="exact"/>
        <w:rPr>
          <w:sz w:val="24"/>
          <w:szCs w:val="24"/>
          <w:color w:val="auto"/>
        </w:rPr>
      </w:pPr>
    </w:p>
    <w:p>
      <w:pPr>
        <w:jc w:val="center"/>
        <w:ind w:right="-263"/>
        <w:spacing w:after="0"/>
        <w:rPr>
          <w:sz w:val="20"/>
          <w:szCs w:val="20"/>
          <w:color w:val="auto"/>
        </w:rPr>
      </w:pPr>
      <w:r>
        <w:rPr>
          <w:rFonts w:ascii="Arial" w:cs="Arial" w:eastAsia="Arial" w:hAnsi="Arial"/>
          <w:sz w:val="19"/>
          <w:szCs w:val="19"/>
          <w:b w:val="1"/>
          <w:bCs w:val="1"/>
          <w:color w:val="auto"/>
        </w:rPr>
        <w:t>Date of Report (Date of earliest event reported): January 29, 2018</w:t>
      </w:r>
    </w:p>
    <w:p>
      <w:pPr>
        <w:spacing w:after="0" w:line="320" w:lineRule="exact"/>
        <w:rPr>
          <w:sz w:val="24"/>
          <w:szCs w:val="24"/>
          <w:color w:val="auto"/>
        </w:rPr>
      </w:pPr>
    </w:p>
    <w:p>
      <w:pPr>
        <w:ind w:left="1884"/>
        <w:spacing w:after="0"/>
        <w:rPr>
          <w:sz w:val="20"/>
          <w:szCs w:val="20"/>
          <w:color w:val="auto"/>
        </w:rPr>
      </w:pPr>
      <w:r>
        <w:rPr>
          <w:rFonts w:ascii="Arial" w:cs="Arial" w:eastAsia="Arial" w:hAnsi="Arial"/>
          <w:sz w:val="35"/>
          <w:szCs w:val="35"/>
          <w:b w:val="1"/>
          <w:bCs w:val="1"/>
          <w:color w:val="auto"/>
        </w:rPr>
        <w:t>Weatherford International public limited company</w:t>
      </w:r>
    </w:p>
    <w:p>
      <w:pPr>
        <w:spacing w:after="0" w:line="51" w:lineRule="exact"/>
        <w:rPr>
          <w:sz w:val="24"/>
          <w:szCs w:val="24"/>
          <w:color w:val="auto"/>
        </w:rPr>
      </w:pPr>
    </w:p>
    <w:tbl>
      <w:tblPr>
        <w:tblLayout w:type="fixed"/>
        <w:tblInd w:w="1584"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920" w:type="dxa"/>
            <w:vAlign w:val="bottom"/>
            <w:gridSpan w:val="2"/>
          </w:tcPr>
          <w:p>
            <w:pPr>
              <w:jc w:val="center"/>
              <w:ind w:right="2260"/>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r>
      <w:tr>
        <w:trPr>
          <w:trHeight w:val="513"/>
        </w:trPr>
        <w:tc>
          <w:tcPr>
            <w:tcW w:w="20" w:type="dxa"/>
            <w:vAlign w:val="bottom"/>
          </w:tcPr>
          <w:p>
            <w:pPr>
              <w:spacing w:after="0"/>
              <w:rPr>
                <w:sz w:val="24"/>
                <w:szCs w:val="24"/>
                <w:color w:val="auto"/>
              </w:rPr>
            </w:pPr>
          </w:p>
        </w:tc>
        <w:tc>
          <w:tcPr>
            <w:tcW w:w="2320" w:type="dxa"/>
            <w:vAlign w:val="bottom"/>
          </w:tcPr>
          <w:p>
            <w:pPr>
              <w:jc w:val="center"/>
              <w:ind w:left="340"/>
              <w:spacing w:after="0"/>
              <w:rPr>
                <w:sz w:val="20"/>
                <w:szCs w:val="20"/>
                <w:color w:val="auto"/>
              </w:rPr>
            </w:pPr>
            <w:r>
              <w:rPr>
                <w:rFonts w:ascii="Arial" w:cs="Arial" w:eastAsia="Arial" w:hAnsi="Arial"/>
                <w:sz w:val="16"/>
                <w:szCs w:val="16"/>
                <w:b w:val="1"/>
                <w:bCs w:val="1"/>
                <w:color w:val="auto"/>
                <w:w w:val="95"/>
              </w:rPr>
              <w:t>Ireland</w:t>
            </w:r>
          </w:p>
        </w:tc>
        <w:tc>
          <w:tcPr>
            <w:tcW w:w="3020" w:type="dxa"/>
            <w:vAlign w:val="bottom"/>
          </w:tcPr>
          <w:p>
            <w:pPr>
              <w:jc w:val="center"/>
              <w:ind w:left="480"/>
              <w:spacing w:after="0"/>
              <w:rPr>
                <w:sz w:val="20"/>
                <w:szCs w:val="20"/>
                <w:color w:val="auto"/>
              </w:rPr>
            </w:pPr>
            <w:r>
              <w:rPr>
                <w:rFonts w:ascii="Arial" w:cs="Arial" w:eastAsia="Arial" w:hAnsi="Arial"/>
                <w:sz w:val="16"/>
                <w:szCs w:val="16"/>
                <w:b w:val="1"/>
                <w:bCs w:val="1"/>
                <w:color w:val="auto"/>
                <w:w w:val="91"/>
              </w:rPr>
              <w:t>001-36504</w:t>
            </w:r>
          </w:p>
        </w:tc>
        <w:tc>
          <w:tcPr>
            <w:tcW w:w="2900" w:type="dxa"/>
            <w:vAlign w:val="bottom"/>
          </w:tcPr>
          <w:p>
            <w:pPr>
              <w:jc w:val="center"/>
              <w:ind w:left="80"/>
              <w:spacing w:after="0"/>
              <w:rPr>
                <w:sz w:val="20"/>
                <w:szCs w:val="20"/>
                <w:color w:val="auto"/>
              </w:rPr>
            </w:pPr>
            <w:r>
              <w:rPr>
                <w:rFonts w:ascii="Arial" w:cs="Arial" w:eastAsia="Arial" w:hAnsi="Arial"/>
                <w:sz w:val="16"/>
                <w:szCs w:val="16"/>
                <w:b w:val="1"/>
                <w:bCs w:val="1"/>
                <w:color w:val="auto"/>
                <w:w w:val="91"/>
              </w:rPr>
              <w:t>98-0606750</w:t>
            </w:r>
          </w:p>
        </w:tc>
      </w:tr>
      <w:tr>
        <w:trPr>
          <w:trHeight w:val="24"/>
        </w:trPr>
        <w:tc>
          <w:tcPr>
            <w:tcW w:w="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197"/>
        </w:trPr>
        <w:tc>
          <w:tcPr>
            <w:tcW w:w="20" w:type="dxa"/>
            <w:vAlign w:val="bottom"/>
          </w:tcPr>
          <w:p>
            <w:pPr>
              <w:spacing w:after="0"/>
              <w:rPr>
                <w:sz w:val="17"/>
                <w:szCs w:val="17"/>
                <w:color w:val="auto"/>
              </w:rPr>
            </w:pPr>
          </w:p>
        </w:tc>
        <w:tc>
          <w:tcPr>
            <w:tcW w:w="2320" w:type="dxa"/>
            <w:vAlign w:val="bottom"/>
          </w:tcPr>
          <w:p>
            <w:pPr>
              <w:jc w:val="center"/>
              <w:ind w:left="340"/>
              <w:spacing w:after="0"/>
              <w:rPr>
                <w:sz w:val="20"/>
                <w:szCs w:val="20"/>
                <w:color w:val="auto"/>
              </w:rPr>
            </w:pPr>
            <w:r>
              <w:rPr>
                <w:rFonts w:ascii="Arial" w:cs="Arial" w:eastAsia="Arial" w:hAnsi="Arial"/>
                <w:sz w:val="16"/>
                <w:szCs w:val="16"/>
                <w:color w:val="auto"/>
                <w:w w:val="92"/>
              </w:rPr>
              <w:t>(State or other jurisdiction of</w:t>
            </w:r>
          </w:p>
        </w:tc>
        <w:tc>
          <w:tcPr>
            <w:tcW w:w="3020" w:type="dxa"/>
            <w:vAlign w:val="bottom"/>
          </w:tcPr>
          <w:p>
            <w:pPr>
              <w:jc w:val="center"/>
              <w:ind w:left="480"/>
              <w:spacing w:after="0"/>
              <w:rPr>
                <w:sz w:val="20"/>
                <w:szCs w:val="20"/>
                <w:color w:val="auto"/>
              </w:rPr>
            </w:pPr>
            <w:r>
              <w:rPr>
                <w:rFonts w:ascii="Arial" w:cs="Arial" w:eastAsia="Arial" w:hAnsi="Arial"/>
                <w:sz w:val="16"/>
                <w:szCs w:val="16"/>
                <w:color w:val="auto"/>
                <w:w w:val="93"/>
              </w:rPr>
              <w:t>(Commission File Number)</w:t>
            </w:r>
          </w:p>
        </w:tc>
        <w:tc>
          <w:tcPr>
            <w:tcW w:w="2900" w:type="dxa"/>
            <w:vAlign w:val="bottom"/>
          </w:tcPr>
          <w:p>
            <w:pPr>
              <w:jc w:val="center"/>
              <w:ind w:left="80"/>
              <w:spacing w:after="0"/>
              <w:rPr>
                <w:sz w:val="20"/>
                <w:szCs w:val="20"/>
                <w:color w:val="auto"/>
              </w:rPr>
            </w:pPr>
            <w:r>
              <w:rPr>
                <w:rFonts w:ascii="Arial" w:cs="Arial" w:eastAsia="Arial" w:hAnsi="Arial"/>
                <w:sz w:val="16"/>
                <w:szCs w:val="16"/>
                <w:color w:val="auto"/>
                <w:w w:val="94"/>
              </w:rPr>
              <w:t>(I.R.S. Employer Identification No.)</w:t>
            </w:r>
          </w:p>
        </w:tc>
      </w:tr>
      <w:tr>
        <w:trPr>
          <w:trHeight w:val="205"/>
        </w:trPr>
        <w:tc>
          <w:tcPr>
            <w:tcW w:w="20" w:type="dxa"/>
            <w:vAlign w:val="bottom"/>
          </w:tcPr>
          <w:p>
            <w:pPr>
              <w:spacing w:after="0"/>
              <w:rPr>
                <w:sz w:val="17"/>
                <w:szCs w:val="17"/>
                <w:color w:val="auto"/>
              </w:rPr>
            </w:pPr>
          </w:p>
        </w:tc>
        <w:tc>
          <w:tcPr>
            <w:tcW w:w="2320" w:type="dxa"/>
            <w:vAlign w:val="bottom"/>
          </w:tcPr>
          <w:p>
            <w:pPr>
              <w:jc w:val="center"/>
              <w:ind w:left="320"/>
              <w:spacing w:after="0"/>
              <w:rPr>
                <w:sz w:val="20"/>
                <w:szCs w:val="20"/>
                <w:color w:val="auto"/>
              </w:rPr>
            </w:pPr>
            <w:r>
              <w:rPr>
                <w:rFonts w:ascii="Arial" w:cs="Arial" w:eastAsia="Arial" w:hAnsi="Arial"/>
                <w:sz w:val="16"/>
                <w:szCs w:val="16"/>
                <w:color w:val="auto"/>
                <w:w w:val="94"/>
              </w:rPr>
              <w:t>incorporation)</w:t>
            </w:r>
          </w:p>
        </w:tc>
        <w:tc>
          <w:tcPr>
            <w:tcW w:w="30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555"/>
        </w:trPr>
        <w:tc>
          <w:tcPr>
            <w:tcW w:w="20" w:type="dxa"/>
            <w:vAlign w:val="bottom"/>
          </w:tcPr>
          <w:p>
            <w:pPr>
              <w:spacing w:after="0"/>
              <w:rPr>
                <w:sz w:val="24"/>
                <w:szCs w:val="24"/>
                <w:color w:val="auto"/>
              </w:rPr>
            </w:pPr>
          </w:p>
        </w:tc>
        <w:tc>
          <w:tcPr>
            <w:tcW w:w="5340" w:type="dxa"/>
            <w:vAlign w:val="bottom"/>
            <w:gridSpan w:val="2"/>
          </w:tcPr>
          <w:p>
            <w:pPr>
              <w:jc w:val="center"/>
              <w:ind w:left="60"/>
              <w:spacing w:after="0"/>
              <w:rPr>
                <w:sz w:val="20"/>
                <w:szCs w:val="20"/>
                <w:color w:val="auto"/>
              </w:rPr>
            </w:pPr>
            <w:r>
              <w:rPr>
                <w:rFonts w:ascii="Arial" w:cs="Arial" w:eastAsia="Arial" w:hAnsi="Arial"/>
                <w:sz w:val="16"/>
                <w:szCs w:val="16"/>
                <w:b w:val="1"/>
                <w:bCs w:val="1"/>
                <w:color w:val="auto"/>
                <w:w w:val="89"/>
              </w:rPr>
              <w:t>Weststrasse 1, 6340 Baar, Switzerland</w:t>
            </w:r>
          </w:p>
        </w:tc>
        <w:tc>
          <w:tcPr>
            <w:tcW w:w="2900" w:type="dxa"/>
            <w:vAlign w:val="bottom"/>
          </w:tcPr>
          <w:p>
            <w:pPr>
              <w:jc w:val="center"/>
              <w:ind w:left="60"/>
              <w:spacing w:after="0"/>
              <w:rPr>
                <w:sz w:val="20"/>
                <w:szCs w:val="20"/>
                <w:color w:val="auto"/>
              </w:rPr>
            </w:pPr>
            <w:r>
              <w:rPr>
                <w:rFonts w:ascii="Arial" w:cs="Arial" w:eastAsia="Arial" w:hAnsi="Arial"/>
                <w:sz w:val="16"/>
                <w:szCs w:val="16"/>
                <w:b w:val="1"/>
                <w:bCs w:val="1"/>
                <w:color w:val="auto"/>
                <w:w w:val="94"/>
              </w:rPr>
              <w:t>CH 6340</w:t>
            </w:r>
          </w:p>
        </w:tc>
      </w:tr>
      <w:tr>
        <w:trPr>
          <w:trHeight w:val="24"/>
        </w:trPr>
        <w:tc>
          <w:tcPr>
            <w:tcW w:w="20" w:type="dxa"/>
            <w:vAlign w:val="bottom"/>
          </w:tcPr>
          <w:p>
            <w:pPr>
              <w:spacing w:after="0"/>
              <w:rPr>
                <w:sz w:val="2"/>
                <w:szCs w:val="2"/>
                <w:color w:val="auto"/>
              </w:rPr>
            </w:pPr>
          </w:p>
        </w:tc>
        <w:tc>
          <w:tcPr>
            <w:tcW w:w="5340" w:type="dxa"/>
            <w:vAlign w:val="bottom"/>
            <w:tcBorders>
              <w:bottom w:val="single" w:sz="8" w:color="auto"/>
            </w:tcBorders>
            <w:gridSpan w:val="2"/>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5340" w:type="dxa"/>
            <w:vAlign w:val="bottom"/>
            <w:gridSpan w:val="2"/>
          </w:tcPr>
          <w:p>
            <w:pPr>
              <w:jc w:val="center"/>
              <w:ind w:left="60"/>
              <w:spacing w:after="0"/>
              <w:rPr>
                <w:sz w:val="20"/>
                <w:szCs w:val="20"/>
                <w:color w:val="auto"/>
              </w:rPr>
            </w:pPr>
            <w:r>
              <w:rPr>
                <w:rFonts w:ascii="Arial" w:cs="Arial" w:eastAsia="Arial" w:hAnsi="Arial"/>
                <w:sz w:val="16"/>
                <w:szCs w:val="16"/>
                <w:color w:val="auto"/>
                <w:w w:val="93"/>
              </w:rPr>
              <w:t>(Address of principal executive offices)</w:t>
            </w:r>
          </w:p>
        </w:tc>
        <w:tc>
          <w:tcPr>
            <w:tcW w:w="2900" w:type="dxa"/>
            <w:vAlign w:val="bottom"/>
          </w:tcPr>
          <w:p>
            <w:pPr>
              <w:jc w:val="center"/>
              <w:ind w:left="60"/>
              <w:spacing w:after="0"/>
              <w:rPr>
                <w:sz w:val="20"/>
                <w:szCs w:val="20"/>
                <w:color w:val="auto"/>
              </w:rPr>
            </w:pPr>
            <w:r>
              <w:rPr>
                <w:rFonts w:ascii="Arial" w:cs="Arial" w:eastAsia="Arial" w:hAnsi="Arial"/>
                <w:sz w:val="16"/>
                <w:szCs w:val="16"/>
                <w:color w:val="auto"/>
                <w:w w:val="95"/>
              </w:rPr>
              <w:t>(Zip Code)</w:t>
            </w:r>
          </w:p>
        </w:tc>
      </w:tr>
    </w:tbl>
    <w:p>
      <w:pPr>
        <w:spacing w:after="0" w:line="200" w:lineRule="exact"/>
        <w:rPr>
          <w:sz w:val="24"/>
          <w:szCs w:val="24"/>
          <w:color w:val="auto"/>
        </w:rPr>
      </w:pPr>
    </w:p>
    <w:p>
      <w:pPr>
        <w:spacing w:after="0" w:line="314" w:lineRule="exact"/>
        <w:rPr>
          <w:sz w:val="24"/>
          <w:szCs w:val="24"/>
          <w:color w:val="auto"/>
        </w:rPr>
      </w:pPr>
    </w:p>
    <w:p>
      <w:pPr>
        <w:ind w:left="3384"/>
        <w:spacing w:after="0"/>
        <w:rPr>
          <w:sz w:val="20"/>
          <w:szCs w:val="20"/>
          <w:color w:val="auto"/>
        </w:rPr>
      </w:pPr>
      <w:r>
        <w:rPr>
          <w:rFonts w:ascii="Arial" w:cs="Arial" w:eastAsia="Arial" w:hAnsi="Arial"/>
          <w:sz w:val="16"/>
          <w:szCs w:val="16"/>
          <w:b w:val="1"/>
          <w:bCs w:val="1"/>
          <w:color w:val="auto"/>
        </w:rPr>
        <w:t>Registrant’s telephone number, including area code: +41.22.816.1500</w:t>
      </w:r>
    </w:p>
    <w:p>
      <w:pPr>
        <w:spacing w:after="0" w:line="154" w:lineRule="exact"/>
        <w:rPr>
          <w:sz w:val="24"/>
          <w:szCs w:val="24"/>
          <w:color w:val="auto"/>
        </w:rPr>
      </w:pPr>
    </w:p>
    <w:p>
      <w:pPr>
        <w:ind w:left="5564"/>
        <w:spacing w:after="0"/>
        <w:rPr>
          <w:sz w:val="20"/>
          <w:szCs w:val="20"/>
          <w:color w:val="auto"/>
        </w:rPr>
      </w:pPr>
      <w:r>
        <w:rPr>
          <w:rFonts w:ascii="Arial" w:cs="Arial" w:eastAsia="Arial" w:hAnsi="Arial"/>
          <w:sz w:val="16"/>
          <w:szCs w:val="16"/>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1294765</wp:posOffset>
            </wp:positionH>
            <wp:positionV relativeFrom="paragraph">
              <wp:posOffset>31750</wp:posOffset>
            </wp:positionV>
            <wp:extent cx="466471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4710" cy="7620"/>
                    </a:xfrm>
                    <a:prstGeom prst="rect">
                      <a:avLst/>
                    </a:prstGeom>
                    <a:noFill/>
                  </pic:spPr>
                </pic:pic>
              </a:graphicData>
            </a:graphic>
          </wp:anchor>
        </w:drawing>
      </w:r>
    </w:p>
    <w:p>
      <w:pPr>
        <w:spacing w:after="0" w:line="53" w:lineRule="exact"/>
        <w:rPr>
          <w:sz w:val="24"/>
          <w:szCs w:val="24"/>
          <w:color w:val="auto"/>
        </w:rPr>
      </w:pPr>
    </w:p>
    <w:p>
      <w:pPr>
        <w:jc w:val="center"/>
        <w:ind w:right="-243"/>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371"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4" w:lineRule="exact"/>
        <w:rPr>
          <w:sz w:val="24"/>
          <w:szCs w:val="24"/>
          <w:color w:val="auto"/>
        </w:rPr>
      </w:pPr>
    </w:p>
    <w:p>
      <w:pPr>
        <w:ind w:left="184" w:hanging="184"/>
        <w:spacing w:after="0"/>
        <w:tabs>
          <w:tab w:leader="none" w:pos="1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184" w:hanging="184"/>
        <w:spacing w:after="0"/>
        <w:tabs>
          <w:tab w:leader="none" w:pos="1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184" w:hanging="184"/>
        <w:spacing w:after="0"/>
        <w:tabs>
          <w:tab w:leader="none" w:pos="1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184" w:hanging="184"/>
        <w:spacing w:after="0"/>
        <w:tabs>
          <w:tab w:leader="none" w:pos="1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4" w:lineRule="exact"/>
        <w:rPr>
          <w:sz w:val="24"/>
          <w:szCs w:val="24"/>
          <w:color w:val="auto"/>
        </w:rPr>
      </w:pPr>
    </w:p>
    <w:p>
      <w:pPr>
        <w:ind w:left="584" w:right="840" w:hanging="578"/>
        <w:spacing w:after="0" w:line="244"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1934 (§240.12b-2 of this chapter). Emerging growth company </w:t>
      </w:r>
      <w:r>
        <w:rPr>
          <w:rFonts w:ascii="MS PGothic" w:cs="MS PGothic" w:eastAsia="MS PGothic" w:hAnsi="MS PGothic"/>
          <w:sz w:val="16"/>
          <w:szCs w:val="16"/>
          <w:color w:val="auto"/>
        </w:rPr>
        <w:t>☐</w:t>
      </w:r>
    </w:p>
    <w:p>
      <w:pPr>
        <w:spacing w:after="0" w:line="116" w:lineRule="exact"/>
        <w:rPr>
          <w:sz w:val="24"/>
          <w:szCs w:val="24"/>
          <w:color w:val="auto"/>
        </w:rPr>
      </w:pPr>
    </w:p>
    <w:p>
      <w:pPr>
        <w:ind w:left="4"/>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164"/>
          </w:cols>
          <w:pgMar w:left="236" w:top="911" w:right="499" w:bottom="1440" w:gutter="0" w:footer="0" w:header="0"/>
        </w:sectPr>
      </w:pPr>
    </w:p>
    <w:bookmarkStart w:id="1" w:name="page2"/>
    <w:bookmarkEnd w:id="1"/>
    <w:p>
      <w:pPr>
        <w:ind w:left="20"/>
        <w:spacing w:after="0"/>
        <w:tabs>
          <w:tab w:leader="none" w:pos="1180"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30"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At the end of the third quarter of 2017, Weatherford International plc (the "Company") announced a change in organizational structure, which was implemented in the fourth quarter as part of its transformation to flatten the organization structure, reduce costs and accelerate decision-making processes. As a result, beginning with the press release announcing the Company's fourth quarter of 2017 results and its Annual Report on Form 10-K for the year ended December 31, 2017, the Company will report its financial performance based on two reportable segments, the Western Hemisphere and Eastern Hemisphere, and analyze segment operating income as the measure of segment profitability. Research and development expenses are included in the Western and Eastern Hemisphere segment operating income.</w:t>
      </w:r>
    </w:p>
    <w:p>
      <w:pPr>
        <w:spacing w:after="0" w:line="155" w:lineRule="exact"/>
        <w:rPr>
          <w:sz w:val="20"/>
          <w:szCs w:val="20"/>
          <w:color w:val="auto"/>
        </w:rPr>
      </w:pPr>
    </w:p>
    <w:p>
      <w:pPr>
        <w:jc w:val="both"/>
        <w:spacing w:after="0" w:line="320" w:lineRule="auto"/>
        <w:rPr>
          <w:sz w:val="20"/>
          <w:szCs w:val="20"/>
          <w:color w:val="auto"/>
        </w:rPr>
      </w:pPr>
      <w:r>
        <w:rPr>
          <w:rFonts w:ascii="Arial" w:cs="Arial" w:eastAsia="Arial" w:hAnsi="Arial"/>
          <w:sz w:val="14"/>
          <w:szCs w:val="14"/>
          <w:color w:val="auto"/>
        </w:rPr>
        <w:t>The Western Hemisphere segment represents the prior North America and Latin America segments as well as land drilling rigs operations in Colombia and Mexico. The Eastern Hemisphere segment represents the prior MENA/Asia Pacific segment and Europe/SSA/Russia segments as well as land drilling rigs operations in the Eastern Hemisphere. The Company has revised its segment reporting to reflect the current management approach and recast prior periods to conform to the current segment presentation.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Corporate and other expenses that do not individually meet the criteria for segment reporting continue to be reported separately as Corporate expenses.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See Exhibit 99.1 for more details about the new segment structure and recasted quarterly segment financial results.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accordance with General Instruction B.2 of Form 8-K, the information in this Current Report on Form 8-K,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305"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315" w:lineRule="exact"/>
        <w:rPr>
          <w:sz w:val="20"/>
          <w:szCs w:val="20"/>
          <w:color w:val="auto"/>
        </w:rPr>
      </w:pPr>
    </w:p>
    <w:p>
      <w:pPr>
        <w:ind w:left="1220" w:hanging="762"/>
        <w:spacing w:after="0"/>
        <w:tabs>
          <w:tab w:leader="none" w:pos="122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The exhibits listed below are furnished pursuant to Item 9.01 of this Form 8-K.</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Exhibit</w:t>
            </w:r>
          </w:p>
        </w:tc>
        <w:tc>
          <w:tcPr>
            <w:tcW w:w="7040" w:type="dxa"/>
            <w:vAlign w:val="bottom"/>
          </w:tcPr>
          <w:p>
            <w:pPr>
              <w:spacing w:after="0"/>
              <w:rPr>
                <w:sz w:val="16"/>
                <w:szCs w:val="16"/>
                <w:color w:val="auto"/>
              </w:rPr>
            </w:pPr>
          </w:p>
        </w:tc>
      </w:tr>
      <w:tr>
        <w:trPr>
          <w:trHeight w:val="209"/>
        </w:trPr>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w:t>
            </w:r>
          </w:p>
        </w:tc>
        <w:tc>
          <w:tcPr>
            <w:tcW w:w="7040" w:type="dxa"/>
            <w:vAlign w:val="bottom"/>
          </w:tcPr>
          <w:p>
            <w:pPr>
              <w:ind w:left="20"/>
              <w:spacing w:after="0"/>
              <w:rPr>
                <w:sz w:val="20"/>
                <w:szCs w:val="20"/>
                <w:color w:val="auto"/>
              </w:rPr>
            </w:pPr>
            <w:r>
              <w:rPr>
                <w:rFonts w:ascii="Arial" w:cs="Arial" w:eastAsia="Arial" w:hAnsi="Arial"/>
                <w:sz w:val="16"/>
                <w:szCs w:val="16"/>
                <w:b w:val="1"/>
                <w:bCs w:val="1"/>
                <w:color w:val="auto"/>
              </w:rPr>
              <w:t>Exhibit Description</w:t>
            </w:r>
          </w:p>
        </w:tc>
      </w:tr>
      <w:tr>
        <w:trPr>
          <w:trHeight w:val="24"/>
        </w:trPr>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r>
      <w:tr>
        <w:trPr>
          <w:trHeight w:val="209"/>
        </w:trPr>
        <w:tc>
          <w:tcPr>
            <w:tcW w:w="1080" w:type="dxa"/>
            <w:vAlign w:val="bottom"/>
          </w:tcPr>
          <w:p>
            <w:pPr>
              <w:jc w:val="center"/>
              <w:spacing w:after="0"/>
              <w:rPr>
                <w:sz w:val="20"/>
                <w:szCs w:val="20"/>
                <w:color w:val="auto"/>
              </w:rPr>
            </w:pPr>
            <w:r>
              <w:rPr>
                <w:rFonts w:ascii="Arial" w:cs="Arial" w:eastAsia="Arial" w:hAnsi="Arial"/>
                <w:sz w:val="16"/>
                <w:szCs w:val="16"/>
                <w:color w:val="auto"/>
                <w:w w:val="89"/>
              </w:rPr>
              <w:t>99.1</w:t>
            </w:r>
          </w:p>
        </w:tc>
        <w:tc>
          <w:tcPr>
            <w:tcW w:w="100" w:type="dxa"/>
            <w:vAlign w:val="bottom"/>
          </w:tcPr>
          <w:p>
            <w:pPr>
              <w:spacing w:after="0"/>
              <w:rPr>
                <w:sz w:val="18"/>
                <w:szCs w:val="18"/>
                <w:color w:val="auto"/>
              </w:rPr>
            </w:pPr>
          </w:p>
        </w:tc>
        <w:tc>
          <w:tcPr>
            <w:tcW w:w="7040" w:type="dxa"/>
            <w:vAlign w:val="bottom"/>
          </w:tcPr>
          <w:p>
            <w:pPr>
              <w:ind w:left="20"/>
              <w:spacing w:after="0"/>
              <w:rPr>
                <w:sz w:val="20"/>
                <w:szCs w:val="20"/>
                <w:color w:val="auto"/>
              </w:rPr>
            </w:pPr>
            <w:r>
              <w:rPr>
                <w:rFonts w:ascii="Arial" w:cs="Arial" w:eastAsia="Arial" w:hAnsi="Arial"/>
                <w:sz w:val="16"/>
                <w:szCs w:val="16"/>
                <w:color w:val="auto"/>
              </w:rPr>
              <w:t>Weatherford Reporting Segments Presentation</w:t>
            </w:r>
          </w:p>
        </w:tc>
      </w:tr>
    </w:tbl>
    <w:p>
      <w:pPr>
        <w:sectPr>
          <w:pgSz w:w="11900" w:h="16838" w:orient="portrait"/>
          <w:cols w:equalWidth="0" w:num="1">
            <w:col w:w="11440"/>
          </w:cols>
          <w:pgMar w:left="240" w:top="678" w:right="21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6"/>
          <w:szCs w:val="16"/>
          <w:b w:val="1"/>
          <w:bCs w:val="1"/>
          <w:color w:val="auto"/>
        </w:rPr>
        <w:t>SIGNATURE</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5"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auto"/>
        </w:rPr>
        <w:t>Weatherford International plc</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January 29, 2018</w:t>
      </w:r>
    </w:p>
    <w:p>
      <w:pPr>
        <w:spacing w:after="0" w:line="57"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29210</wp:posOffset>
            </wp:positionV>
            <wp:extent cx="28340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4005" cy="7620"/>
                    </a:xfrm>
                    <a:prstGeom prst="rect">
                      <a:avLst/>
                    </a:prstGeom>
                    <a:noFill/>
                  </pic:spPr>
                </pic:pic>
              </a:graphicData>
            </a:graphic>
          </wp:anchor>
        </w:drawing>
      </w:r>
    </w:p>
    <w:p>
      <w:pPr>
        <w:spacing w:after="0" w:line="49"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Christoph Bausch</w:t>
      </w:r>
    </w:p>
    <w:p>
      <w:pPr>
        <w:spacing w:after="0" w:line="57"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Executive Vice President and</w:t>
      </w:r>
    </w:p>
    <w:p>
      <w:pPr>
        <w:spacing w:after="0" w:line="21"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0940"/>
          </w:cols>
          <w:pgMar w:left="240" w:top="533" w:right="719" w:bottom="1440" w:gutter="0" w:footer="0" w:header="0"/>
        </w:sectPr>
      </w:pPr>
    </w:p>
    <w:bookmarkStart w:id="3" w:name="page4"/>
    <w:bookmarkEnd w:id="3"/>
    <w:p>
      <w:pPr>
        <w:ind w:left="5100"/>
        <w:spacing w:after="0"/>
        <w:rPr>
          <w:sz w:val="20"/>
          <w:szCs w:val="20"/>
          <w:color w:val="auto"/>
        </w:rPr>
      </w:pPr>
      <w:r>
        <w:rPr>
          <w:rFonts w:ascii="Arial" w:cs="Arial" w:eastAsia="Arial" w:hAnsi="Arial"/>
          <w:sz w:val="16"/>
          <w:szCs w:val="16"/>
          <w:b w:val="1"/>
          <w:bCs w:val="1"/>
          <w:color w:val="auto"/>
        </w:rPr>
        <w:t>EXHIBIT INDEX</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7"/>
              </w:rPr>
              <w:t>Exhibit</w:t>
            </w:r>
          </w:p>
        </w:tc>
        <w:tc>
          <w:tcPr>
            <w:tcW w:w="7040" w:type="dxa"/>
            <w:vAlign w:val="bottom"/>
          </w:tcPr>
          <w:p>
            <w:pPr>
              <w:spacing w:after="0"/>
              <w:rPr>
                <w:sz w:val="16"/>
                <w:szCs w:val="16"/>
                <w:color w:val="auto"/>
              </w:rPr>
            </w:pPr>
          </w:p>
        </w:tc>
      </w:tr>
      <w:tr>
        <w:trPr>
          <w:trHeight w:val="209"/>
        </w:trPr>
        <w:tc>
          <w:tcPr>
            <w:tcW w:w="11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2"/>
              </w:rPr>
              <w:t>Number</w:t>
            </w:r>
          </w:p>
        </w:tc>
        <w:tc>
          <w:tcPr>
            <w:tcW w:w="7040" w:type="dxa"/>
            <w:vAlign w:val="bottom"/>
          </w:tcPr>
          <w:p>
            <w:pPr>
              <w:ind w:left="20"/>
              <w:spacing w:after="0"/>
              <w:rPr>
                <w:sz w:val="20"/>
                <w:szCs w:val="20"/>
                <w:color w:val="auto"/>
              </w:rPr>
            </w:pPr>
            <w:r>
              <w:rPr>
                <w:rFonts w:ascii="Arial" w:cs="Arial" w:eastAsia="Arial" w:hAnsi="Arial"/>
                <w:sz w:val="16"/>
                <w:szCs w:val="16"/>
                <w:b w:val="1"/>
                <w:bCs w:val="1"/>
                <w:color w:val="auto"/>
              </w:rPr>
              <w:t>Exhibit Description</w:t>
            </w:r>
          </w:p>
        </w:tc>
      </w:tr>
      <w:tr>
        <w:trPr>
          <w:trHeight w:val="24"/>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r>
      <w:tr>
        <w:trPr>
          <w:trHeight w:val="173"/>
        </w:trPr>
        <w:tc>
          <w:tcPr>
            <w:tcW w:w="680" w:type="dxa"/>
            <w:vAlign w:val="bottom"/>
            <w:gridSpan w:val="2"/>
          </w:tcPr>
          <w:p>
            <w:pPr>
              <w:jc w:val="center"/>
              <w:ind w:left="320"/>
              <w:spacing w:after="0" w:line="173" w:lineRule="exact"/>
              <w:rPr>
                <w:rFonts w:ascii="Arial" w:cs="Arial" w:eastAsia="Arial" w:hAnsi="Arial"/>
                <w:sz w:val="16"/>
                <w:szCs w:val="16"/>
                <w:color w:val="0000FF"/>
                <w:w w:val="89"/>
              </w:rPr>
            </w:pPr>
            <w:hyperlink w:anchor="page5">
              <w:r>
                <w:rPr>
                  <w:rFonts w:ascii="Arial" w:cs="Arial" w:eastAsia="Arial" w:hAnsi="Arial"/>
                  <w:sz w:val="16"/>
                  <w:szCs w:val="16"/>
                  <w:color w:val="0000FF"/>
                  <w:w w:val="89"/>
                </w:rPr>
                <w:t>99.</w:t>
              </w:r>
              <w:r>
                <w:rPr>
                  <w:rFonts w:ascii="Arial" w:cs="Arial" w:eastAsia="Arial" w:hAnsi="Arial"/>
                  <w:sz w:val="16"/>
                  <w:szCs w:val="16"/>
                  <w:u w:val="single" w:color="auto"/>
                  <w:color w:val="0000FF"/>
                  <w:w w:val="89"/>
                </w:rPr>
                <w:t>1</w:t>
              </w:r>
            </w:hyperlink>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40" w:type="dxa"/>
            <w:vAlign w:val="bottom"/>
          </w:tcPr>
          <w:p>
            <w:pPr>
              <w:ind w:left="20"/>
              <w:spacing w:after="0" w:line="173" w:lineRule="exact"/>
              <w:rPr>
                <w:sz w:val="20"/>
                <w:szCs w:val="20"/>
                <w:color w:val="auto"/>
              </w:rPr>
            </w:pPr>
            <w:r>
              <w:rPr>
                <w:rFonts w:ascii="Arial" w:cs="Arial" w:eastAsia="Arial" w:hAnsi="Arial"/>
                <w:sz w:val="16"/>
                <w:szCs w:val="16"/>
                <w:color w:val="auto"/>
              </w:rPr>
              <w:t>Weatherford Reporting Segments Presentation</w:t>
            </w:r>
          </w:p>
        </w:tc>
      </w:tr>
      <w:tr>
        <w:trPr>
          <w:trHeight w:val="20"/>
        </w:trPr>
        <w:tc>
          <w:tcPr>
            <w:tcW w:w="4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bl>
    <w:p>
      <w:pPr>
        <w:sectPr>
          <w:pgSz w:w="11900" w:h="16838" w:orient="portrait"/>
          <w:cols w:equalWidth="0" w:num="1">
            <w:col w:w="10219"/>
          </w:cols>
          <w:pgMar w:left="240" w:top="533" w:right="1440"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4192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9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4199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2019-12-29T01:44:50Z</dcterms:created>
  <dcterms:modified xsi:type="dcterms:W3CDTF">2019-12-29T01:44:50Z</dcterms:modified>
</cp:coreProperties>
</file>