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22, 2015</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22, 2015, Weatherford International public limited company (“we” or the “Company”) issued a news release announcing results for the quarter ended June 30, 2015. A copy of the news release is furnished as Exhibit 99.1 and incorporated into this Item 2.02.</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July 23, 2015, we will hold a conference call at 8:30 a.m. eastern time (“ET”), 7:30 a.m. central time (“CT”), regarding the quarterly results for the Company’s second quarter ended June 30, 2015. This scheduled conference call was previously announced on April 29, 2015. To access the call, please contact the conference call operator at 866-393-8572, or 706-643-6499 for international calls, and ask for the Weatherford conference call. The call will also be made available via real-time webcast. A replay of the call will be available until 5:00 p.m. ET, August 6, 2015. The number for the replay is 855-859-2056 or 404-537-3406 for international calls; passcode 38830853.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22, 2015, we issued a news release announcing results for the Company’s second quarter ended June 30, 2015.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33"/>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4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490"/>
              <w:spacing w:after="0"/>
              <w:rPr>
                <w:sz w:val="20"/>
                <w:szCs w:val="20"/>
                <w:color w:val="auto"/>
              </w:rPr>
            </w:pPr>
            <w:r>
              <w:rPr>
                <w:rFonts w:ascii="Arial" w:cs="Arial" w:eastAsia="Arial" w:hAnsi="Arial"/>
                <w:sz w:val="18"/>
                <w:szCs w:val="18"/>
                <w:color w:val="auto"/>
              </w:rPr>
              <w:t>99.1</w:t>
            </w:r>
          </w:p>
        </w:tc>
        <w:tc>
          <w:tcPr>
            <w:tcW w:w="9880" w:type="dxa"/>
            <w:vAlign w:val="bottom"/>
          </w:tcPr>
          <w:p>
            <w:pPr>
              <w:ind w:left="100"/>
              <w:spacing w:after="0"/>
              <w:rPr>
                <w:sz w:val="20"/>
                <w:szCs w:val="20"/>
                <w:color w:val="auto"/>
              </w:rPr>
            </w:pPr>
            <w:r>
              <w:rPr>
                <w:rFonts w:ascii="Arial" w:cs="Arial" w:eastAsia="Arial" w:hAnsi="Arial"/>
                <w:sz w:val="18"/>
                <w:szCs w:val="18"/>
                <w:color w:val="auto"/>
              </w:rPr>
              <w:t>News release dated July 22, 2015, announcing results for the quarter ended June 30, 2015.</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22, 2015</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302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News release dated July 22, 2015, announcing results for the quarter ended June 30, 2015.</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Second Quarter 2015 Results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Positive free cash flow of $104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Reduction in force target of 10,000 substantially complete; target raised to 11,000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Second quarter international revenue down only 2.7%, despite activity and pricing reductions</w:t>
      </w:r>
    </w:p>
    <w:p>
      <w:pPr>
        <w:spacing w:after="0" w:line="32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BAAR, SWITZERLAND, July 22, 2015 - Weatherford International plc (NYSE: WFT) reported a net loss before charges of $77 million ($0.10 net loss per share non-GAAP) on revenues of $2.39 billion for the second quarter of 2015. GAAP net loss for the second quarter of 2015 was $489 million, or a net loss of $0.63 per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2015 Highlights</w:t>
      </w: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Positive free cash flow of $104 million, principally on improved working capital performance and lower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improved sequentially $370 million, despite lower earnings;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Completed 97% of the reduction in force target of 10,000 employees by June 30, 2015, with expected annualized savings of $686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62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2"/>
                <w:szCs w:val="22"/>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 Millions, Except Percentages and bps)</w:t>
            </w: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w w:val="93"/>
              </w:rPr>
              <w:t>Change</w:t>
            </w:r>
          </w:p>
        </w:tc>
        <w:tc>
          <w:tcPr>
            <w:tcW w:w="102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6/30/2015</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3/31/2015</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6/30/2014</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Sequential</w:t>
            </w:r>
          </w:p>
        </w:tc>
        <w:tc>
          <w:tcPr>
            <w:tcW w:w="4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1"/>
              </w:rPr>
              <w:t>Year-on-Year</w:t>
            </w:r>
          </w:p>
        </w:tc>
        <w:tc>
          <w:tcPr>
            <w:tcW w:w="420" w:type="dxa"/>
            <w:vAlign w:val="bottom"/>
            <w:tcBorders>
              <w:bottom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Total</w:t>
            </w:r>
          </w:p>
        </w:tc>
        <w:tc>
          <w:tcPr>
            <w:tcW w:w="3300" w:type="dxa"/>
            <w:vAlign w:val="bottom"/>
            <w:tcBorders>
              <w:bottom w:val="single" w:sz="8" w:color="CCEEFF"/>
            </w:tcBorders>
            <w:gridSpan w:val="4"/>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2,390</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2,794</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3,711</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519</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4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(365)</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(909)</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5"/>
              </w:rPr>
              <w:t>North America</w:t>
            </w:r>
          </w:p>
        </w:tc>
        <w:tc>
          <w:tcPr>
            <w:tcW w:w="268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808</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1,163</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1,659</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254</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4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(1,061)</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(2,676)</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5"/>
              </w:rPr>
              <w:t>International</w:t>
            </w:r>
          </w:p>
        </w:tc>
        <w:tc>
          <w:tcPr>
            <w:tcW w:w="2800" w:type="dxa"/>
            <w:vAlign w:val="bottom"/>
            <w:tcBorders>
              <w:bottom w:val="single" w:sz="8" w:color="CCEEFF"/>
            </w:tcBorders>
            <w:gridSpan w:val="3"/>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1,397</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1,436</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1,658</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259</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95"/>
              </w:rPr>
              <w:t>Land Drilling Rigs</w:t>
            </w:r>
          </w:p>
        </w:tc>
        <w:tc>
          <w:tcPr>
            <w:tcW w:w="2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185</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195</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394</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20" w:type="dxa"/>
            <w:vAlign w:val="bottom"/>
            <w:shd w:val="clear" w:color="auto" w:fill="CCEEFF"/>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(302)</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77</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(All Operating Income numbers are non-GAAP and numbers in the table above reflect actual results and may not compute from the table due to rounding)</w:t>
      </w:r>
    </w:p>
    <w:p>
      <w:pPr>
        <w:spacing w:after="0" w:line="200" w:lineRule="exact"/>
        <w:rPr>
          <w:sz w:val="20"/>
          <w:szCs w:val="20"/>
          <w:color w:val="auto"/>
        </w:rPr>
      </w:pPr>
    </w:p>
    <w:p>
      <w:pPr>
        <w:spacing w:after="0" w:line="23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Bernard J. Duroc-Danner, Chairman of the Board, President and Chief Executive Officer, stated, “The second quarter was a very difficult one to navigate. Given the circumstances, I would like to highlight two positives, our revenue performance and our North American decrementals. Rig count declined 26% on a worldwide basis. By contrast, our revenue performance showed a sequential decline of 14%. The international segment was particularly strong, with a decline of only 2.7%, despite lower activity and pricing levels, suggesting that we are gradually increasing market share. North American revenue declined 30% compared to a 40% reduction in rig count and despite our disproportionately larger presence in Canada and on U.S. land. I would also focus your attention on the sequential decremental margins for North America, which at 23% were about half the level achieved in 2009. This reflects the strong and proactive cost management measures we have taken this year.</w:t>
      </w:r>
    </w:p>
    <w:p>
      <w:pPr>
        <w:spacing w:after="0" w:line="28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We remain confident in our ability to generate positive free cash flow on a full year basis. By implementing focused measures and continued discipline, we generated second quarter free cash flow of $104 million, a sequential improvement of $370 million. This result was achieved despite industry headwinds and a very weak North American market, which drove negative net income for the quarter.”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Second Quarter 2015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second quarter of 2015 was $2.39 billion compared with $2.79 billion in the first quarter of 2015 and $3.71 billion in the second quarter of 2014. Second quarter revenues declined 14% sequentially and 36% from the prior year. Sequentially, North America comprised the bulk of the revenue decline with only a small decrease in revenues internationally.</w:t>
      </w:r>
    </w:p>
    <w:p>
      <w:pPr>
        <w:spacing w:after="0" w:line="277"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Net loss on a non-GAAP basis for the second quarter of 2015 was $77 million compared to net income of $186 million in the second quarter of the prior year and a net loss of $33 million in the first quarter of 2015.</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GAAP net loss for the second quarter of 2015 was $489 million, or a net loss of $0.63 per share.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of $412 million for the second quarter include:</w:t>
      </w:r>
    </w:p>
    <w:p>
      <w:pPr>
        <w:spacing w:after="0" w:line="104" w:lineRule="exact"/>
        <w:rPr>
          <w:sz w:val="20"/>
          <w:szCs w:val="20"/>
          <w:color w:val="auto"/>
        </w:rPr>
      </w:pP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$106 million (pre-tax $112 million), primarily related to the settlement of a lawsuit related to the restatement of our historical financial statements in previous years;</w:t>
      </w:r>
    </w:p>
    <w:p>
      <w:pPr>
        <w:ind w:left="660" w:right="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$159 million (pre-tax $223 million), primarily for the impairment of part of our U.S. pressure pumping asset base, true-ups related to our 2014 divestiture activity and other professional fees;</w:t>
      </w: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 million (pre-tax $72 million), of costs related to severance and facility closures in our 2015 cost reduction plan, including a write-off of our net assets in Yemen due to the political disruption there;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$69 million (pre-tax $69 million), net of legacy contract charges;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 million (pre-tax $16 million), due to exceptional foreign exchange related charges in Angola.</w:t>
      </w:r>
    </w:p>
    <w:p>
      <w:pPr>
        <w:spacing w:after="0" w:line="200" w:lineRule="exact"/>
        <w:rPr>
          <w:sz w:val="20"/>
          <w:szCs w:val="20"/>
          <w:color w:val="auto"/>
        </w:rPr>
      </w:pPr>
    </w:p>
    <w:p>
      <w:pPr>
        <w:spacing w:after="0" w:line="214"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Operating income margin of 4.9% for the second quarter declined 365 basis points sequentially and 909 basis points compared to the second quarter of 2014, reflecting the activity and pricing led revenue reductions.</w:t>
      </w:r>
    </w:p>
    <w:p>
      <w:pPr>
        <w:spacing w:after="0" w:line="264"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The tax rate for the quarter (non-GAAP) was 42%, reflecting a net tax benefit on losses in North America which more than offset a normal tax charge on international earnings.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Highlights</w:t>
      </w:r>
    </w:p>
    <w:p>
      <w:pPr>
        <w:spacing w:after="0" w:line="200" w:lineRule="exact"/>
        <w:rPr>
          <w:sz w:val="20"/>
          <w:szCs w:val="20"/>
          <w:color w:val="auto"/>
        </w:rPr>
      </w:pPr>
    </w:p>
    <w:p>
      <w:pPr>
        <w:spacing w:after="0" w:line="218" w:lineRule="exact"/>
        <w:rPr>
          <w:sz w:val="20"/>
          <w:szCs w:val="20"/>
          <w:color w:val="auto"/>
        </w:rPr>
      </w:pPr>
    </w:p>
    <w:p>
      <w:pPr>
        <w:ind w:right="400"/>
        <w:spacing w:after="0" w:line="387" w:lineRule="auto"/>
        <w:rPr>
          <w:sz w:val="20"/>
          <w:szCs w:val="20"/>
          <w:color w:val="auto"/>
        </w:rPr>
      </w:pPr>
      <w:r>
        <w:rPr>
          <w:rFonts w:ascii="Arial" w:cs="Arial" w:eastAsia="Arial" w:hAnsi="Arial"/>
          <w:sz w:val="18"/>
          <w:szCs w:val="18"/>
          <w:color w:val="auto"/>
        </w:rPr>
        <w:t>Starting last quarter, the regional results reflect the core Weatherford businesses, while the Land Drilling Rigs business results are disclosed as a separate operating segment. Prior period numbers have been reclassified to conform to the current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 America</w:t>
      </w:r>
    </w:p>
    <w:p>
      <w:pPr>
        <w:spacing w:after="0" w:line="104"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Second quarter revenues of $808 million were down $355 million, or 30% sequentially (on an average rig count decline of 40%), and down $851 million, or 51%, over the same quarter in the prior year. Second quarter operating losses of $92 million were down $82 million sequentially and down $346 million from the same quarter in the prior year. The sequential decline in revenue is due to the continued decline in U.S. rig count, the seasonal spring break up in Canada and pricing pressure on all of our service and product offerings. Sequential decremental margins of 23% improved from the first quarter of 49% due to the impact of cost reduction efforts including the incremental headcount reductions announced last quarter that were concentrated in this region.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u w:val="single" w:color="auto"/>
          <w:color w:val="auto"/>
        </w:rPr>
        <w:t>International Operations</w:t>
      </w:r>
    </w:p>
    <w:p>
      <w:pPr>
        <w:spacing w:after="0" w:line="10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Second quarter revenues of $1.4 billion were down $39 million, or 3% sequentially, and down $261 million, or 16%, over the same quarter in the prior year. Second quarter operating income of $205 million (14.7% margin) was down $33 million sequentially and by $54 million from the same quarter in the prior year.</w:t>
      </w:r>
    </w:p>
    <w:p>
      <w:pPr>
        <w:spacing w:after="0" w:line="2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revenues of $463 million were down $23 million, or 5% sequentially, and down $55 million, or 11%, compared to the same quarter in the prior year. Second quarter operating income of $85 million (18.4% margin) was down 13% sequentially, and up 11%, compared to the same quarter in the prior year. The sequential revenue decline occurred primarily from lower activity across all product lines in Colombia. Operating income was directly impacted by the overall lower revenue in Colombia and in Well Construction.</w:t>
      </w:r>
    </w:p>
    <w:p>
      <w:pPr>
        <w:spacing w:after="0" w:line="28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17" w:lineRule="exact"/>
        <w:rPr>
          <w:sz w:val="20"/>
          <w:szCs w:val="20"/>
          <w:color w:val="auto"/>
        </w:rPr>
      </w:pPr>
    </w:p>
    <w:p>
      <w:pPr>
        <w:jc w:val="both"/>
        <w:spacing w:after="0" w:line="398" w:lineRule="auto"/>
        <w:rPr>
          <w:sz w:val="20"/>
          <w:szCs w:val="20"/>
          <w:color w:val="auto"/>
        </w:rPr>
      </w:pPr>
      <w:r>
        <w:rPr>
          <w:rFonts w:ascii="Arial" w:cs="Arial" w:eastAsia="Arial" w:hAnsi="Arial"/>
          <w:sz w:val="18"/>
          <w:szCs w:val="18"/>
          <w:color w:val="auto"/>
        </w:rPr>
        <w:t>Second quarter revenues of $418 million were up $1 million sequentially, and down $143 million, or 25%, over the same quarter in the prior year. Second quarter operating income of $65 million (15.7% margin) was down $6 million or 7% sequentially, and down 39% when compared to the same quarter in the prior year. Revenue decline from pricing pressure in Europe and Sub-Sahara Africa, was small and was offset by the seasonal recovery in Russia. Operating income was negatively affected by the project delays in Sub-Sahara Africa and remained relatively stable in Europe, while showing a gradual increase in Russia.</w:t>
      </w:r>
    </w:p>
    <w:p>
      <w:pPr>
        <w:spacing w:after="0" w:line="26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Second quarter revenues of $516 million were down $17 million, or 3% sequentially, and down $63 million, or 11%, over the same quarter in the prior year. Second quarter operating income of $55 million (10.6% margin) was down 21% sequentially and down 28% from the same quarter in the prior year. The revenue decline was attributable to lower activity from the early production facility contract in Iraq as well as from the shutdown of operations in Yemen. These declines were partially offset by increases in Kuwait and the United Arab Emirates. The slight decline in Asia Pacific revenues was due to lower customer spending in Malaysia and Indonesia, which was offset by growth in Australia and China. Operating income declined due to the lower revenue base and an unfavorable product mix, partially offset by continued cost reduction measures.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revenues of $185 million were down $10 million, or 6% sequentially, and down $209 million, or 53%, compared to the same quarter in the prior year. Second quarter operating income of $4 million (2.2% margin) was down $6 million sequentially with a 302 basis point decline and down $2 million from the same quarter in the prior year. The decline in international drilling activity negatively impacted sequential revenues particularly in Romania, Australia, and Bangladesh. Operating income as well as revenue levels decreased as rig utilization declined.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Free Cash Flow and Net Debt</w:t>
      </w:r>
    </w:p>
    <w:p>
      <w:pPr>
        <w:spacing w:after="0" w:line="200" w:lineRule="exact"/>
        <w:rPr>
          <w:sz w:val="20"/>
          <w:szCs w:val="20"/>
          <w:color w:val="auto"/>
        </w:rPr>
      </w:pPr>
    </w:p>
    <w:p>
      <w:pPr>
        <w:spacing w:after="0" w:line="21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Sequentially, net debt decreased by $107 million and working capital balances generated free cash of $110 million during the quarter, mainly reflecting improvements from strong customer collections. Free cash flow in the second quarter improved sequentially by $370 million, with lower working capital and capital expenditure, more than offsetting lower earnings. Free cash flow from operations generated $104 million in the second quarter and included net cash expenses of $13 million related to the legacy Zubair contract in Iraq, $39 million for severance costs paid during the quarter, and cash taxes and interest totaling $160 million. Capital expenditures of $160 million (net of lost-in-hole) in the second quarter were down sequentially by 18% and down 53% from the same quarter of the prior year, reflecting strong spending controls in place.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00" w:lineRule="exact"/>
        <w:rPr>
          <w:sz w:val="20"/>
          <w:szCs w:val="20"/>
          <w:color w:val="auto"/>
        </w:rPr>
      </w:pPr>
    </w:p>
    <w:p>
      <w:pPr>
        <w:spacing w:after="0" w:line="232" w:lineRule="exact"/>
        <w:rPr>
          <w:sz w:val="20"/>
          <w:szCs w:val="20"/>
          <w:color w:val="auto"/>
        </w:rPr>
      </w:pPr>
    </w:p>
    <w:p>
      <w:pPr>
        <w:jc w:val="both"/>
        <w:spacing w:after="0" w:line="421" w:lineRule="auto"/>
        <w:rPr>
          <w:sz w:val="20"/>
          <w:szCs w:val="20"/>
          <w:color w:val="auto"/>
        </w:rPr>
      </w:pPr>
      <w:r>
        <w:rPr>
          <w:rFonts w:ascii="Arial" w:cs="Arial" w:eastAsia="Arial" w:hAnsi="Arial"/>
          <w:sz w:val="17"/>
          <w:szCs w:val="17"/>
          <w:color w:val="auto"/>
        </w:rPr>
        <w:t>Because of the continuing weak North American market conditions, we plan to further reduce our cost structure to reflect the current environment. During the second quarter, we successfully completed substantially all of the previously announced headcount reduction of 10,000. The aggregate results of these measures will help mitigate the effects of the downturn, while at the same time, take advantage of the opportunity to develop a leaner structure and a tighter organization. This target has now been revised upward to 11,000 with the increase principally in the U.S with a focus on support positions. Our procurement savings initiative continues to be on track. In addition to our headcount reductions, this quarter, we closed three of our manufacturing and service facilities. We have also closed over 60 operating facilities across North America through the first half of 2015 and plan to close 30 more by the end of the year. All the while, quality, safety and reliability in execution will remain paramount.</w:t>
      </w:r>
    </w:p>
    <w:p>
      <w:pPr>
        <w:spacing w:after="0" w:line="26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Going forward, we expect positive free cash flow in the third and fourth quarters driven by further reductions in working capital balances, continued discipline on capital expenditure spending, reduced severance cash payments, and improved net income. The full year forecast for capital expenditures has now been further revised downwards by $100 million to $750 million, which is 48% lower than 2014 levels.</w:t>
      </w:r>
    </w:p>
    <w:p>
      <w:pPr>
        <w:spacing w:after="0" w:line="277"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Bernard J. Duroc-Danner, Chairman, President and Chief Executive Officer commented, “Market conditions will not improve significantly in the balance of the year. There will be modest activity increases in North America and selected international geographies but these will not be material. In this environment, we expect to grow market share internationally and benefit from better operating economics in the U.S. We expect to generate positive free cash flow from operations on a full year basis due to our cost actions, continued focus on working capital, reduced capital expenditures, and higher net income levels in the second half of the year.</w:t>
      </w:r>
    </w:p>
    <w:p>
      <w:pPr>
        <w:spacing w:after="0" w:line="285"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Lastly, our cost reduction objectives, both cyclical and structural, are targeted globally. Based on our 2015 reduction in force actions, we now expect annualized savings of over $700 million. As we emerge gradually from this industry down cycle, we expect to operate as a much leaner, more efficient and streamlined organization.”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Reclassifications and Non-GAAP Financial Measures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Reclassifications have been made among the Company’s reportable segments due to a reorganization of our business into five reportable segments. All prior periods have been restated to conform to the current presentation within the Condensed Consolidated Statements of Operations and other financial information in the following pages.</w:t>
      </w:r>
    </w:p>
    <w:p>
      <w:pPr>
        <w:spacing w:after="0" w:line="277"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Unless explicitly stated to the contrary, all financial measures used throughout this document are non-GAAP. Corresponding reconciliations to GAAP financial measures have been provided in the following pages to offer meaningful comparisons between current results and results in prior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Weatherford is one of the largest multinational oilfield service companies providing innovative solutions, technology and services to the oil and gas industry. The Company operates in over 100 countries and has a network of approximately 1,350 locations, including manufacturing, service, research and development, and training facilities and employs approximately 45,000 people. For more information, visit www.weatherford.com.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Company will host a conference call with financial analysts to discuss the quarterly results on July 23, 2015, at 8:30 a.m. eastern daylight time (EDT), 7:30 a.m. central daylight time (CDT). Weatherford invites investors to listen to the call live via the Company’s website, www.weatherford.com,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080" w:type="dxa"/>
            <w:vAlign w:val="bottom"/>
          </w:tcPr>
          <w:p>
            <w:pPr>
              <w:jc w:val="right"/>
              <w:ind w:right="2330"/>
              <w:spacing w:after="0"/>
              <w:rPr>
                <w:sz w:val="20"/>
                <w:szCs w:val="20"/>
                <w:color w:val="auto"/>
              </w:rPr>
            </w:pPr>
            <w:r>
              <w:rPr>
                <w:rFonts w:ascii="Arial" w:cs="Arial" w:eastAsia="Arial" w:hAnsi="Arial"/>
                <w:sz w:val="18"/>
                <w:szCs w:val="18"/>
                <w:color w:val="auto"/>
              </w:rPr>
              <w:t># # #</w:t>
            </w:r>
          </w:p>
        </w:tc>
        <w:tc>
          <w:tcPr>
            <w:tcW w:w="198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08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8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Vice President – Investor Relations and Corporate Communications</w:t>
            </w:r>
          </w:p>
        </w:tc>
        <w:tc>
          <w:tcPr>
            <w:tcW w:w="198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6080" w:type="dxa"/>
            <w:vAlign w:val="bottom"/>
          </w:tcPr>
          <w:p>
            <w:pPr>
              <w:jc w:val="right"/>
              <w:ind w:right="2470"/>
              <w:spacing w:after="0"/>
              <w:rPr>
                <w:sz w:val="20"/>
                <w:szCs w:val="20"/>
                <w:color w:val="auto"/>
              </w:rPr>
            </w:pPr>
            <w:r>
              <w:rPr>
                <w:rFonts w:ascii="Arial" w:cs="Arial" w:eastAsia="Arial" w:hAnsi="Arial"/>
                <w:sz w:val="18"/>
                <w:szCs w:val="18"/>
                <w:color w:val="auto"/>
              </w:rPr>
              <w:t>6</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7"/>
          <w:szCs w:val="17"/>
          <w:color w:val="1F497D"/>
        </w:rPr>
        <w:t>e</w:t>
      </w:r>
      <w:r>
        <w:rPr>
          <w:rFonts w:ascii="Arial" w:cs="Arial" w:eastAsia="Arial" w:hAnsi="Arial"/>
          <w:sz w:val="17"/>
          <w:szCs w:val="17"/>
          <w:color w:val="auto"/>
        </w:rPr>
        <w:t>, effective tax rate, free cash flow, net debt,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Company’s ability to implement the planned workforce reductions; possible changes in the size and components of the expected costs, savings and charges associated with prior and ongoing workforce reduction; and risks associated with the Company’s ability to achieve the benefits of such workforce reductions. Forward-looking statements are also affected by the risk factors described in the Company’s Annual Report on Form 10-K for the year ended December 31, 2014,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8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6/30/2014</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3,269</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r>
      <w:tr>
        <w:trPr>
          <w:trHeight w:val="237"/>
        </w:trPr>
        <w:tc>
          <w:tcPr>
            <w:tcW w:w="6180" w:type="dxa"/>
            <w:vAlign w:val="bottom"/>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6,571</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r>
      <w:tr>
        <w:trPr>
          <w:trHeight w:val="237"/>
        </w:trPr>
        <w:tc>
          <w:tcPr>
            <w:tcW w:w="6180" w:type="dxa"/>
            <w:vAlign w:val="bottom"/>
          </w:tcPr>
          <w:p>
            <w:pPr>
              <w:ind w:left="40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7,307</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Impairments and Other Charges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97"/>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Foreign Exchange Related Charges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97"/>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91"/>
        </w:trPr>
        <w:tc>
          <w:tcPr>
            <w:tcW w:w="6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84"/>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Basic &amp;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6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&amp; Diluted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r>
      <w:tr>
        <w:trPr>
          <w:trHeight w:val="27"/>
        </w:trPr>
        <w:tc>
          <w:tcPr>
            <w:tcW w:w="6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ind w:right="150"/>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3"/>
          </w:tcPr>
          <w:p>
            <w:pPr>
              <w:jc w:val="right"/>
              <w:ind w:right="11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6/30/2015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37"/>
        </w:trPr>
        <w:tc>
          <w:tcPr>
            <w:tcW w:w="470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3,711</w:t>
            </w: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6/30/2015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3/31/2015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6/30/2014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Middle East/North Africa/Asia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Businesses and Investments,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Impairments and Other Charges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gridSpan w:val="6"/>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6/30/2015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1,855</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gridSpan w:val="6"/>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6/30/2015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Wireline Services, Testing and Production Services, Re-entry and Fishing, Cementing, Liner Systems, Integrated Laboratory Services and Surface Logging.</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both"/>
        <w:spacing w:after="0" w:line="304"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6/30/2015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3/31/2015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6/30/2014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6/30/2015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6/30/2014</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GAAP Operating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155</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Exited Businesses and Severance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r>
      <w:tr>
        <w:trPr>
          <w:trHeight w:val="270"/>
        </w:trPr>
        <w:tc>
          <w:tcPr>
            <w:tcW w:w="48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Impairments, Divestiture Related and Other Charges </w:t>
            </w:r>
            <w:r>
              <w:rPr>
                <w:rFonts w:ascii="Arial" w:cs="Arial" w:eastAsia="Arial" w:hAnsi="Arial"/>
                <w:sz w:val="25"/>
                <w:szCs w:val="25"/>
                <w:color w:val="auto"/>
                <w:vertAlign w:val="superscript"/>
              </w:rPr>
              <w:t>(a)</w:t>
            </w:r>
          </w:p>
        </w:tc>
        <w:tc>
          <w:tcPr>
            <w:tcW w:w="16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312</w:t>
            </w: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Legacy Contracts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Litigation Charges</w:t>
            </w: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Non-GAAP 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530</w:t>
            </w:r>
          </w:p>
        </w:tc>
      </w:tr>
      <w:tr>
        <w:trPr>
          <w:trHeight w:val="297"/>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685</w:t>
            </w:r>
          </w:p>
        </w:tc>
      </w:tr>
      <w:tr>
        <w:trPr>
          <w:trHeight w:val="284"/>
        </w:trPr>
        <w:tc>
          <w:tcPr>
            <w:tcW w:w="4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Loss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Operating Income Adjustments</w:t>
            </w: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530</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Related Charges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Income (Loss)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403</w:t>
            </w:r>
          </w:p>
        </w:tc>
      </w:tr>
      <w:tr>
        <w:trPr>
          <w:trHeight w:val="284"/>
        </w:trPr>
        <w:tc>
          <w:tcPr>
            <w:tcW w:w="4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Benefit (Provision)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Tax Effect on Non-GAAP Adjustments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Benefit (Provision)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GAAP 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(186)</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Charges,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471</w:t>
            </w:r>
          </w:p>
        </w:tc>
      </w:tr>
      <w:tr>
        <w:trPr>
          <w:trHeight w:val="297"/>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285</w:t>
            </w:r>
          </w:p>
        </w:tc>
      </w:tr>
      <w:tr>
        <w:trPr>
          <w:trHeight w:val="284"/>
        </w:trPr>
        <w:tc>
          <w:tcPr>
            <w:tcW w:w="4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5"/>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Diluted Earnings (Loss) Per Share Attributable to</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Weatherford:</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Diluted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(0.24)</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Total Charges, net of tax</w:t>
            </w: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0.60</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Diluted Earnings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0.36</w:t>
            </w: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8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(b)</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328"/>
        </w:trPr>
        <w:tc>
          <w:tcPr>
            <w:tcW w:w="4860" w:type="dxa"/>
            <w:vAlign w:val="bottom"/>
          </w:tcPr>
          <w:p>
            <w:pPr>
              <w:ind w:left="180"/>
              <w:spacing w:after="0"/>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(c)</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24 %</w:t>
            </w:r>
          </w:p>
        </w:tc>
      </w:tr>
    </w:tbl>
    <w:p>
      <w:pPr>
        <w:jc w:val="both"/>
        <w:ind w:left="260" w:hanging="252"/>
        <w:spacing w:after="0" w:line="246"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Impairments, Divestiture Related and Other Charges of $223 million in the three months ended June 30, 2015 primarily include adjustments related to (i) the impairment of pressure pumping assets and related charges in the United States, (ii) the impairment of an equity method investment, (iii) professional fees, and true-ups related to our 2014 divestiture activity.</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GAAP Effective Tax Rate is the GAAP provision for income taxes divided by GAAP income before income taxes.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9"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9"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6/30/2014</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7,677</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3,335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3,451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3,663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Current Assets Held for Sale</w:t>
            </w:r>
          </w:p>
        </w:tc>
        <w:tc>
          <w:tcPr>
            <w:tcW w:w="2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1,556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7,021</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Current Liabilities Held for Sale</w:t>
            </w:r>
          </w:p>
        </w:tc>
        <w:tc>
          <w:tcPr>
            <w:tcW w:w="2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2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6/30/2015: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3/31/2015</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(7,320)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Goodwill &amp; Long-Lived Asset Impairment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Restructuring and Other Asset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Foreign Exchange Related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6/30/2015</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Six Months Ended 6/30/2015: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12/31/2014</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(7,051)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627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Goodwill &amp; Long-Lived Asset Impairment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Restructuring and Other Asset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Foreign Exchange Related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6/30/2015</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7"/>
        </w:trPr>
        <w:tc>
          <w:tcPr>
            <w:tcW w:w="68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0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6/30/2015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3/31/2015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12/31/2014</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(6,798)</w:t>
            </w:r>
          </w:p>
        </w:tc>
      </w:tr>
      <w:tr>
        <w:trPr>
          <w:trHeight w:val="257"/>
        </w:trPr>
        <w:tc>
          <w:tcPr>
            <w:tcW w:w="684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(7,051)</w:t>
            </w: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60" w:right="20"/>
        <w:spacing w:after="0" w:line="275" w:lineRule="auto"/>
        <w:rPr>
          <w:sz w:val="20"/>
          <w:szCs w:val="20"/>
          <w:color w:val="auto"/>
        </w:rPr>
      </w:pPr>
      <w:r>
        <w:rPr>
          <w:rFonts w:ascii="Arial" w:cs="Arial" w:eastAsia="Arial" w:hAnsi="Arial"/>
          <w:sz w:val="16"/>
          <w:szCs w:val="16"/>
          <w:color w:val="auto"/>
        </w:rPr>
        <w:t>“Net Debt” is defined as debt less cash. Management believes that Net Debt provides useful information regarding the level of Weatherford indebtedness by reflecting cash that could be used to repay debt.</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Working capital is defined as accounts receivable plus inventory less accounts payable.</w:t>
      </w:r>
    </w:p>
    <w:p>
      <w:pPr>
        <w:sectPr>
          <w:pgSz w:w="11900" w:h="16838" w:orient="portrait"/>
          <w:cols w:equalWidth="0" w:num="1">
            <w:col w:w="11400"/>
          </w:cols>
          <w:pgMar w:left="260" w:top="742"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2" w:right="239" w:bottom="1440" w:gutter="0" w:footer="0" w:header="0"/>
          <w:type w:val="continuous"/>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6/30/2015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3/31/2015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6/30/2014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6/30/2015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6/30/2014</w:t>
            </w: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324"/>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318"/>
        </w:trPr>
        <w:tc>
          <w:tcPr>
            <w:tcW w:w="5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Free Cash Flow: 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2019-12-09T04:47:52Z</dcterms:created>
  <dcterms:modified xsi:type="dcterms:W3CDTF">2019-12-09T04:47:52Z</dcterms:modified>
</cp:coreProperties>
</file>