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758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1420" w:type="dxa"/>
            <w:vAlign w:val="bottom"/>
          </w:tcPr>
          <w:p>
            <w:pPr>
              <w:jc w:val="center"/>
              <w:ind w:left="8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7580" w:type="dxa"/>
            <w:vAlign w:val="bottom"/>
          </w:tcPr>
          <w:p>
            <w:pPr>
              <w:jc w:val="center"/>
              <w:ind w:right="5337"/>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1420" w:type="dxa"/>
            <w:vAlign w:val="bottom"/>
          </w:tcPr>
          <w:p>
            <w:pPr>
              <w:jc w:val="center"/>
              <w:ind w:left="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7580" w:type="dxa"/>
            <w:vAlign w:val="bottom"/>
          </w:tcPr>
          <w:p>
            <w:pPr>
              <w:jc w:val="center"/>
              <w:ind w:right="5337"/>
              <w:spacing w:after="0"/>
              <w:rPr>
                <w:sz w:val="20"/>
                <w:szCs w:val="20"/>
                <w:color w:val="auto"/>
              </w:rPr>
            </w:pPr>
            <w:r>
              <w:rPr>
                <w:rFonts w:ascii="Arial" w:cs="Arial" w:eastAsia="Arial" w:hAnsi="Arial"/>
                <w:sz w:val="13"/>
                <w:szCs w:val="13"/>
                <w:b w:val="1"/>
                <w:bCs w:val="1"/>
                <w:color w:val="auto"/>
                <w:w w:val="88"/>
              </w:rPr>
              <w:t>incorporation or organization)</w:t>
            </w:r>
          </w:p>
        </w:tc>
        <w:tc>
          <w:tcPr>
            <w:tcW w:w="1420" w:type="dxa"/>
            <w:vAlign w:val="bottom"/>
          </w:tcPr>
          <w:p>
            <w:pPr>
              <w:jc w:val="center"/>
              <w:ind w:left="86"/>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7580" w:type="dxa"/>
            <w:vAlign w:val="bottom"/>
          </w:tcPr>
          <w:p>
            <w:pPr>
              <w:jc w:val="center"/>
              <w:ind w:right="5337"/>
              <w:spacing w:after="0"/>
              <w:rPr>
                <w:sz w:val="20"/>
                <w:szCs w:val="20"/>
                <w:color w:val="auto"/>
              </w:rPr>
            </w:pPr>
            <w:r>
              <w:rPr>
                <w:rFonts w:ascii="Arial" w:cs="Arial" w:eastAsia="Arial" w:hAnsi="Arial"/>
                <w:sz w:val="18"/>
                <w:szCs w:val="18"/>
                <w:b w:val="1"/>
                <w:bCs w:val="1"/>
                <w:color w:val="auto"/>
                <w:w w:val="87"/>
              </w:rPr>
              <w:t>Bahnhofstrasse 1</w:t>
            </w:r>
          </w:p>
        </w:tc>
        <w:tc>
          <w:tcPr>
            <w:tcW w:w="1420" w:type="dxa"/>
            <w:vAlign w:val="bottom"/>
          </w:tcPr>
          <w:p>
            <w:pPr>
              <w:spacing w:after="0"/>
              <w:rPr>
                <w:sz w:val="20"/>
                <w:szCs w:val="20"/>
                <w:color w:val="auto"/>
              </w:rPr>
            </w:pPr>
          </w:p>
        </w:tc>
      </w:tr>
      <w:tr>
        <w:trPr>
          <w:trHeight w:val="216"/>
        </w:trPr>
        <w:tc>
          <w:tcPr>
            <w:tcW w:w="7580" w:type="dxa"/>
            <w:vAlign w:val="bottom"/>
          </w:tcPr>
          <w:p>
            <w:pPr>
              <w:jc w:val="center"/>
              <w:ind w:right="5337"/>
              <w:spacing w:after="0"/>
              <w:rPr>
                <w:sz w:val="20"/>
                <w:szCs w:val="20"/>
                <w:color w:val="auto"/>
              </w:rPr>
            </w:pPr>
            <w:r>
              <w:rPr>
                <w:rFonts w:ascii="Arial" w:cs="Arial" w:eastAsia="Arial" w:hAnsi="Arial"/>
                <w:sz w:val="18"/>
                <w:szCs w:val="18"/>
                <w:b w:val="1"/>
                <w:bCs w:val="1"/>
                <w:color w:val="auto"/>
                <w:w w:val="90"/>
              </w:rPr>
              <w:t>6340 Baar, Switzerland</w:t>
            </w:r>
          </w:p>
        </w:tc>
        <w:tc>
          <w:tcPr>
            <w:tcW w:w="1420" w:type="dxa"/>
            <w:vAlign w:val="bottom"/>
          </w:tcPr>
          <w:p>
            <w:pPr>
              <w:jc w:val="center"/>
              <w:ind w:left="86"/>
              <w:spacing w:after="0"/>
              <w:rPr>
                <w:sz w:val="20"/>
                <w:szCs w:val="20"/>
                <w:color w:val="auto"/>
              </w:rPr>
            </w:pPr>
            <w:r>
              <w:rPr>
                <w:rFonts w:ascii="Arial" w:cs="Arial" w:eastAsia="Arial" w:hAnsi="Arial"/>
                <w:sz w:val="18"/>
                <w:szCs w:val="18"/>
                <w:b w:val="1"/>
                <w:bCs w:val="1"/>
                <w:color w:val="auto"/>
                <w:w w:val="96"/>
              </w:rPr>
              <w:t>N/A</w:t>
            </w:r>
          </w:p>
        </w:tc>
      </w:tr>
      <w:tr>
        <w:trPr>
          <w:trHeight w:val="164"/>
        </w:trPr>
        <w:tc>
          <w:tcPr>
            <w:tcW w:w="7580" w:type="dxa"/>
            <w:vAlign w:val="bottom"/>
          </w:tcPr>
          <w:p>
            <w:pPr>
              <w:jc w:val="center"/>
              <w:ind w:right="5337"/>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420" w:type="dxa"/>
            <w:vAlign w:val="bottom"/>
          </w:tcPr>
          <w:p>
            <w:pPr>
              <w:jc w:val="center"/>
              <w:ind w:left="86"/>
              <w:spacing w:after="0"/>
              <w:rPr>
                <w:sz w:val="20"/>
                <w:szCs w:val="20"/>
                <w:color w:val="auto"/>
              </w:rPr>
            </w:pPr>
            <w:r>
              <w:rPr>
                <w:rFonts w:ascii="Arial" w:cs="Arial" w:eastAsia="Arial" w:hAnsi="Arial"/>
                <w:sz w:val="13"/>
                <w:szCs w:val="13"/>
                <w:b w:val="1"/>
                <w:bCs w:val="1"/>
                <w:color w:val="auto"/>
                <w:w w:val="90"/>
              </w:rPr>
              <w:t>(Zip Code)</w:t>
            </w:r>
          </w:p>
        </w:tc>
      </w:tr>
      <w:tr>
        <w:trPr>
          <w:trHeight w:val="448"/>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2"/>
              </w:rPr>
              <w:t>Weatherford International plc 2010 Omnibus Incentive Plan</w:t>
            </w:r>
          </w:p>
        </w:tc>
        <w:tc>
          <w:tcPr>
            <w:tcW w:w="1420" w:type="dxa"/>
            <w:vAlign w:val="bottom"/>
          </w:tcPr>
          <w:p>
            <w:pPr>
              <w:spacing w:after="0"/>
              <w:rPr>
                <w:sz w:val="24"/>
                <w:szCs w:val="24"/>
                <w:color w:val="auto"/>
              </w:rPr>
            </w:pPr>
          </w:p>
        </w:tc>
      </w:tr>
      <w:tr>
        <w:trPr>
          <w:trHeight w:val="270"/>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93"/>
              </w:rPr>
              <w:t>(f/k/a Weatherford International Ltd. 2010 Omnibus Incentive Plan)</w:t>
            </w:r>
          </w:p>
        </w:tc>
        <w:tc>
          <w:tcPr>
            <w:tcW w:w="1420" w:type="dxa"/>
            <w:vAlign w:val="bottom"/>
          </w:tcPr>
          <w:p>
            <w:pPr>
              <w:spacing w:after="0"/>
              <w:rPr>
                <w:sz w:val="23"/>
                <w:szCs w:val="23"/>
                <w:color w:val="auto"/>
              </w:rPr>
            </w:pPr>
          </w:p>
        </w:tc>
      </w:tr>
      <w:tr>
        <w:trPr>
          <w:trHeight w:val="184"/>
        </w:trPr>
        <w:tc>
          <w:tcPr>
            <w:tcW w:w="7580" w:type="dxa"/>
            <w:vAlign w:val="bottom"/>
          </w:tcPr>
          <w:p>
            <w:pPr>
              <w:jc w:val="center"/>
              <w:ind w:left="1877"/>
              <w:spacing w:after="0"/>
              <w:rPr>
                <w:sz w:val="20"/>
                <w:szCs w:val="20"/>
                <w:color w:val="auto"/>
              </w:rPr>
            </w:pPr>
            <w:r>
              <w:rPr>
                <w:rFonts w:ascii="Arial" w:cs="Arial" w:eastAsia="Arial" w:hAnsi="Arial"/>
                <w:sz w:val="13"/>
                <w:szCs w:val="13"/>
                <w:b w:val="1"/>
                <w:bCs w:val="1"/>
                <w:color w:val="auto"/>
                <w:w w:val="89"/>
              </w:rPr>
              <w:t>(Full title of the plan)</w:t>
            </w:r>
          </w:p>
        </w:tc>
        <w:tc>
          <w:tcPr>
            <w:tcW w:w="1420" w:type="dxa"/>
            <w:vAlign w:val="bottom"/>
          </w:tcPr>
          <w:p>
            <w:pPr>
              <w:spacing w:after="0"/>
              <w:rPr>
                <w:sz w:val="16"/>
                <w:szCs w:val="16"/>
                <w:color w:val="auto"/>
              </w:rPr>
            </w:pPr>
          </w:p>
        </w:tc>
      </w:tr>
      <w:tr>
        <w:trPr>
          <w:trHeight w:val="234"/>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9"/>
              </w:rPr>
              <w:t>___________________________________________</w:t>
            </w:r>
          </w:p>
        </w:tc>
        <w:tc>
          <w:tcPr>
            <w:tcW w:w="1420" w:type="dxa"/>
            <w:vAlign w:val="bottom"/>
          </w:tcPr>
          <w:p>
            <w:pPr>
              <w:spacing w:after="0"/>
              <w:rPr>
                <w:sz w:val="20"/>
                <w:szCs w:val="20"/>
                <w:color w:val="auto"/>
              </w:rPr>
            </w:pPr>
          </w:p>
        </w:tc>
      </w:tr>
      <w:tr>
        <w:trPr>
          <w:trHeight w:val="414"/>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0"/>
              </w:rPr>
              <w:t>Alejandro Cestero</w:t>
            </w:r>
          </w:p>
        </w:tc>
        <w:tc>
          <w:tcPr>
            <w:tcW w:w="1420" w:type="dxa"/>
            <w:vAlign w:val="bottom"/>
          </w:tcPr>
          <w:p>
            <w:pPr>
              <w:spacing w:after="0"/>
              <w:rPr>
                <w:sz w:val="24"/>
                <w:szCs w:val="24"/>
                <w:color w:val="auto"/>
              </w:rPr>
            </w:pPr>
          </w:p>
        </w:tc>
      </w:tr>
      <w:tr>
        <w:trPr>
          <w:trHeight w:val="216"/>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93"/>
              </w:rPr>
              <w:t>Weatherford International plc</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0"/>
              </w:rPr>
              <w:t>Vice President, Co-General Counsel and Corporate Secretary</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7"/>
              </w:rPr>
              <w:t>2000 St. James Place</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7"/>
              </w:rPr>
              <w:t>Houston, Texas 77056</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0"/>
              </w:rPr>
              <w:t>(713) 836-4000</w:t>
            </w:r>
          </w:p>
        </w:tc>
        <w:tc>
          <w:tcPr>
            <w:tcW w:w="1420" w:type="dxa"/>
            <w:vAlign w:val="bottom"/>
          </w:tcPr>
          <w:p>
            <w:pPr>
              <w:spacing w:after="0"/>
              <w:rPr>
                <w:sz w:val="18"/>
                <w:szCs w:val="18"/>
                <w:color w:val="auto"/>
              </w:rPr>
            </w:pPr>
          </w:p>
        </w:tc>
      </w:tr>
      <w:tr>
        <w:trPr>
          <w:trHeight w:val="148"/>
        </w:trPr>
        <w:tc>
          <w:tcPr>
            <w:tcW w:w="7580" w:type="dxa"/>
            <w:vAlign w:val="bottom"/>
          </w:tcPr>
          <w:p>
            <w:pPr>
              <w:jc w:val="center"/>
              <w:ind w:left="1877"/>
              <w:spacing w:after="0" w:line="149" w:lineRule="exact"/>
              <w:rPr>
                <w:sz w:val="20"/>
                <w:szCs w:val="20"/>
                <w:color w:val="auto"/>
              </w:rPr>
            </w:pPr>
            <w:r>
              <w:rPr>
                <w:rFonts w:ascii="Arial" w:cs="Arial" w:eastAsia="Arial" w:hAnsi="Arial"/>
                <w:sz w:val="13"/>
                <w:szCs w:val="13"/>
                <w:b w:val="1"/>
                <w:bCs w:val="1"/>
                <w:color w:val="auto"/>
                <w:w w:val="85"/>
              </w:rPr>
              <w:t>(Name, address and telephone number, including area code, of agent for service)</w:t>
            </w:r>
          </w:p>
        </w:tc>
        <w:tc>
          <w:tcPr>
            <w:tcW w:w="1420" w:type="dxa"/>
            <w:vAlign w:val="bottom"/>
          </w:tcPr>
          <w:p>
            <w:pPr>
              <w:spacing w:after="0"/>
              <w:rPr>
                <w:sz w:val="12"/>
                <w:szCs w:val="12"/>
                <w:color w:val="auto"/>
              </w:rPr>
            </w:pPr>
          </w:p>
        </w:tc>
      </w:tr>
      <w:tr>
        <w:trPr>
          <w:trHeight w:val="234"/>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9"/>
              </w:rPr>
              <w:t>___________________________________________</w:t>
            </w:r>
          </w:p>
        </w:tc>
        <w:tc>
          <w:tcPr>
            <w:tcW w:w="142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4" w:lineRule="exact"/>
        <w:rPr>
          <w:sz w:val="24"/>
          <w:szCs w:val="24"/>
          <w:color w:val="auto"/>
        </w:rPr>
      </w:pPr>
    </w:p>
    <w:tbl>
      <w:tblPr>
        <w:tblLayout w:type="fixed"/>
        <w:tblInd w:w="420" w:type="dxa"/>
        <w:tblCellMar>
          <w:top w:w="0" w:type="dxa"/>
          <w:left w:w="0" w:type="dxa"/>
          <w:bottom w:w="0" w:type="dxa"/>
          <w:right w:w="0" w:type="dxa"/>
        </w:tblCellMar>
      </w:tblPr>
      <w:tr>
        <w:trPr>
          <w:trHeight w:val="235"/>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40" w:type="dxa"/>
            <w:vAlign w:val="bottom"/>
          </w:tcPr>
          <w:p>
            <w:pPr>
              <w:ind w:left="320"/>
              <w:spacing w:after="0"/>
              <w:rPr>
                <w:sz w:val="20"/>
                <w:szCs w:val="20"/>
                <w:color w:val="auto"/>
              </w:rPr>
            </w:pPr>
            <w:r>
              <w:rPr>
                <w:rFonts w:ascii="Arial" w:cs="Arial" w:eastAsia="Arial" w:hAnsi="Arial"/>
                <w:sz w:val="18"/>
                <w:szCs w:val="18"/>
                <w:color w:val="auto"/>
              </w:rPr>
              <w:t>x</w:t>
            </w:r>
          </w:p>
        </w:tc>
        <w:tc>
          <w:tcPr>
            <w:tcW w:w="322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o</w:t>
            </w:r>
          </w:p>
        </w:tc>
      </w:tr>
      <w:tr>
        <w:trPr>
          <w:trHeight w:val="500"/>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32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322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o</w:t>
            </w: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This Post-Effective Amendment No. 1 to Registration Statement on Form S-8, Registration No. 333-181664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7"/>
          <w:szCs w:val="17"/>
          <w:color w:val="auto"/>
        </w:rPr>
        <w:t>‑</w:t>
      </w:r>
      <w:r>
        <w:rPr>
          <w:rFonts w:ascii="Arial" w:cs="Arial" w:eastAsia="Arial" w:hAnsi="Arial"/>
          <w:sz w:val="17"/>
          <w:szCs w:val="17"/>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Weatherford International plc 2010 Omnibus Incentive Plan (f/k/a Weatherford International Ltd. 2010 Omnibus Incentive Plan) (the “Plan”). Consequently, ordinary shares of Weatherford Ireland will henceforth be issuable under the Plan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70" w:lineRule="exact"/>
        <w:rPr>
          <w:sz w:val="20"/>
          <w:szCs w:val="20"/>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Commission on February 25, 2014;</w:t>
      </w:r>
    </w:p>
    <w:p>
      <w:pPr>
        <w:spacing w:after="0" w:line="8"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Commission on April 16, 2014;</w:t>
      </w:r>
    </w:p>
    <w:p>
      <w:pPr>
        <w:spacing w:after="0" w:line="8"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Commission on April 29, 2014;</w:t>
      </w:r>
    </w:p>
    <w:p>
      <w:pPr>
        <w:spacing w:after="0" w:line="86"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9"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8" w:lineRule="exact"/>
        <w:rPr>
          <w:rFonts w:ascii="Arial" w:cs="Arial" w:eastAsia="Arial" w:hAnsi="Arial"/>
          <w:sz w:val="18"/>
          <w:szCs w:val="18"/>
          <w:color w:val="auto"/>
        </w:rPr>
      </w:pPr>
    </w:p>
    <w:p>
      <w:pPr>
        <w:ind w:left="66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Commission on June 17, 2014.</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or which deregisters all securities then remaining unsold, shall be deemed to be incorporated by reference in this Registration Statement and to be a part hereof from the date of filing of such documents.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Weatherford International plc 2010 Omnibus Incentive Plan (as Amended and Restated) (incorporated by reference to Exhibit 10.6</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Form or Restricted Share Unit Award Agreement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10.7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Form of Performance Unit Award Agreement pursuant to Weatherford International plc 2010 Omnibus Incentive Plan (incorporated</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by reference to Exhibit 10.8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Form of Restricted Share Unit Award Agreement - U.K.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10.9 to Weatherford International plc’s Current Report on Form 8-K filed on June 17, 2014).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63" w:lineRule="exact"/>
        <w:rPr>
          <w:rFonts w:ascii="Arial" w:cs="Arial" w:eastAsia="Arial" w:hAnsi="Arial"/>
          <w:sz w:val="18"/>
          <w:szCs w:val="18"/>
          <w:color w:val="auto"/>
        </w:rPr>
      </w:pPr>
    </w:p>
    <w:p>
      <w:pPr>
        <w:jc w:val="both"/>
        <w:ind w:left="1960" w:hanging="331"/>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Arial" w:cs="Arial" w:eastAsia="Arial" w:hAnsi="Arial"/>
          <w:sz w:val="16"/>
          <w:szCs w:val="16"/>
          <w:color w:val="auto"/>
        </w:rPr>
      </w:pPr>
    </w:p>
    <w:p>
      <w:pPr>
        <w:jc w:val="both"/>
        <w:ind w:left="1960" w:hanging="331"/>
        <w:spacing w:after="0" w:line="27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0" w:lineRule="exact"/>
        <w:rPr>
          <w:rFonts w:ascii="Arial" w:cs="Arial" w:eastAsia="Arial" w:hAnsi="Arial"/>
          <w:sz w:val="17"/>
          <w:szCs w:val="17"/>
          <w:color w:val="auto"/>
        </w:rPr>
      </w:pPr>
    </w:p>
    <w:p>
      <w:pPr>
        <w:jc w:val="both"/>
        <w:ind w:left="1300" w:hanging="320"/>
        <w:spacing w:after="0" w:line="221"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w:t>
      </w:r>
    </w:p>
    <w:p>
      <w:pPr>
        <w:sectPr>
          <w:pgSz w:w="11900" w:h="16838" w:orient="portrait"/>
          <w:cols w:equalWidth="0" w:num="1">
            <w:col w:w="11420"/>
          </w:cols>
          <w:pgMar w:left="240" w:top="580" w:right="239" w:bottom="1440" w:gutter="0" w:footer="0" w:header="0"/>
        </w:sectPr>
      </w:pPr>
    </w:p>
    <w:bookmarkStart w:id="4" w:name="page5"/>
    <w:bookmarkEnd w:id="4"/>
    <w:p>
      <w:pPr>
        <w:jc w:val="both"/>
        <w:ind w:left="328"/>
        <w:spacing w:after="0" w:line="305" w:lineRule="auto"/>
        <w:rPr>
          <w:sz w:val="20"/>
          <w:szCs w:val="20"/>
          <w:color w:val="auto"/>
        </w:rPr>
      </w:pPr>
      <w:r>
        <w:rPr>
          <w:rFonts w:ascii="Arial" w:cs="Arial" w:eastAsia="Arial" w:hAnsi="Arial"/>
          <w:sz w:val="18"/>
          <w:szCs w:val="18"/>
          <w:color w:val="auto"/>
        </w:rPr>
        <w:t>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 w:lineRule="exact"/>
        <w:rPr>
          <w:sz w:val="20"/>
          <w:szCs w:val="20"/>
          <w:color w:val="auto"/>
        </w:rPr>
      </w:pPr>
    </w:p>
    <w:p>
      <w:pPr>
        <w:jc w:val="both"/>
        <w:ind w:left="328" w:hanging="328"/>
        <w:spacing w:after="0" w:line="25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88"/>
          </w:cols>
          <w:pgMar w:left="572"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Arial" w:cs="Arial" w:eastAsia="Arial" w:hAnsi="Arial"/>
          <w:sz w:val="18"/>
          <w:szCs w:val="18"/>
          <w:color w:val="auto"/>
        </w:rPr>
        <w:t>Effective Amendment No. 1 to the Registration Statement to be signed on its behalf by the undersigned, thereunto duly authorized, in the City of Houston, State of Texas on June 17, 2014.</w:t>
      </w: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S-8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34290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Arial" w:cs="Arial" w:eastAsia="Arial" w:hAnsi="Arial"/>
          <w:sz w:val="16"/>
          <w:szCs w:val="16"/>
          <w:u w:val="single" w:color="auto"/>
          <w:color w:val="auto"/>
        </w:rPr>
        <w:t>/s/Dr. Bernard J. Duroc-Danner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Dr. Bernard J. Duroc-Danner</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/s/Krishna Shivram</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Krishna Shivram</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/s/Douglas M. Mills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Douglas M. Mills</w:t>
      </w:r>
    </w:p>
    <w:p>
      <w:pPr>
        <w:spacing w:after="0" w:line="49"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/s/David J. Butters</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David J. Butters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/s/John D. Gass</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Gass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/s/Francis S. Kalman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Francis S. Kalman</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/s/William E. Macaulay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E. Macaulay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K. Moses,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K. Moses, Jr.</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/s/Dr. Guillermo Ortiz</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Dr. Guillermo Ortiz</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/s/Sir Emyr Jones Parry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Sir Emyr Jones Parry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A. Rayne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A. Rayne</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/s/Alejandro Cestero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760" w:space="720"/>
            <w:col w:w="6940"/>
          </w:cols>
          <w:pgMar w:left="240" w:top="58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Weatherford International plc 2010 Omnibus Incentive Plan (as Amended and Restated) (incorporated by reference to Exhibit 10.6</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Form or Restricted Share Unit Award Agreement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10.7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Form of Performance Unit Award Agreement pursuant to Weatherford International plc 2010 Omnibus Incentive Plan (incorporated</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by reference to Exhibit 10.8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Form of Restricted Share Unit Award Agreement - U.K.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10.9 to Weatherford International plc’s Current Report on Form 8-K filed on June 17, 2014).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ectPr>
          <w:pgSz w:w="11900" w:h="16838" w:orient="portrait"/>
          <w:cols w:equalWidth="0" w:num="1">
            <w:col w:w="11420"/>
          </w:cols>
          <w:pgMar w:left="240" w:top="74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85725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Weatherford International plc</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Alpenstrasse 15</w:t>
      </w:r>
    </w:p>
    <w:p>
      <w:pPr>
        <w:ind w:left="40"/>
        <w:spacing w:after="0"/>
        <w:rPr>
          <w:sz w:val="20"/>
          <w:szCs w:val="20"/>
          <w:color w:val="auto"/>
        </w:rPr>
      </w:pPr>
      <w:r>
        <w:rPr>
          <w:rFonts w:ascii="Arial" w:cs="Arial" w:eastAsia="Arial" w:hAnsi="Arial"/>
          <w:sz w:val="20"/>
          <w:szCs w:val="20"/>
          <w:color w:val="auto"/>
        </w:rPr>
        <w:t>6300 Zug</w:t>
      </w:r>
    </w:p>
    <w:p>
      <w:pPr>
        <w:ind w:left="40"/>
        <w:spacing w:after="0"/>
        <w:rPr>
          <w:sz w:val="20"/>
          <w:szCs w:val="20"/>
          <w:color w:val="auto"/>
        </w:rPr>
      </w:pPr>
      <w:r>
        <w:rPr>
          <w:rFonts w:ascii="Arial" w:cs="Arial" w:eastAsia="Arial" w:hAnsi="Arial"/>
          <w:sz w:val="20"/>
          <w:szCs w:val="20"/>
          <w:color w:val="auto"/>
        </w:rPr>
        <w:t>Switzerland</w:t>
      </w:r>
    </w:p>
    <w:p>
      <w:pPr>
        <w:spacing w:after="0" w:line="389" w:lineRule="exact"/>
        <w:rPr>
          <w:sz w:val="20"/>
          <w:szCs w:val="20"/>
          <w:color w:val="auto"/>
        </w:rPr>
      </w:pPr>
    </w:p>
    <w:p>
      <w:pPr>
        <w:ind w:left="40" w:right="2200"/>
        <w:spacing w:after="0" w:line="278" w:lineRule="auto"/>
        <w:rPr>
          <w:sz w:val="20"/>
          <w:szCs w:val="20"/>
          <w:color w:val="auto"/>
        </w:rPr>
      </w:pPr>
      <w:r>
        <w:rPr>
          <w:rFonts w:ascii="Arial" w:cs="Arial" w:eastAsia="Arial" w:hAnsi="Arial"/>
          <w:sz w:val="20"/>
          <w:szCs w:val="20"/>
          <w:color w:val="auto"/>
        </w:rPr>
        <w:t>Our Ref Your Ref 17 June 2014 FBO 661725.4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64" w:lineRule="exact"/>
        <w:rPr>
          <w:sz w:val="20"/>
          <w:szCs w:val="20"/>
          <w:color w:val="auto"/>
        </w:rPr>
      </w:pPr>
    </w:p>
    <w:p>
      <w:pPr>
        <w:ind w:right="5200"/>
        <w:spacing w:after="0" w:line="293" w:lineRule="auto"/>
        <w:rPr>
          <w:sz w:val="20"/>
          <w:szCs w:val="20"/>
          <w:color w:val="auto"/>
        </w:rPr>
      </w:pPr>
      <w:r>
        <w:rPr>
          <w:rFonts w:ascii="Arial" w:cs="Arial" w:eastAsia="Arial" w:hAnsi="Arial"/>
          <w:sz w:val="19"/>
          <w:szCs w:val="19"/>
          <w:b w:val="1"/>
          <w:bCs w:val="1"/>
          <w:color w:val="auto"/>
        </w:rPr>
        <w:t>Weatherford International plc, an Irish public company limited by shares Post-Effective Amendment on Form S-8 (File No. 333-181664)</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acted on behalf of Weatherford International plc, a public limited company incorporated under the laws of Ireland with company number 540406 (the “</w:t>
      </w:r>
      <w:r>
        <w:rPr>
          <w:rFonts w:ascii="Arial" w:cs="Arial" w:eastAsia="Arial" w:hAnsi="Arial"/>
          <w:sz w:val="20"/>
          <w:szCs w:val="20"/>
          <w:b w:val="1"/>
          <w:bCs w:val="1"/>
          <w:color w:val="auto"/>
        </w:rPr>
        <w:t>Company</w:t>
      </w:r>
      <w:r>
        <w:rPr>
          <w:rFonts w:ascii="Arial" w:cs="Arial" w:eastAsia="Arial" w:hAnsi="Arial"/>
          <w:sz w:val="20"/>
          <w:szCs w:val="20"/>
          <w:color w:val="auto"/>
        </w:rPr>
        <w:t>”) in connection with the post-effective amendment to the registration statement on Form S-8 (File No. 333-181664) (the “</w:t>
      </w:r>
      <w:r>
        <w:rPr>
          <w:rFonts w:ascii="Arial" w:cs="Arial" w:eastAsia="Arial" w:hAnsi="Arial"/>
          <w:sz w:val="20"/>
          <w:szCs w:val="20"/>
          <w:b w:val="1"/>
          <w:bCs w:val="1"/>
          <w:color w:val="auto"/>
        </w:rPr>
        <w:t>Post-Effective Amendment</w:t>
      </w:r>
      <w:r>
        <w:rPr>
          <w:rFonts w:ascii="Arial" w:cs="Arial" w:eastAsia="Arial" w:hAnsi="Arial"/>
          <w:sz w:val="20"/>
          <w:szCs w:val="20"/>
          <w:color w:val="auto"/>
        </w:rPr>
        <w:t>”) to be filed by the Company, pursuant to the Securities Act of 1933 of the United States of America,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with the Securities and Exchange Commission of the United States of America (the “</w:t>
      </w:r>
      <w:r>
        <w:rPr>
          <w:rFonts w:ascii="Arial" w:cs="Arial" w:eastAsia="Arial" w:hAnsi="Arial"/>
          <w:sz w:val="20"/>
          <w:szCs w:val="20"/>
          <w:b w:val="1"/>
          <w:bCs w:val="1"/>
          <w:color w:val="auto"/>
        </w:rPr>
        <w:t>SEC</w:t>
      </w:r>
      <w:r>
        <w:rPr>
          <w:rFonts w:ascii="Arial" w:cs="Arial" w:eastAsia="Arial" w:hAnsi="Arial"/>
          <w:sz w:val="20"/>
          <w:szCs w:val="20"/>
          <w:color w:val="auto"/>
        </w:rPr>
        <w:t>”) with respect to the Company’s ordinary shares (nominal value of US$0.001 per share) (the “</w:t>
      </w:r>
      <w:r>
        <w:rPr>
          <w:rFonts w:ascii="Arial" w:cs="Arial" w:eastAsia="Arial" w:hAnsi="Arial"/>
          <w:sz w:val="20"/>
          <w:szCs w:val="20"/>
          <w:b w:val="1"/>
          <w:bCs w:val="1"/>
          <w:color w:val="auto"/>
        </w:rPr>
        <w:t>Shares</w:t>
      </w:r>
      <w:r>
        <w:rPr>
          <w:rFonts w:ascii="Arial" w:cs="Arial" w:eastAsia="Arial" w:hAnsi="Arial"/>
          <w:sz w:val="20"/>
          <w:szCs w:val="20"/>
          <w:color w:val="auto"/>
        </w:rPr>
        <w:t>”) to be issued and delivered under the Weatherford International plc 2010 Omnibus Incentive Plan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90"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16" w:lineRule="exact"/>
        <w:rPr>
          <w:sz w:val="20"/>
          <w:szCs w:val="20"/>
          <w:color w:val="auto"/>
        </w:rPr>
      </w:pPr>
    </w:p>
    <w:p>
      <w:pPr>
        <w:ind w:left="1260" w:hanging="644"/>
        <w:spacing w:after="0"/>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final form of the Post-Effective Amendment to be filed by the Company with the SEC;</w:t>
      </w:r>
    </w:p>
    <w:p>
      <w:pPr>
        <w:spacing w:after="0" w:line="215"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copy of the memorandum and articles of association of the Company, certified by the secretary of the Company as being true, complete and up-to-date;</w:t>
      </w:r>
    </w:p>
    <w:p>
      <w:pPr>
        <w:spacing w:after="0" w:line="176" w:lineRule="exact"/>
        <w:rPr>
          <w:rFonts w:ascii="Arial" w:cs="Arial" w:eastAsia="Arial" w:hAnsi="Arial"/>
          <w:sz w:val="20"/>
          <w:szCs w:val="20"/>
          <w:color w:val="auto"/>
        </w:rPr>
      </w:pPr>
    </w:p>
    <w:p>
      <w:pPr>
        <w:ind w:left="1260" w:right="20" w:hanging="644"/>
        <w:spacing w:after="0" w:line="287" w:lineRule="auto"/>
        <w:tabs>
          <w:tab w:leader="none" w:pos="1260" w:val="left"/>
        </w:tabs>
        <w:numPr>
          <w:ilvl w:val="0"/>
          <w:numId w:val="6"/>
        </w:numPr>
        <w:rPr>
          <w:rFonts w:ascii="Arial" w:cs="Arial" w:eastAsia="Arial" w:hAnsi="Arial"/>
          <w:sz w:val="19"/>
          <w:szCs w:val="19"/>
          <w:color w:val="auto"/>
        </w:rPr>
      </w:pPr>
      <w:r>
        <w:rPr>
          <w:rFonts w:ascii="Arial" w:cs="Arial" w:eastAsia="Arial" w:hAnsi="Arial"/>
          <w:sz w:val="19"/>
          <w:szCs w:val="19"/>
          <w:color w:val="auto"/>
        </w:rPr>
        <w:t>copy minutes of a meeting of the board of directors’ of the Company held on 3 March 2014 and 6 June 2014, certified by the secretary to be a true and complete copy of those board minutes which have not since been amended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270510</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60" w:right="20" w:hanging="644"/>
        <w:spacing w:after="0" w:line="260" w:lineRule="auto"/>
        <w:tabs>
          <w:tab w:leader="none" w:pos="1260" w:val="left"/>
        </w:tabs>
        <w:numPr>
          <w:ilvl w:val="0"/>
          <w:numId w:val="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written resolutions of the shareholders of the Company dated 6 June 2014, certified by the secretary to be true and complete copies of those shareholders’ resolutions which have not since been amended or rescinded;</w:t>
      </w:r>
    </w:p>
    <w:p>
      <w:pPr>
        <w:spacing w:after="0" w:line="170" w:lineRule="exact"/>
        <w:rPr>
          <w:rFonts w:ascii="Arial" w:cs="Arial" w:eastAsia="Arial" w:hAnsi="Arial"/>
          <w:sz w:val="20"/>
          <w:szCs w:val="20"/>
          <w:color w:val="auto"/>
        </w:rPr>
      </w:pPr>
    </w:p>
    <w:p>
      <w:pPr>
        <w:ind w:left="1260" w:hanging="644"/>
        <w:spacing w:after="0"/>
        <w:tabs>
          <w:tab w:leader="none" w:pos="12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certificate of the secretary of the Company (the “</w:t>
      </w:r>
      <w:r>
        <w:rPr>
          <w:rFonts w:ascii="Arial" w:cs="Arial" w:eastAsia="Arial" w:hAnsi="Arial"/>
          <w:sz w:val="20"/>
          <w:szCs w:val="20"/>
          <w:b w:val="1"/>
          <w:bCs w:val="1"/>
          <w:color w:val="auto"/>
        </w:rPr>
        <w:t>Certificate</w:t>
      </w:r>
      <w:r>
        <w:rPr>
          <w:rFonts w:ascii="Arial" w:cs="Arial" w:eastAsia="Arial" w:hAnsi="Arial"/>
          <w:sz w:val="20"/>
          <w:szCs w:val="20"/>
          <w:color w:val="auto"/>
        </w:rPr>
        <w:t>”); and</w:t>
      </w:r>
    </w:p>
    <w:p>
      <w:pPr>
        <w:spacing w:after="0" w:line="221"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20"/>
          <w:szCs w:val="20"/>
          <w:b w:val="1"/>
          <w:bCs w:val="1"/>
          <w:color w:val="auto"/>
        </w:rPr>
        <w:t>Searches</w:t>
      </w:r>
      <w:r>
        <w:rPr>
          <w:rFonts w:ascii="Arial" w:cs="Arial" w:eastAsia="Arial" w:hAnsi="Arial"/>
          <w:sz w:val="20"/>
          <w:szCs w:val="20"/>
          <w:color w:val="auto"/>
        </w:rPr>
        <w:t>”).</w:t>
      </w:r>
    </w:p>
    <w:p>
      <w:pPr>
        <w:spacing w:after="0" w:line="186"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5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9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86"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86"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210"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For the purpose of giving this opinion we have assumed:</w:t>
      </w:r>
    </w:p>
    <w:p>
      <w:pPr>
        <w:spacing w:after="0" w:line="215" w:lineRule="exact"/>
        <w:rPr>
          <w:rFonts w:ascii="Arial" w:cs="Arial" w:eastAsia="Arial" w:hAnsi="Arial"/>
          <w:sz w:val="20"/>
          <w:szCs w:val="20"/>
          <w:color w:val="auto"/>
        </w:rPr>
      </w:pPr>
    </w:p>
    <w:p>
      <w:pPr>
        <w:ind w:left="1260" w:hanging="644"/>
        <w:spacing w:after="0"/>
        <w:tabs>
          <w:tab w:leader="none" w:pos="1260"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authenticity and completeness of all documents submitted to us as originals;</w:t>
      </w:r>
    </w:p>
    <w:p>
      <w:pPr>
        <w:spacing w:after="0" w:line="215" w:lineRule="exact"/>
        <w:rPr>
          <w:rFonts w:ascii="Arial" w:cs="Arial" w:eastAsia="Arial" w:hAnsi="Arial"/>
          <w:sz w:val="20"/>
          <w:szCs w:val="20"/>
          <w:color w:val="auto"/>
        </w:rPr>
      </w:pPr>
    </w:p>
    <w:p>
      <w:pPr>
        <w:ind w:left="1260" w:hanging="644"/>
        <w:spacing w:after="0" w:line="316"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30" w:lineRule="exact"/>
        <w:rPr>
          <w:rFonts w:ascii="Arial" w:cs="Arial" w:eastAsia="Arial" w:hAnsi="Arial"/>
          <w:sz w:val="18"/>
          <w:szCs w:val="18"/>
          <w:color w:val="auto"/>
        </w:rPr>
      </w:pPr>
    </w:p>
    <w:p>
      <w:pPr>
        <w:ind w:left="1260" w:hanging="644"/>
        <w:spacing w:after="0"/>
        <w:tabs>
          <w:tab w:leader="none" w:pos="1260"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genuineness of the signatures and seals on all original and copy documents which we have examined;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30574345.1</w:t>
      </w:r>
    </w:p>
    <w:p>
      <w:pPr>
        <w:sectPr>
          <w:pgSz w:w="11900" w:h="16838" w:orient="portrait"/>
          <w:cols w:equalWidth="0" w:num="1">
            <w:col w:w="11420"/>
          </w:cols>
          <w:pgMar w:left="240" w:top="906" w:right="239" w:bottom="1440" w:gutter="0" w:footer="0" w:header="0"/>
        </w:sectPr>
      </w:pPr>
    </w:p>
    <w:bookmarkStart w:id="9" w:name="page10"/>
    <w:bookmarkEnd w:id="9"/>
    <w:p>
      <w:pPr>
        <w:jc w:val="both"/>
        <w:ind w:left="1260" w:hanging="644"/>
        <w:spacing w:after="0" w:line="246"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91"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the written resolutions of the shareholders referred to above were duly passed and adopted and have not since been amended or rescinded;</w:t>
      </w:r>
    </w:p>
    <w:p>
      <w:pPr>
        <w:spacing w:after="0" w:line="176" w:lineRule="exact"/>
        <w:rPr>
          <w:rFonts w:ascii="Arial" w:cs="Arial" w:eastAsia="Arial" w:hAnsi="Arial"/>
          <w:sz w:val="20"/>
          <w:szCs w:val="20"/>
          <w:color w:val="auto"/>
        </w:rPr>
      </w:pPr>
    </w:p>
    <w:p>
      <w:pPr>
        <w:jc w:val="both"/>
        <w:ind w:left="1260" w:hanging="644"/>
        <w:spacing w:after="0" w:line="257"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9"/>
          <w:szCs w:val="19"/>
          <w:b w:val="1"/>
          <w:bCs w:val="1"/>
          <w:color w:val="auto"/>
        </w:rPr>
        <w:t>1983 Act</w:t>
      </w:r>
      <w:r>
        <w:rPr>
          <w:rFonts w:ascii="Arial" w:cs="Arial" w:eastAsia="Arial" w:hAnsi="Arial"/>
          <w:sz w:val="19"/>
          <w:szCs w:val="19"/>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181" w:lineRule="exact"/>
        <w:rPr>
          <w:rFonts w:ascii="Arial" w:cs="Arial" w:eastAsia="Arial" w:hAnsi="Arial"/>
          <w:sz w:val="19"/>
          <w:szCs w:val="19"/>
          <w:color w:val="auto"/>
        </w:rPr>
      </w:pPr>
    </w:p>
    <w:p>
      <w:pPr>
        <w:ind w:left="1260" w:hanging="64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Post-Effective Amendment will be effective and continue to be effective;</w:t>
      </w:r>
    </w:p>
    <w:p>
      <w:pPr>
        <w:spacing w:after="0" w:line="238" w:lineRule="exact"/>
        <w:rPr>
          <w:rFonts w:ascii="Arial" w:cs="Arial" w:eastAsia="Arial" w:hAnsi="Arial"/>
          <w:sz w:val="18"/>
          <w:szCs w:val="18"/>
          <w:color w:val="auto"/>
        </w:rPr>
      </w:pPr>
    </w:p>
    <w:p>
      <w:pPr>
        <w:jc w:val="both"/>
        <w:ind w:left="1260" w:hanging="644"/>
        <w:spacing w:after="0" w:line="244"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94" w:lineRule="exact"/>
        <w:rPr>
          <w:rFonts w:ascii="Arial" w:cs="Arial" w:eastAsia="Arial" w:hAnsi="Arial"/>
          <w:sz w:val="20"/>
          <w:szCs w:val="20"/>
          <w:color w:val="auto"/>
        </w:rPr>
      </w:pPr>
    </w:p>
    <w:p>
      <w:pPr>
        <w:jc w:val="both"/>
        <w:ind w:left="1260" w:hanging="644"/>
        <w:spacing w:after="0" w:line="263"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76"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86" w:lineRule="exact"/>
        <w:rPr>
          <w:rFonts w:ascii="Arial" w:cs="Arial" w:eastAsia="Arial" w:hAnsi="Arial"/>
          <w:sz w:val="20"/>
          <w:szCs w:val="20"/>
          <w:color w:val="auto"/>
        </w:rPr>
      </w:pPr>
    </w:p>
    <w:p>
      <w:pPr>
        <w:jc w:val="both"/>
        <w:ind w:left="1260" w:hanging="644"/>
        <w:spacing w:after="0" w:line="257"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81"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30574345.1</w:t>
      </w:r>
    </w:p>
    <w:p>
      <w:pPr>
        <w:sectPr>
          <w:pgSz w:w="11900" w:h="16838" w:orient="portrait"/>
          <w:cols w:equalWidth="0" w:num="1">
            <w:col w:w="11420"/>
          </w:cols>
          <w:pgMar w:left="240" w:top="690" w:right="239" w:bottom="1440" w:gutter="0" w:footer="0" w:header="0"/>
        </w:sectPr>
      </w:pPr>
    </w:p>
    <w:bookmarkStart w:id="10" w:name="page11"/>
    <w:bookmarkEnd w:id="10"/>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subscription by any person of or for any Shares save as permitted by, or pursuant to an exemption to, the said section 60;</w:t>
      </w:r>
    </w:p>
    <w:p>
      <w:pPr>
        <w:spacing w:after="0" w:line="252" w:lineRule="exact"/>
        <w:rPr>
          <w:sz w:val="20"/>
          <w:szCs w:val="20"/>
          <w:color w:val="auto"/>
        </w:rPr>
      </w:pPr>
    </w:p>
    <w:p>
      <w:pPr>
        <w:ind w:left="1260" w:hanging="644"/>
        <w:spacing w:after="0" w:line="260" w:lineRule="auto"/>
        <w:tabs>
          <w:tab w:leader="none" w:pos="12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accuracy and completeness as to factual matters of the representations and warranties of the Company contained in the Post-Effective Amendment and the accuracy of the Certificate;</w:t>
      </w:r>
    </w:p>
    <w:p>
      <w:pPr>
        <w:spacing w:after="0" w:line="176" w:lineRule="exact"/>
        <w:rPr>
          <w:rFonts w:ascii="Arial" w:cs="Arial" w:eastAsia="Arial" w:hAnsi="Arial"/>
          <w:sz w:val="20"/>
          <w:szCs w:val="20"/>
          <w:color w:val="auto"/>
        </w:rPr>
      </w:pPr>
    </w:p>
    <w:p>
      <w:pPr>
        <w:ind w:left="1260" w:right="20" w:hanging="644"/>
        <w:spacing w:after="0" w:line="316"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spacing w:after="0" w:line="130" w:lineRule="exact"/>
        <w:rPr>
          <w:rFonts w:ascii="Arial" w:cs="Arial" w:eastAsia="Arial" w:hAnsi="Arial"/>
          <w:sz w:val="18"/>
          <w:szCs w:val="18"/>
          <w:color w:val="auto"/>
        </w:rPr>
      </w:pPr>
    </w:p>
    <w:p>
      <w:pPr>
        <w:jc w:val="both"/>
        <w:ind w:left="1260" w:hanging="644"/>
        <w:spacing w:after="0" w:line="269" w:lineRule="auto"/>
        <w:tabs>
          <w:tab w:leader="none" w:pos="12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70" w:lineRule="exact"/>
        <w:rPr>
          <w:rFonts w:ascii="Arial" w:cs="Arial" w:eastAsia="Arial" w:hAnsi="Arial"/>
          <w:sz w:val="19"/>
          <w:szCs w:val="19"/>
          <w:color w:val="auto"/>
        </w:rPr>
      </w:pPr>
    </w:p>
    <w:p>
      <w:pPr>
        <w:jc w:val="both"/>
        <w:ind w:left="1260" w:hanging="644"/>
        <w:spacing w:after="0" w:line="282"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61" w:lineRule="exact"/>
        <w:rPr>
          <w:rFonts w:ascii="Arial" w:cs="Arial" w:eastAsia="Arial" w:hAnsi="Arial"/>
          <w:sz w:val="18"/>
          <w:szCs w:val="18"/>
          <w:color w:val="auto"/>
        </w:rPr>
      </w:pPr>
    </w:p>
    <w:p>
      <w:pPr>
        <w:jc w:val="both"/>
        <w:ind w:left="1260" w:hanging="644"/>
        <w:spacing w:after="0" w:line="259" w:lineRule="auto"/>
        <w:tabs>
          <w:tab w:leader="none" w:pos="12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78" w:lineRule="exact"/>
        <w:rPr>
          <w:rFonts w:ascii="Arial" w:cs="Arial" w:eastAsia="Arial" w:hAnsi="Arial"/>
          <w:sz w:val="19"/>
          <w:szCs w:val="19"/>
          <w:color w:val="auto"/>
        </w:rPr>
      </w:pPr>
    </w:p>
    <w:p>
      <w:pPr>
        <w:ind w:left="1260" w:hanging="644"/>
        <w:spacing w:after="0" w:line="260" w:lineRule="auto"/>
        <w:tabs>
          <w:tab w:leader="none" w:pos="12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truth of all representations and information given to us in reply to any queries we have made which we have considered necessary for the purposes of giving this opinion.</w:t>
      </w:r>
    </w:p>
    <w:p>
      <w:pPr>
        <w:spacing w:after="0" w:line="171"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221" w:lineRule="exact"/>
        <w:rPr>
          <w:rFonts w:ascii="Arial" w:cs="Arial" w:eastAsia="Arial" w:hAnsi="Arial"/>
          <w:sz w:val="20"/>
          <w:szCs w:val="20"/>
          <w:color w:val="auto"/>
        </w:rPr>
      </w:pPr>
    </w:p>
    <w:p>
      <w:pPr>
        <w:jc w:val="both"/>
        <w:ind w:left="620"/>
        <w:spacing w:after="0" w:line="276"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159"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Qualifications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The opinions set forth in this opinion letter are given subject to the following qualifications:</w:t>
      </w:r>
    </w:p>
    <w:p>
      <w:pPr>
        <w:spacing w:after="0" w:line="215"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a search at the Companies Registration Office is not capable of revealing whether or not a winding up petition or a petition for the appointment of an examiner has been presented; and</w:t>
      </w:r>
    </w:p>
    <w:p>
      <w:pPr>
        <w:spacing w:after="0" w:line="176"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a search at the Registry of Winding up Petitions at the Central Office of the High Court is not capable of revealing whether or not a receiver has been appointed.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30574345.1</w:t>
      </w:r>
    </w:p>
    <w:p>
      <w:pPr>
        <w:sectPr>
          <w:pgSz w:w="11900" w:h="16838" w:orient="portrait"/>
          <w:cols w:equalWidth="0" w:num="1">
            <w:col w:w="11420"/>
          </w:cols>
          <w:pgMar w:left="240" w:top="703" w:right="239" w:bottom="1440" w:gutter="0" w:footer="0" w:header="0"/>
        </w:sectPr>
      </w:pPr>
    </w:p>
    <w:bookmarkStart w:id="11" w:name="page12"/>
    <w:bookmarkEnd w:id="11"/>
    <w:p>
      <w:pPr>
        <w:jc w:val="both"/>
        <w:ind w:left="620"/>
        <w:spacing w:after="0" w:line="29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MATHESON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30574345.1</w:t>
      </w:r>
    </w:p>
    <w:p>
      <w:pPr>
        <w:sectPr>
          <w:pgSz w:w="11900" w:h="16838" w:orient="portrait"/>
          <w:cols w:equalWidth="0" w:num="1">
            <w:col w:w="11420"/>
          </w:cols>
          <w:pgMar w:left="240" w:top="69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of Weatherford International plc, successor issuer to Weatherford International Ltd., relating to the Weatherford International plc 2010 Omnibus Incentive Plan,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consent to the incorporation by reference in the Registration Statement (Form S-8 No. 333-181664) pertaining to the Weatherford International plc 2010 Omnibus Incentive Plan,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713"/>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2"/>
      <w:numFmt w:val="bullet"/>
      <w:start w:val="1"/>
    </w:lvl>
    <w:lvl w:ilvl="1">
      <w:lvlJc w:val="left"/>
      <w:lvlText w:val="(%2)"/>
      <w:numFmt w:val="lowerLetter"/>
      <w:start w:val="1"/>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3"/>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2019-12-08T10:47:30Z</dcterms:created>
  <dcterms:modified xsi:type="dcterms:W3CDTF">2019-12-08T10:47:30Z</dcterms:modified>
</cp:coreProperties>
</file>