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jc w:val="center"/>
        <w:ind w:right="2739"/>
        <w:spacing w:after="0"/>
        <w:rPr>
          <w:sz w:val="20"/>
          <w:szCs w:val="20"/>
          <w:color w:val="auto"/>
        </w:rPr>
      </w:pPr>
      <w:r>
        <w:rPr>
          <w:rFonts w:ascii="Courier New" w:cs="Courier New" w:eastAsia="Courier New" w:hAnsi="Courier New"/>
          <w:sz w:val="18"/>
          <w:szCs w:val="18"/>
          <w:color w:val="auto"/>
        </w:rPr>
        <w:t>UNITED STATES</w:t>
      </w:r>
    </w:p>
    <w:p>
      <w:pPr>
        <w:jc w:val="center"/>
        <w:ind w:right="283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3" w:lineRule="exact"/>
        <w:rPr>
          <w:sz w:val="24"/>
          <w:szCs w:val="24"/>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(Amendment No. 4)*</w:t>
      </w:r>
    </w:p>
    <w:p>
      <w:pPr>
        <w:spacing w:after="0" w:line="200" w:lineRule="exact"/>
        <w:rPr>
          <w:sz w:val="24"/>
          <w:szCs w:val="24"/>
          <w:color w:val="auto"/>
        </w:rPr>
      </w:pPr>
    </w:p>
    <w:p>
      <w:pPr>
        <w:spacing w:after="0" w:line="204"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Weatherford International plc</w:t>
      </w:r>
    </w:p>
    <w:p>
      <w:pPr>
        <w:ind w:left="306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Common Shares</w:t>
      </w:r>
    </w:p>
    <w:p>
      <w:pPr>
        <w:ind w:left="2320"/>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BLNN369</w:t>
      </w:r>
    </w:p>
    <w:p>
      <w:pPr>
        <w:ind w:left="316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jc w:val="center"/>
        <w:ind w:right="2519"/>
        <w:spacing w:after="0"/>
        <w:rPr>
          <w:sz w:val="20"/>
          <w:szCs w:val="20"/>
          <w:color w:val="auto"/>
        </w:rPr>
      </w:pPr>
      <w:r>
        <w:rPr>
          <w:rFonts w:ascii="Courier New" w:cs="Courier New" w:eastAsia="Courier New" w:hAnsi="Courier New"/>
          <w:sz w:val="18"/>
          <w:szCs w:val="18"/>
          <w:color w:val="auto"/>
        </w:rPr>
        <w:t>December 30, 2016</w:t>
      </w:r>
    </w:p>
    <w:p>
      <w:pPr>
        <w:jc w:val="center"/>
        <w:ind w:right="2519"/>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1 of 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540" w:hanging="427"/>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Capital World Investors **</w:t>
      </w:r>
    </w:p>
    <w:p>
      <w:pPr>
        <w:spacing w:after="0" w:line="200" w:lineRule="exact"/>
        <w:rPr>
          <w:sz w:val="24"/>
          <w:szCs w:val="24"/>
          <w:color w:val="auto"/>
        </w:rPr>
      </w:pPr>
    </w:p>
    <w:p>
      <w:pPr>
        <w:spacing w:after="0" w:line="205" w:lineRule="exact"/>
        <w:rPr>
          <w:sz w:val="24"/>
          <w:szCs w:val="24"/>
          <w:color w:val="auto"/>
        </w:rPr>
      </w:pPr>
    </w:p>
    <w:p>
      <w:pPr>
        <w:ind w:left="540" w:hanging="427"/>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w:t>
      </w:r>
    </w:p>
    <w:p>
      <w:pPr>
        <w:ind w:left="540"/>
        <w:spacing w:after="0" w:line="238" w:lineRule="auto"/>
        <w:tabs>
          <w:tab w:leader="none" w:pos="7040" w:val="left"/>
        </w:tabs>
        <w:rPr>
          <w:sz w:val="20"/>
          <w:szCs w:val="20"/>
          <w:color w:val="auto"/>
        </w:rPr>
      </w:pPr>
      <w:r>
        <w:rPr>
          <w:rFonts w:ascii="Courier New" w:cs="Courier New" w:eastAsia="Courier New" w:hAnsi="Courier New"/>
          <w:sz w:val="18"/>
          <w:szCs w:val="18"/>
          <w:color w:val="auto"/>
        </w:rPr>
        <w:t>INSTRUCTIONS)</w:t>
      </w:r>
      <w:r>
        <w:rPr>
          <w:sz w:val="20"/>
          <w:szCs w:val="20"/>
          <w:color w:val="auto"/>
        </w:rPr>
        <w:tab/>
      </w:r>
      <w:r>
        <w:rPr>
          <w:rFonts w:ascii="Courier New" w:cs="Courier New" w:eastAsia="Courier New" w:hAnsi="Courier New"/>
          <w:sz w:val="18"/>
          <w:szCs w:val="18"/>
          <w:color w:val="auto"/>
        </w:rPr>
        <w:t>(a)</w:t>
      </w:r>
    </w:p>
    <w:p>
      <w:pPr>
        <w:spacing w:after="0" w:line="202" w:lineRule="exact"/>
        <w:rPr>
          <w:sz w:val="24"/>
          <w:szCs w:val="24"/>
          <w:color w:val="auto"/>
        </w:rPr>
      </w:pPr>
    </w:p>
    <w:p>
      <w:pPr>
        <w:ind w:left="7180"/>
        <w:spacing w:after="0"/>
        <w:rPr>
          <w:sz w:val="20"/>
          <w:szCs w:val="20"/>
          <w:color w:val="auto"/>
        </w:rPr>
      </w:pPr>
      <w:r>
        <w:rPr>
          <w:rFonts w:ascii="Courier New" w:cs="Courier New" w:eastAsia="Courier New" w:hAnsi="Courier New"/>
          <w:sz w:val="18"/>
          <w:szCs w:val="18"/>
          <w:color w:val="auto"/>
        </w:rPr>
        <w:t>(b)</w:t>
      </w:r>
    </w:p>
    <w:p>
      <w:pPr>
        <w:ind w:left="540" w:hanging="427"/>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10" w:lineRule="exact"/>
        <w:rPr>
          <w:sz w:val="24"/>
          <w:szCs w:val="24"/>
          <w:color w:val="auto"/>
        </w:rPr>
      </w:pPr>
    </w:p>
    <w:p>
      <w:pPr>
        <w:ind w:left="540" w:right="5899" w:hanging="427"/>
        <w:spacing w:after="0" w:line="470"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ectPr>
          <w:pgSz w:w="11900" w:h="16848" w:orient="portrait"/>
          <w:cols w:equalWidth="0" w:num="1">
            <w:col w:w="10219"/>
          </w:cols>
          <w:pgMar w:left="240" w:top="244" w:right="1440" w:bottom="0" w:gutter="0" w:footer="0" w:header="0"/>
        </w:sectPr>
      </w:pPr>
    </w:p>
    <w:bookmarkStart w:id="1" w:name="page2"/>
    <w:bookmarkEnd w:id="1"/>
    <w:p>
      <w:pPr>
        <w:ind w:left="1900" w:right="6639" w:hanging="523"/>
        <w:spacing w:after="0" w:line="558" w:lineRule="auto"/>
        <w:tabs>
          <w:tab w:leader="none" w:pos="1795"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VOTING POWER 90,217,846</w:t>
      </w:r>
    </w:p>
    <w:p>
      <w:pPr>
        <w:spacing w:after="0" w:line="164" w:lineRule="exact"/>
        <w:rPr>
          <w:sz w:val="20"/>
          <w:szCs w:val="20"/>
          <w:color w:val="auto"/>
        </w:rPr>
      </w:pP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6</w:t>
      </w:r>
      <w:r>
        <w:rPr>
          <w:sz w:val="20"/>
          <w:szCs w:val="20"/>
          <w:color w:val="auto"/>
        </w:rPr>
        <w:tab/>
      </w:r>
      <w:r>
        <w:rPr>
          <w:rFonts w:ascii="Courier New" w:cs="Courier New" w:eastAsia="Courier New" w:hAnsi="Courier New"/>
          <w:sz w:val="18"/>
          <w:szCs w:val="18"/>
          <w:color w:val="auto"/>
        </w:rPr>
        <w:t>SHARED VOTING POWER</w:t>
      </w:r>
    </w:p>
    <w:p>
      <w:pPr>
        <w:ind w:left="120"/>
        <w:spacing w:after="0" w:line="238" w:lineRule="auto"/>
        <w:rPr>
          <w:sz w:val="20"/>
          <w:szCs w:val="20"/>
          <w:color w:val="auto"/>
        </w:rPr>
      </w:pPr>
      <w:r>
        <w:rPr>
          <w:rFonts w:ascii="Courier New" w:cs="Courier New" w:eastAsia="Courier New" w:hAnsi="Courier New"/>
          <w:sz w:val="18"/>
          <w:szCs w:val="18"/>
          <w:color w:val="auto"/>
        </w:rPr>
        <w:t>NUMBER OF</w:t>
      </w:r>
    </w:p>
    <w:p>
      <w:pPr>
        <w:ind w:left="320"/>
        <w:spacing w:after="0"/>
        <w:tabs>
          <w:tab w:leader="none" w:pos="188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NONE</w:t>
      </w:r>
    </w:p>
    <w:p>
      <w:pPr>
        <w:spacing w:after="0" w:line="237" w:lineRule="auto"/>
        <w:rPr>
          <w:sz w:val="20"/>
          <w:szCs w:val="20"/>
          <w:color w:val="auto"/>
        </w:rPr>
      </w:pPr>
      <w:r>
        <w:rPr>
          <w:rFonts w:ascii="Courier New" w:cs="Courier New" w:eastAsia="Courier New" w:hAnsi="Courier New"/>
          <w:sz w:val="18"/>
          <w:szCs w:val="18"/>
          <w:color w:val="auto"/>
        </w:rPr>
        <w:t>BENEFICIALL</w:t>
      </w:r>
    </w:p>
    <w:p>
      <w:pPr>
        <w:ind w:left="120"/>
        <w:spacing w:after="0" w:line="238" w:lineRule="auto"/>
        <w:rPr>
          <w:sz w:val="20"/>
          <w:szCs w:val="20"/>
          <w:color w:val="auto"/>
        </w:rPr>
      </w:pPr>
      <w:r>
        <w:rPr>
          <w:rFonts w:ascii="Courier New" w:cs="Courier New" w:eastAsia="Courier New" w:hAnsi="Courier New"/>
          <w:sz w:val="18"/>
          <w:szCs w:val="18"/>
          <w:color w:val="auto"/>
        </w:rPr>
        <w:t>Y OWNED BY</w:t>
      </w:r>
    </w:p>
    <w:p>
      <w:pPr>
        <w:ind w:left="1380"/>
        <w:spacing w:after="0"/>
        <w:tabs>
          <w:tab w:leader="none" w:pos="1780" w:val="left"/>
        </w:tabs>
        <w:rPr>
          <w:sz w:val="20"/>
          <w:szCs w:val="20"/>
          <w:color w:val="auto"/>
        </w:rPr>
      </w:pPr>
      <w:r>
        <w:rPr>
          <w:rFonts w:ascii="Courier New" w:cs="Courier New" w:eastAsia="Courier New" w:hAnsi="Courier New"/>
          <w:sz w:val="18"/>
          <w:szCs w:val="18"/>
          <w:color w:val="auto"/>
        </w:rPr>
        <w:t>7</w:t>
      </w:r>
      <w:r>
        <w:rPr>
          <w:sz w:val="20"/>
          <w:szCs w:val="20"/>
          <w:color w:val="auto"/>
        </w:rPr>
        <w:tab/>
      </w:r>
      <w:r>
        <w:rPr>
          <w:rFonts w:ascii="Courier New" w:cs="Courier New" w:eastAsia="Courier New" w:hAnsi="Courier New"/>
          <w:sz w:val="18"/>
          <w:szCs w:val="18"/>
          <w:color w:val="auto"/>
        </w:rPr>
        <w:t>SOLE DISPOSITIVE POWER</w:t>
      </w:r>
    </w:p>
    <w:p>
      <w:pPr>
        <w:ind w:left="420"/>
        <w:spacing w:after="0" w:line="237" w:lineRule="auto"/>
        <w:rPr>
          <w:sz w:val="20"/>
          <w:szCs w:val="20"/>
          <w:color w:val="auto"/>
        </w:rPr>
      </w:pPr>
      <w:r>
        <w:rPr>
          <w:rFonts w:ascii="Courier New" w:cs="Courier New" w:eastAsia="Courier New" w:hAnsi="Courier New"/>
          <w:sz w:val="18"/>
          <w:szCs w:val="18"/>
          <w:color w:val="auto"/>
        </w:rPr>
        <w:t>EACH</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REPORTING</w:t>
      </w:r>
      <w:r>
        <w:rPr>
          <w:sz w:val="20"/>
          <w:szCs w:val="20"/>
          <w:color w:val="auto"/>
        </w:rPr>
        <w:tab/>
      </w:r>
      <w:r>
        <w:rPr>
          <w:rFonts w:ascii="Courier New" w:cs="Courier New" w:eastAsia="Courier New" w:hAnsi="Courier New"/>
          <w:sz w:val="18"/>
          <w:szCs w:val="18"/>
          <w:color w:val="auto"/>
        </w:rPr>
        <w:t>90,217,846</w:t>
      </w:r>
    </w:p>
    <w:p>
      <w:pPr>
        <w:ind w:left="320"/>
        <w:spacing w:after="0" w:line="237" w:lineRule="auto"/>
        <w:rPr>
          <w:sz w:val="20"/>
          <w:szCs w:val="20"/>
          <w:color w:val="auto"/>
        </w:rPr>
      </w:pPr>
      <w:r>
        <w:rPr>
          <w:rFonts w:ascii="Courier New" w:cs="Courier New" w:eastAsia="Courier New" w:hAnsi="Courier New"/>
          <w:sz w:val="18"/>
          <w:szCs w:val="18"/>
          <w:color w:val="auto"/>
        </w:rPr>
        <w:t>PERSON</w:t>
      </w:r>
    </w:p>
    <w:p>
      <w:pPr>
        <w:ind w:left="320"/>
        <w:spacing w:after="0"/>
        <w:rPr>
          <w:sz w:val="20"/>
          <w:szCs w:val="20"/>
          <w:color w:val="auto"/>
        </w:rPr>
      </w:pPr>
      <w:r>
        <w:rPr>
          <w:rFonts w:ascii="Courier New" w:cs="Courier New" w:eastAsia="Courier New" w:hAnsi="Courier New"/>
          <w:sz w:val="18"/>
          <w:szCs w:val="18"/>
          <w:color w:val="auto"/>
        </w:rPr>
        <w:t>WITH:</w:t>
      </w:r>
    </w:p>
    <w:p>
      <w:pPr>
        <w:spacing w:after="0" w:line="3" w:lineRule="exact"/>
        <w:rPr>
          <w:sz w:val="20"/>
          <w:szCs w:val="20"/>
          <w:color w:val="auto"/>
        </w:rPr>
      </w:pPr>
    </w:p>
    <w:p>
      <w:pPr>
        <w:ind w:left="1900" w:right="5899" w:hanging="523"/>
        <w:spacing w:after="0" w:line="470" w:lineRule="auto"/>
        <w:tabs>
          <w:tab w:leader="none" w:pos="179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NONE</w:t>
      </w:r>
    </w:p>
    <w:p>
      <w:pPr>
        <w:spacing w:after="0" w:line="6" w:lineRule="exact"/>
        <w:rPr>
          <w:sz w:val="20"/>
          <w:szCs w:val="20"/>
          <w:color w:val="auto"/>
        </w:rPr>
      </w:pPr>
    </w:p>
    <w:p>
      <w:pPr>
        <w:ind w:left="540" w:hanging="427"/>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90,217,846</w:t>
      </w:r>
      <w:r>
        <w:rPr>
          <w:rFonts w:ascii="Courier New" w:cs="Courier New" w:eastAsia="Courier New" w:hAnsi="Courier New"/>
          <w:sz w:val="16"/>
          <w:szCs w:val="16"/>
          <w:color w:val="auto"/>
        </w:rPr>
        <w:t>Beneficial ownership disclaimed pursuant to Rule</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13d-4</w:t>
      </w:r>
    </w:p>
    <w:p>
      <w:pPr>
        <w:spacing w:after="0" w:line="200" w:lineRule="exact"/>
        <w:rPr>
          <w:sz w:val="20"/>
          <w:szCs w:val="20"/>
          <w:color w:val="auto"/>
        </w:rPr>
      </w:pPr>
    </w:p>
    <w:p>
      <w:pPr>
        <w:spacing w:after="0" w:line="210" w:lineRule="exact"/>
        <w:rPr>
          <w:sz w:val="20"/>
          <w:szCs w:val="20"/>
          <w:color w:val="auto"/>
        </w:rPr>
      </w:pPr>
    </w:p>
    <w:p>
      <w:pPr>
        <w:ind w:left="540" w:right="2519" w:hanging="427"/>
        <w:spacing w:after="0" w:line="235"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200" w:lineRule="exact"/>
        <w:rPr>
          <w:rFonts w:ascii="Courier New" w:cs="Courier New" w:eastAsia="Courier New" w:hAnsi="Courier New"/>
          <w:sz w:val="18"/>
          <w:szCs w:val="18"/>
          <w:color w:val="auto"/>
        </w:rPr>
      </w:pPr>
    </w:p>
    <w:p>
      <w:pPr>
        <w:spacing w:after="0" w:line="210" w:lineRule="exact"/>
        <w:rPr>
          <w:rFonts w:ascii="Courier New" w:cs="Courier New" w:eastAsia="Courier New" w:hAnsi="Courier New"/>
          <w:sz w:val="18"/>
          <w:szCs w:val="18"/>
          <w:color w:val="auto"/>
        </w:rPr>
      </w:pPr>
    </w:p>
    <w:p>
      <w:pPr>
        <w:ind w:left="540" w:right="473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9.2%</w:t>
      </w:r>
    </w:p>
    <w:p>
      <w:pPr>
        <w:spacing w:after="0" w:line="11" w:lineRule="exact"/>
        <w:rPr>
          <w:rFonts w:ascii="Courier New" w:cs="Courier New" w:eastAsia="Courier New" w:hAnsi="Courier New"/>
          <w:sz w:val="18"/>
          <w:szCs w:val="18"/>
          <w:color w:val="auto"/>
        </w:rPr>
      </w:pPr>
    </w:p>
    <w:p>
      <w:pPr>
        <w:ind w:left="540" w:right="5159" w:hanging="427"/>
        <w:spacing w:after="0" w:line="470" w:lineRule="auto"/>
        <w:tabs>
          <w:tab w:leader="none" w:pos="54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IA</w:t>
      </w:r>
    </w:p>
    <w:p>
      <w:pPr>
        <w:spacing w:after="0" w:line="6"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division of Capital Research and Management Company (CRMC)</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BLNN369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2 of 4</w:t>
      </w:r>
    </w:p>
    <w:p>
      <w:pPr>
        <w:spacing w:after="0" w:line="200" w:lineRule="exact"/>
        <w:rPr>
          <w:sz w:val="20"/>
          <w:szCs w:val="20"/>
          <w:color w:val="auto"/>
        </w:rPr>
      </w:pPr>
    </w:p>
    <w:p>
      <w:pPr>
        <w:sectPr>
          <w:pgSz w:w="11900" w:h="16838" w:orient="portrait"/>
          <w:cols w:equalWidth="0" w:num="2">
            <w:col w:w="6020" w:space="720"/>
            <w:col w:w="3479"/>
          </w:cols>
          <w:pgMar w:left="240" w:top="142" w:right="1440" w:bottom="0" w:gutter="0" w:footer="0" w:header="0"/>
          <w:type w:val="continuous"/>
        </w:sectPr>
      </w:pPr>
    </w:p>
    <w:p>
      <w:pPr>
        <w:spacing w:after="0" w:line="22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283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Schedule 13G</w:t>
      </w:r>
    </w:p>
    <w:p>
      <w:pPr>
        <w:spacing w:after="0" w:line="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6"/>
          <w:szCs w:val="16"/>
          <w:color w:val="auto"/>
        </w:rPr>
        <w:t>Under the Securities Exchange Act of 1934</w:t>
      </w:r>
    </w:p>
    <w:p>
      <w:pPr>
        <w:sectPr>
          <w:pgSz w:w="11900" w:h="16838" w:orient="portrait"/>
          <w:cols w:equalWidth="0" w:num="1">
            <w:col w:w="10219"/>
          </w:cols>
          <w:pgMar w:left="24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201"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ind w:left="740"/>
        <w:spacing w:after="0" w:line="238" w:lineRule="auto"/>
        <w:rPr>
          <w:sz w:val="20"/>
          <w:szCs w:val="20"/>
          <w:color w:val="auto"/>
        </w:rPr>
      </w:pPr>
      <w:r>
        <w:rPr>
          <w:rFonts w:ascii="Courier New" w:cs="Courier New" w:eastAsia="Courier New" w:hAnsi="Courier New"/>
          <w:sz w:val="18"/>
          <w:szCs w:val="18"/>
          <w:color w:val="auto"/>
        </w:rPr>
        <w:t>Weatherford International plc</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ind w:left="740"/>
        <w:spacing w:after="0" w:line="238" w:lineRule="auto"/>
        <w:rPr>
          <w:sz w:val="20"/>
          <w:szCs w:val="20"/>
          <w:color w:val="auto"/>
        </w:rPr>
      </w:pPr>
      <w:r>
        <w:rPr>
          <w:rFonts w:ascii="Courier New" w:cs="Courier New" w:eastAsia="Courier New" w:hAnsi="Courier New"/>
          <w:sz w:val="18"/>
          <w:szCs w:val="18"/>
          <w:color w:val="auto"/>
        </w:rPr>
        <w:t>2000 St James Place</w:t>
      </w:r>
    </w:p>
    <w:p>
      <w:pPr>
        <w:ind w:left="740"/>
        <w:spacing w:after="0"/>
        <w:rPr>
          <w:sz w:val="20"/>
          <w:szCs w:val="20"/>
          <w:color w:val="auto"/>
        </w:rPr>
      </w:pPr>
      <w:r>
        <w:rPr>
          <w:rFonts w:ascii="Courier New" w:cs="Courier New" w:eastAsia="Courier New" w:hAnsi="Courier New"/>
          <w:sz w:val="18"/>
          <w:szCs w:val="18"/>
          <w:color w:val="auto"/>
        </w:rPr>
        <w:t>Houston, TX 77056</w:t>
      </w:r>
    </w:p>
    <w:p>
      <w:pPr>
        <w:spacing w:after="0" w:line="200"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ind w:left="740"/>
        <w:spacing w:after="0" w:line="238" w:lineRule="auto"/>
        <w:rPr>
          <w:sz w:val="20"/>
          <w:szCs w:val="20"/>
          <w:color w:val="auto"/>
        </w:rPr>
      </w:pPr>
      <w:r>
        <w:rPr>
          <w:rFonts w:ascii="Courier New" w:cs="Courier New" w:eastAsia="Courier New" w:hAnsi="Courier New"/>
          <w:sz w:val="18"/>
          <w:szCs w:val="18"/>
          <w:color w:val="auto"/>
        </w:rPr>
        <w:t>Capital World Investors</w:t>
      </w:r>
    </w:p>
    <w:p>
      <w:pPr>
        <w:spacing w:after="0" w:line="202"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w:t>
      </w:r>
    </w:p>
    <w:p>
      <w:pPr>
        <w:ind w:left="740"/>
        <w:spacing w:after="0" w:line="238" w:lineRule="auto"/>
        <w:rPr>
          <w:sz w:val="20"/>
          <w:szCs w:val="20"/>
          <w:color w:val="auto"/>
        </w:rPr>
      </w:pPr>
      <w:r>
        <w:rPr>
          <w:rFonts w:ascii="Courier New" w:cs="Courier New" w:eastAsia="Courier New" w:hAnsi="Courier New"/>
          <w:sz w:val="18"/>
          <w:szCs w:val="18"/>
          <w:color w:val="auto"/>
        </w:rPr>
        <w:t>Residence:</w:t>
      </w:r>
    </w:p>
    <w:p>
      <w:pPr>
        <w:ind w:left="740"/>
        <w:spacing w:after="0"/>
        <w:rPr>
          <w:sz w:val="20"/>
          <w:szCs w:val="20"/>
          <w:color w:val="auto"/>
        </w:rPr>
      </w:pPr>
      <w:r>
        <w:rPr>
          <w:rFonts w:ascii="Courier New" w:cs="Courier New" w:eastAsia="Courier New" w:hAnsi="Courier New"/>
          <w:sz w:val="18"/>
          <w:szCs w:val="18"/>
          <w:color w:val="auto"/>
        </w:rPr>
        <w:t>333 South Hope Street</w:t>
      </w:r>
    </w:p>
    <w:p>
      <w:pPr>
        <w:ind w:left="740"/>
        <w:spacing w:after="0" w:line="237" w:lineRule="auto"/>
        <w:rPr>
          <w:sz w:val="20"/>
          <w:szCs w:val="20"/>
          <w:color w:val="auto"/>
        </w:rPr>
      </w:pPr>
      <w:r>
        <w:rPr>
          <w:rFonts w:ascii="Courier New" w:cs="Courier New" w:eastAsia="Courier New" w:hAnsi="Courier New"/>
          <w:sz w:val="18"/>
          <w:szCs w:val="18"/>
          <w:color w:val="auto"/>
        </w:rPr>
        <w:t>Los Angeles, CA 90071</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2(c)</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Citizenship:</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N/A</w:t>
            </w: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2(d)</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Title of Class</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rPr>
              <w:t>of Securities:</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Common</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1480" w:type="dxa"/>
            <w:vAlign w:val="bottom"/>
            <w:gridSpan w:val="2"/>
          </w:tcPr>
          <w:p>
            <w:pPr>
              <w:spacing w:after="0"/>
              <w:rPr>
                <w:sz w:val="20"/>
                <w:szCs w:val="20"/>
                <w:color w:val="auto"/>
              </w:rPr>
            </w:pPr>
            <w:r>
              <w:rPr>
                <w:rFonts w:ascii="Courier New" w:cs="Courier New" w:eastAsia="Courier New" w:hAnsi="Courier New"/>
                <w:sz w:val="18"/>
                <w:szCs w:val="18"/>
                <w:color w:val="auto"/>
              </w:rPr>
              <w:t>Item 2(e)</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4460" w:type="dxa"/>
            <w:vAlign w:val="bottom"/>
          </w:tcPr>
          <w:p>
            <w:pPr>
              <w:spacing w:after="0"/>
              <w:rPr>
                <w:sz w:val="24"/>
                <w:szCs w:val="24"/>
                <w:color w:val="auto"/>
              </w:rPr>
            </w:pP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BLNN369</w:t>
            </w:r>
          </w:p>
        </w:tc>
        <w:tc>
          <w:tcPr>
            <w:tcW w:w="8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60" w:type="dxa"/>
            <w:vAlign w:val="bottom"/>
          </w:tcPr>
          <w:p>
            <w:pPr>
              <w:spacing w:after="0"/>
              <w:rPr>
                <w:sz w:val="17"/>
                <w:szCs w:val="17"/>
                <w:color w:val="auto"/>
              </w:rPr>
            </w:pPr>
          </w:p>
        </w:tc>
      </w:tr>
      <w:tr>
        <w:trPr>
          <w:trHeight w:val="405"/>
        </w:trPr>
        <w:tc>
          <w:tcPr>
            <w:tcW w:w="7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80" w:type="dxa"/>
            <w:vAlign w:val="bottom"/>
          </w:tcPr>
          <w:p>
            <w:pPr>
              <w:ind w:left="460"/>
              <w:spacing w:after="0"/>
              <w:rPr>
                <w:sz w:val="20"/>
                <w:szCs w:val="20"/>
                <w:color w:val="auto"/>
              </w:rPr>
            </w:pPr>
            <w:r>
              <w:rPr>
                <w:rFonts w:ascii="Courier New" w:cs="Courier New" w:eastAsia="Courier New" w:hAnsi="Courier New"/>
                <w:sz w:val="18"/>
                <w:szCs w:val="18"/>
                <w:color w:val="auto"/>
              </w:rPr>
              <w:t>If</w:t>
            </w:r>
          </w:p>
        </w:tc>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this statement</w:t>
            </w:r>
          </w:p>
        </w:tc>
        <w:tc>
          <w:tcPr>
            <w:tcW w:w="4460" w:type="dxa"/>
            <w:vAlign w:val="bottom"/>
          </w:tcPr>
          <w:p>
            <w:pPr>
              <w:ind w:left="40"/>
              <w:spacing w:after="0"/>
              <w:rPr>
                <w:sz w:val="20"/>
                <w:szCs w:val="20"/>
                <w:color w:val="auto"/>
              </w:rPr>
            </w:pPr>
            <w:r>
              <w:rPr>
                <w:rFonts w:ascii="Courier New" w:cs="Courier New" w:eastAsia="Courier New" w:hAnsi="Courier New"/>
                <w:sz w:val="18"/>
                <w:szCs w:val="18"/>
                <w:color w:val="auto"/>
                <w:w w:val="96"/>
              </w:rPr>
              <w:t>is filed pursuant to sections 240.13d-1(b)</w:t>
            </w:r>
          </w:p>
        </w:tc>
      </w:tr>
      <w:tr>
        <w:trPr>
          <w:trHeight w:val="203"/>
        </w:trPr>
        <w:tc>
          <w:tcPr>
            <w:tcW w:w="700" w:type="dxa"/>
            <w:vAlign w:val="bottom"/>
          </w:tcPr>
          <w:p>
            <w:pPr>
              <w:spacing w:after="0"/>
              <w:rPr>
                <w:sz w:val="17"/>
                <w:szCs w:val="17"/>
                <w:color w:val="auto"/>
              </w:rPr>
            </w:pPr>
          </w:p>
        </w:tc>
        <w:tc>
          <w:tcPr>
            <w:tcW w:w="678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240.13d-2(b) or (c), check whether the person filing is a:</w:t>
            </w:r>
          </w:p>
        </w:tc>
      </w:tr>
      <w:tr>
        <w:trPr>
          <w:trHeight w:val="203"/>
        </w:trPr>
        <w:tc>
          <w:tcPr>
            <w:tcW w:w="700" w:type="dxa"/>
            <w:vAlign w:val="bottom"/>
          </w:tcPr>
          <w:p>
            <w:pPr>
              <w:spacing w:after="0"/>
              <w:rPr>
                <w:sz w:val="17"/>
                <w:szCs w:val="17"/>
                <w:color w:val="auto"/>
              </w:rPr>
            </w:pP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(e)</w:t>
            </w:r>
          </w:p>
        </w:tc>
        <w:tc>
          <w:tcPr>
            <w:tcW w:w="8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[X]</w:t>
            </w:r>
          </w:p>
        </w:tc>
        <w:tc>
          <w:tcPr>
            <w:tcW w:w="51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An investment adviser in accordance with</w:t>
            </w:r>
          </w:p>
        </w:tc>
      </w:tr>
    </w:tbl>
    <w:p>
      <w:pPr>
        <w:sectPr>
          <w:pgSz w:w="11900" w:h="16838" w:orient="portrait"/>
          <w:cols w:equalWidth="0" w:num="1">
            <w:col w:w="10219"/>
          </w:cols>
          <w:pgMar w:left="240" w:top="142" w:right="1440" w:bottom="0" w:gutter="0" w:footer="0" w:header="0"/>
          <w:type w:val="continuous"/>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section 240.13d-1(b)(1)(ii)(E).</w:t>
      </w:r>
    </w:p>
    <w:p>
      <w:pPr>
        <w:spacing w:after="0" w:line="201"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left="740" w:right="2939"/>
        <w:spacing w:after="0" w:line="236"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0" w:lineRule="exact"/>
        <w:rPr>
          <w:sz w:val="20"/>
          <w:szCs w:val="20"/>
          <w:color w:val="auto"/>
        </w:rPr>
      </w:pPr>
    </w:p>
    <w:p>
      <w:pPr>
        <w:spacing w:after="0" w:line="206" w:lineRule="exact"/>
        <w:rPr>
          <w:sz w:val="20"/>
          <w:szCs w:val="20"/>
          <w:color w:val="auto"/>
        </w:rPr>
      </w:pPr>
    </w:p>
    <w:p>
      <w:pPr>
        <w:ind w:left="1480" w:hanging="735"/>
        <w:spacing w:after="0"/>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1480" w:hanging="735"/>
        <w:spacing w:after="0" w:line="238" w:lineRule="auto"/>
        <w:tabs>
          <w:tab w:leader="none" w:pos="14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the person has:</w:t>
      </w:r>
    </w:p>
    <w:p>
      <w:pPr>
        <w:ind w:left="1480" w:hanging="735"/>
        <w:spacing w:after="0"/>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w:t>
      </w:r>
    </w:p>
    <w:p>
      <w:pPr>
        <w:ind w:left="1480" w:hanging="735"/>
        <w:spacing w:after="0" w:line="238" w:lineRule="auto"/>
        <w:tabs>
          <w:tab w:leader="none" w:pos="14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See page 2</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Capital World Investors is deemed to be the beneficial owner of 90,217,846 shares or 9.2% of the 980,978,754 shares believed to be outstanding as a result of CRMC acting as investment adviser to various investment companies registered under Section 8 of the Investment Company Act of 1940.</w:t>
      </w:r>
    </w:p>
    <w:p>
      <w:pPr>
        <w:spacing w:after="0" w:line="200" w:lineRule="exact"/>
        <w:rPr>
          <w:sz w:val="20"/>
          <w:szCs w:val="20"/>
          <w:color w:val="auto"/>
        </w:rPr>
      </w:pPr>
    </w:p>
    <w:p>
      <w:pPr>
        <w:spacing w:after="0" w:line="206"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3 of 4</w:t>
      </w:r>
    </w:p>
    <w:p>
      <w:pPr>
        <w:spacing w:after="0" w:line="207" w:lineRule="exact"/>
        <w:rPr>
          <w:sz w:val="20"/>
          <w:szCs w:val="20"/>
          <w:color w:val="auto"/>
        </w:rPr>
      </w:pPr>
    </w:p>
    <w:p>
      <w:pPr>
        <w:ind w:left="740" w:right="2839" w:hanging="736"/>
        <w:spacing w:after="0" w:line="237" w:lineRule="auto"/>
        <w:tabs>
          <w:tab w:leader="none" w:pos="720" w:val="left"/>
        </w:tabs>
        <w:rPr>
          <w:sz w:val="20"/>
          <w:szCs w:val="20"/>
          <w:color w:val="auto"/>
        </w:rPr>
      </w:pPr>
      <w:r>
        <w:rPr>
          <w:rFonts w:ascii="Courier New" w:cs="Courier New" w:eastAsia="Courier New" w:hAnsi="Courier New"/>
          <w:sz w:val="18"/>
          <w:szCs w:val="18"/>
          <w:color w:val="auto"/>
        </w:rPr>
        <w:t>Item 5</w:t>
        <w:tab/>
        <w:t>Ownership of Five Percent or Less of a Class. If this statement is being filed to report the fact that as of the date hereof the reporting person has ceased to be the beneficial owner of more than five percent of the class of securities, check the following: [ ]</w:t>
      </w:r>
    </w:p>
    <w:p>
      <w:pPr>
        <w:spacing w:after="0" w:line="209" w:lineRule="exact"/>
        <w:rPr>
          <w:sz w:val="20"/>
          <w:szCs w:val="20"/>
          <w:color w:val="auto"/>
        </w:rPr>
      </w:pPr>
    </w:p>
    <w:p>
      <w:pPr>
        <w:ind w:left="740" w:right="3159" w:hanging="736"/>
        <w:spacing w:after="0" w:line="235" w:lineRule="auto"/>
        <w:tabs>
          <w:tab w:leader="none" w:pos="720" w:val="left"/>
        </w:tabs>
        <w:rPr>
          <w:sz w:val="20"/>
          <w:szCs w:val="20"/>
          <w:color w:val="auto"/>
        </w:rPr>
      </w:pPr>
      <w:r>
        <w:rPr>
          <w:rFonts w:ascii="Courier New" w:cs="Courier New" w:eastAsia="Courier New" w:hAnsi="Courier New"/>
          <w:sz w:val="18"/>
          <w:szCs w:val="18"/>
          <w:color w:val="auto"/>
        </w:rPr>
        <w:t>Item 6</w:t>
        <w:tab/>
        <w:t>Ownership of More than Five Percent on Behalf of Another Person: N/A</w:t>
      </w:r>
    </w:p>
    <w:p>
      <w:pPr>
        <w:spacing w:after="0" w:line="208" w:lineRule="exact"/>
        <w:rPr>
          <w:sz w:val="20"/>
          <w:szCs w:val="20"/>
          <w:color w:val="auto"/>
        </w:rPr>
      </w:pPr>
    </w:p>
    <w:p>
      <w:pPr>
        <w:jc w:val="both"/>
        <w:ind w:left="740" w:right="3039" w:hanging="736"/>
        <w:spacing w:after="0" w:line="236" w:lineRule="auto"/>
        <w:tabs>
          <w:tab w:leader="none" w:pos="72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 N/A</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ind w:left="740"/>
        <w:spacing w:after="0" w:line="238" w:lineRule="auto"/>
        <w:rPr>
          <w:sz w:val="20"/>
          <w:szCs w:val="20"/>
          <w:color w:val="auto"/>
        </w:rPr>
      </w:pPr>
      <w:r>
        <w:rPr>
          <w:rFonts w:ascii="Courier New" w:cs="Courier New" w:eastAsia="Courier New" w:hAnsi="Courier New"/>
          <w:sz w:val="18"/>
          <w:szCs w:val="18"/>
          <w:color w:val="auto"/>
        </w:rPr>
        <w:t>N/A</w:t>
      </w:r>
    </w:p>
    <w:p>
      <w:pPr>
        <w:spacing w:after="0" w:line="202" w:lineRule="exact"/>
        <w:rPr>
          <w:sz w:val="20"/>
          <w:szCs w:val="20"/>
          <w:color w:val="auto"/>
        </w:rPr>
      </w:pPr>
    </w:p>
    <w:p>
      <w:pPr>
        <w:spacing w:after="0"/>
        <w:tabs>
          <w:tab w:leader="none" w:pos="1140" w:val="left"/>
          <w:tab w:leader="none" w:pos="462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8"/>
          <w:szCs w:val="18"/>
          <w:color w:val="auto"/>
        </w:rPr>
        <w:t>Notice of Dissolution of Group:</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740" w:right="283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left="740" w:right="31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tbl>
      <w:tblPr>
        <w:tblLayout w:type="fixed"/>
        <w:tblInd w:w="860" w:type="dxa"/>
        <w:tblCellMar>
          <w:top w:w="0" w:type="dxa"/>
          <w:left w:w="0" w:type="dxa"/>
          <w:bottom w:w="0" w:type="dxa"/>
          <w:right w:w="0" w:type="dxa"/>
        </w:tblCellMar>
      </w:tblPr>
      <w:tr>
        <w:trPr>
          <w:trHeight w:val="204"/>
        </w:trPr>
        <w:tc>
          <w:tcPr>
            <w:tcW w:w="1360" w:type="dxa"/>
            <w:vAlign w:val="bottom"/>
          </w:tcPr>
          <w:p>
            <w:pPr>
              <w:spacing w:after="0"/>
              <w:rPr>
                <w:sz w:val="20"/>
                <w:szCs w:val="20"/>
                <w:color w:val="auto"/>
              </w:rPr>
            </w:pPr>
            <w:r>
              <w:rPr>
                <w:rFonts w:ascii="Courier New" w:cs="Courier New" w:eastAsia="Courier New" w:hAnsi="Courier New"/>
                <w:sz w:val="18"/>
                <w:szCs w:val="18"/>
                <w:color w:val="auto"/>
              </w:rPr>
              <w:t>Date:</w:t>
            </w:r>
          </w:p>
        </w:tc>
        <w:tc>
          <w:tcPr>
            <w:tcW w:w="264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February 8, 2017</w:t>
            </w:r>
          </w:p>
        </w:tc>
      </w:tr>
      <w:tr>
        <w:trPr>
          <w:trHeight w:val="405"/>
        </w:trPr>
        <w:tc>
          <w:tcPr>
            <w:tcW w:w="1360" w:type="dxa"/>
            <w:vAlign w:val="bottom"/>
          </w:tcPr>
          <w:p>
            <w:pPr>
              <w:spacing w:after="0"/>
              <w:rPr>
                <w:sz w:val="20"/>
                <w:szCs w:val="20"/>
                <w:color w:val="auto"/>
              </w:rPr>
            </w:pPr>
            <w:r>
              <w:rPr>
                <w:rFonts w:ascii="Courier New" w:cs="Courier New" w:eastAsia="Courier New" w:hAnsi="Courier New"/>
                <w:sz w:val="18"/>
                <w:szCs w:val="18"/>
                <w:color w:val="auto"/>
              </w:rPr>
              <w:t>Signature:</w:t>
            </w:r>
          </w:p>
        </w:tc>
        <w:tc>
          <w:tcPr>
            <w:tcW w:w="680" w:type="dxa"/>
            <w:vAlign w:val="bottom"/>
          </w:tcPr>
          <w:p>
            <w:pPr>
              <w:ind w:left="220"/>
              <w:spacing w:after="0"/>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rPr>
                <w:sz w:val="20"/>
                <w:szCs w:val="20"/>
                <w:color w:val="auto"/>
              </w:rPr>
            </w:pPr>
            <w:r>
              <w:rPr>
                <w:rFonts w:ascii="Courier New" w:cs="Courier New" w:eastAsia="Courier New" w:hAnsi="Courier New"/>
                <w:sz w:val="18"/>
                <w:szCs w:val="18"/>
                <w:color w:val="auto"/>
              </w:rPr>
              <w:t>N. Berro***</w:t>
            </w:r>
          </w:p>
        </w:tc>
      </w:tr>
      <w:tr>
        <w:trPr>
          <w:trHeight w:val="203"/>
        </w:trPr>
        <w:tc>
          <w:tcPr>
            <w:tcW w:w="13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Name/Title:</w:t>
            </w:r>
          </w:p>
        </w:tc>
        <w:tc>
          <w:tcPr>
            <w:tcW w:w="6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Alan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N. Berro - Partner</w:t>
            </w:r>
          </w:p>
        </w:tc>
      </w:tr>
      <w:tr>
        <w:trPr>
          <w:trHeight w:val="203"/>
        </w:trPr>
        <w:tc>
          <w:tcPr>
            <w:tcW w:w="1360" w:type="dxa"/>
            <w:vAlign w:val="bottom"/>
          </w:tcPr>
          <w:p>
            <w:pPr>
              <w:spacing w:after="0"/>
              <w:rPr>
                <w:sz w:val="17"/>
                <w:szCs w:val="17"/>
                <w:color w:val="auto"/>
              </w:rPr>
            </w:pPr>
          </w:p>
        </w:tc>
        <w:tc>
          <w:tcPr>
            <w:tcW w:w="264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Capital World Investors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860"/>
        <w:spacing w:after="0"/>
        <w:tabs>
          <w:tab w:leader="none" w:pos="1560" w:val="left"/>
        </w:tabs>
        <w:rPr>
          <w:sz w:val="20"/>
          <w:szCs w:val="20"/>
          <w:color w:val="auto"/>
        </w:rPr>
      </w:pPr>
      <w:r>
        <w:rPr>
          <w:rFonts w:ascii="Courier New" w:cs="Courier New" w:eastAsia="Courier New" w:hAnsi="Courier New"/>
          <w:sz w:val="18"/>
          <w:szCs w:val="18"/>
          <w:color w:val="auto"/>
        </w:rPr>
        <w:t>***By</w:t>
        <w:tab/>
        <w:t>/s/ Michael J. Triessl</w:t>
      </w:r>
    </w:p>
    <w:p>
      <w:pPr>
        <w:ind w:left="1580"/>
        <w:spacing w:after="0" w:line="238" w:lineRule="auto"/>
        <w:rPr>
          <w:sz w:val="20"/>
          <w:szCs w:val="20"/>
          <w:color w:val="auto"/>
        </w:rPr>
      </w:pPr>
      <w:r>
        <w:rPr>
          <w:rFonts w:ascii="Courier New" w:cs="Courier New" w:eastAsia="Courier New" w:hAnsi="Courier New"/>
          <w:sz w:val="18"/>
          <w:szCs w:val="18"/>
          <w:color w:val="auto"/>
        </w:rPr>
        <w:t>Michael J. Triessl</w:t>
      </w:r>
    </w:p>
    <w:p>
      <w:pPr>
        <w:ind w:left="1580"/>
        <w:spacing w:after="0"/>
        <w:rPr>
          <w:sz w:val="20"/>
          <w:szCs w:val="20"/>
          <w:color w:val="auto"/>
        </w:rPr>
      </w:pPr>
      <w:r>
        <w:rPr>
          <w:rFonts w:ascii="Courier New" w:cs="Courier New" w:eastAsia="Courier New" w:hAnsi="Courier New"/>
          <w:sz w:val="18"/>
          <w:szCs w:val="18"/>
          <w:color w:val="auto"/>
        </w:rPr>
        <w:t>Attorney-in-fact</w:t>
      </w:r>
    </w:p>
    <w:p>
      <w:pPr>
        <w:spacing w:after="0" w:line="206" w:lineRule="exact"/>
        <w:rPr>
          <w:sz w:val="20"/>
          <w:szCs w:val="20"/>
          <w:color w:val="auto"/>
        </w:rPr>
      </w:pPr>
    </w:p>
    <w:p>
      <w:pPr>
        <w:ind w:left="1060" w:right="2739"/>
        <w:spacing w:after="0" w:line="237" w:lineRule="auto"/>
        <w:rPr>
          <w:sz w:val="20"/>
          <w:szCs w:val="20"/>
          <w:color w:val="auto"/>
        </w:rPr>
      </w:pPr>
      <w:r>
        <w:rPr>
          <w:rFonts w:ascii="Courier New" w:cs="Courier New" w:eastAsia="Courier New" w:hAnsi="Courier New"/>
          <w:sz w:val="18"/>
          <w:szCs w:val="18"/>
          <w:color w:val="auto"/>
        </w:rPr>
        <w:t>Signed pursuant to a Power of Attorney dated January 4, 2017 included as an Exhibit to Schedule 13G filed with the Securities and Exchange Commission by Capital World Investors on February 10, 2017 with respect to ITT Educational Services, Inc.</w:t>
      </w:r>
    </w:p>
    <w:p>
      <w:pPr>
        <w:sectPr>
          <w:pgSz w:w="11900" w:h="16838" w:orient="portrait"/>
          <w:cols w:equalWidth="0" w:num="1">
            <w:col w:w="10219"/>
          </w:cols>
          <w:pgMar w:left="240" w:top="136" w:right="1440" w:bottom="0" w:gutter="0" w:footer="0" w:header="0"/>
        </w:sectPr>
      </w:pPr>
    </w:p>
    <w:bookmarkStart w:id="3" w:name="page4"/>
    <w:bookmarkEnd w:id="3"/>
    <w:p>
      <w:pPr>
        <w:spacing w:after="0" w:line="115" w:lineRule="exact"/>
        <w:rPr>
          <w:sz w:val="20"/>
          <w:szCs w:val="20"/>
          <w:color w:val="auto"/>
        </w:rPr>
      </w:pPr>
    </w:p>
    <w:p>
      <w:pPr>
        <w:spacing w:after="0"/>
        <w:tabs>
          <w:tab w:leader="none" w:pos="6720" w:val="left"/>
        </w:tabs>
        <w:rPr>
          <w:sz w:val="20"/>
          <w:szCs w:val="20"/>
          <w:color w:val="auto"/>
        </w:rPr>
      </w:pPr>
      <w:r>
        <w:rPr>
          <w:rFonts w:ascii="Courier New" w:cs="Courier New" w:eastAsia="Courier New" w:hAnsi="Courier New"/>
          <w:sz w:val="18"/>
          <w:szCs w:val="18"/>
          <w:color w:val="auto"/>
        </w:rPr>
        <w:t>CUSIP: BLNN369</w:t>
      </w:r>
      <w:r>
        <w:rPr>
          <w:sz w:val="20"/>
          <w:szCs w:val="20"/>
          <w:color w:val="auto"/>
        </w:rPr>
        <w:tab/>
      </w:r>
      <w:r>
        <w:rPr>
          <w:rFonts w:ascii="Courier New" w:cs="Courier New" w:eastAsia="Courier New" w:hAnsi="Courier New"/>
          <w:sz w:val="16"/>
          <w:szCs w:val="16"/>
          <w:color w:val="auto"/>
        </w:rPr>
        <w:t>Page 4 of 4</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upperLetter"/>
      <w:start w:val="24"/>
    </w:lvl>
  </w:abstractNum>
  <w:abstractNum w:abstractNumId="1">
    <w:nsid w:val="2EB141F2"/>
    <w:multiLevelType w:val="hybridMultilevel"/>
    <w:lvl w:ilvl="0">
      <w:lvlJc w:val="left"/>
      <w:lvlText w:val="1"/>
      <w:numFmt w:val="bullet"/>
      <w:start w:val="1"/>
    </w:lvl>
  </w:abstractNum>
  <w:abstractNum w:abstractNumId="2">
    <w:nsid w:val="41B71EFB"/>
    <w:multiLevelType w:val="hybridMultilevel"/>
    <w:lvl w:ilvl="0">
      <w:lvlJc w:val="left"/>
      <w:lvlText w:val="2"/>
      <w:numFmt w:val="bullet"/>
      <w:start w:val="1"/>
    </w:lvl>
  </w:abstractNum>
  <w:abstractNum w:abstractNumId="3">
    <w:nsid w:val="79E2A9E3"/>
    <w:multiLevelType w:val="hybridMultilevel"/>
    <w:lvl w:ilvl="0">
      <w:lvlJc w:val="left"/>
      <w:lvlText w:val="3"/>
      <w:numFmt w:val="bullet"/>
      <w:start w:val="1"/>
    </w:lvl>
  </w:abstractNum>
  <w:abstractNum w:abstractNumId="4">
    <w:nsid w:val="7545E146"/>
    <w:multiLevelType w:val="hybridMultilevel"/>
    <w:lvl w:ilvl="0">
      <w:lvlJc w:val="left"/>
      <w:lvlText w:val="4"/>
      <w:numFmt w:val="bullet"/>
      <w:start w:val="1"/>
    </w:lvl>
  </w:abstractNum>
  <w:abstractNum w:abstractNumId="5">
    <w:nsid w:val="515F007C"/>
    <w:multiLevelType w:val="hybridMultilevel"/>
    <w:lvl w:ilvl="0">
      <w:lvlJc w:val="left"/>
      <w:lvlText w:val="5"/>
      <w:numFmt w:val="bullet"/>
      <w:start w:val="1"/>
    </w:lvl>
  </w:abstractNum>
  <w:abstractNum w:abstractNumId="6">
    <w:nsid w:val="5BD062C2"/>
    <w:multiLevelType w:val="hybridMultilevel"/>
    <w:lvl w:ilvl="0">
      <w:lvlJc w:val="left"/>
      <w:lvlText w:val="8"/>
      <w:numFmt w:val="bullet"/>
      <w:start w:val="1"/>
    </w:lvl>
  </w:abstractNum>
  <w:abstractNum w:abstractNumId="7">
    <w:nsid w:val="12200854"/>
    <w:multiLevelType w:val="hybridMultilevel"/>
    <w:lvl w:ilvl="0">
      <w:lvlJc w:val="left"/>
      <w:lvlText w:val="9"/>
      <w:numFmt w:val="bullet"/>
      <w:start w:val="1"/>
    </w:lvl>
  </w:abstractNum>
  <w:abstractNum w:abstractNumId="8">
    <w:nsid w:val="4DB127F8"/>
    <w:multiLevelType w:val="hybridMultilevel"/>
    <w:lvl w:ilvl="0">
      <w:lvlJc w:val="left"/>
      <w:lvlText w:val="**"/>
      <w:numFmt w:val="bullet"/>
      <w:start w:val="1"/>
    </w:lvl>
    <w:lvl w:ilvl="1">
      <w:lvlJc w:val="left"/>
      <w:lvlText w:val="%2"/>
      <w:numFmt w:val="decimal"/>
      <w:start w:val="10"/>
    </w:lvl>
  </w:abstractNum>
  <w:abstractNum w:abstractNumId="9">
    <w:nsid w:val="216231B"/>
    <w:multiLevelType w:val="hybridMultilevel"/>
    <w:lvl w:ilvl="0">
      <w:lvlJc w:val="left"/>
      <w:lvlText w:val="(%1)"/>
      <w:numFmt w:val="lowerLetter"/>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2019-12-21T04:06:05Z</dcterms:created>
  <dcterms:modified xsi:type="dcterms:W3CDTF">2019-12-21T04:06:05Z</dcterms:modified>
</cp:coreProperties>
</file>