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June 4, 2021</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94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117475</wp:posOffset>
            </wp:positionV>
            <wp:extent cx="457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8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S-8</w:t>
      </w:r>
    </w:p>
    <w:p>
      <w:pPr>
        <w:spacing w:after="0" w:line="6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126365</wp:posOffset>
            </wp:positionV>
            <wp:extent cx="457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8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7" w:lineRule="exact"/>
        <w:rPr>
          <w:sz w:val="24"/>
          <w:szCs w:val="24"/>
          <w:color w:val="auto"/>
        </w:rPr>
      </w:pPr>
    </w:p>
    <w:tbl>
      <w:tblPr>
        <w:tblLayout w:type="fixed"/>
        <w:tblInd w:w="940" w:type="dxa"/>
        <w:tblCellMar>
          <w:top w:w="0" w:type="dxa"/>
          <w:left w:w="0" w:type="dxa"/>
          <w:bottom w:w="0" w:type="dxa"/>
          <w:right w:w="0" w:type="dxa"/>
        </w:tblCellMar>
      </w:tblPr>
      <w:tr>
        <w:trPr>
          <w:trHeight w:val="230"/>
        </w:trPr>
        <w:tc>
          <w:tcPr>
            <w:tcW w:w="5380" w:type="dxa"/>
            <w:vAlign w:val="bottom"/>
          </w:tcPr>
          <w:p>
            <w:pPr>
              <w:jc w:val="center"/>
              <w:ind w:right="990"/>
              <w:spacing w:after="0"/>
              <w:rPr>
                <w:sz w:val="20"/>
                <w:szCs w:val="20"/>
                <w:color w:val="auto"/>
              </w:rPr>
            </w:pPr>
            <w:r>
              <w:rPr>
                <w:rFonts w:ascii="Arial" w:cs="Arial" w:eastAsia="Arial" w:hAnsi="Arial"/>
                <w:sz w:val="18"/>
                <w:szCs w:val="18"/>
                <w:color w:val="auto"/>
                <w:w w:val="90"/>
              </w:rPr>
              <w:t>Ireland</w:t>
            </w:r>
          </w:p>
        </w:tc>
        <w:tc>
          <w:tcPr>
            <w:tcW w:w="3700" w:type="dxa"/>
            <w:vAlign w:val="bottom"/>
          </w:tcPr>
          <w:p>
            <w:pPr>
              <w:jc w:val="right"/>
              <w:ind w:right="790"/>
              <w:spacing w:after="0"/>
              <w:rPr>
                <w:sz w:val="20"/>
                <w:szCs w:val="20"/>
                <w:color w:val="auto"/>
              </w:rPr>
            </w:pPr>
            <w:r>
              <w:rPr>
                <w:rFonts w:ascii="Arial" w:cs="Arial" w:eastAsia="Arial" w:hAnsi="Arial"/>
                <w:sz w:val="18"/>
                <w:szCs w:val="18"/>
                <w:color w:val="auto"/>
              </w:rPr>
              <w:t>98-0606750</w:t>
            </w:r>
          </w:p>
        </w:tc>
      </w:tr>
      <w:tr>
        <w:trPr>
          <w:trHeight w:val="270"/>
        </w:trPr>
        <w:tc>
          <w:tcPr>
            <w:tcW w:w="5380" w:type="dxa"/>
            <w:vAlign w:val="bottom"/>
          </w:tcPr>
          <w:p>
            <w:pPr>
              <w:jc w:val="center"/>
              <w:ind w:right="9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00" w:type="dxa"/>
            <w:vAlign w:val="bottom"/>
          </w:tcPr>
          <w:p>
            <w:pPr>
              <w:jc w:val="center"/>
              <w:ind w:left="99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380" w:type="dxa"/>
            <w:vAlign w:val="bottom"/>
          </w:tcPr>
          <w:p>
            <w:pPr>
              <w:jc w:val="center"/>
              <w:ind w:right="990"/>
              <w:spacing w:after="0"/>
              <w:rPr>
                <w:sz w:val="20"/>
                <w:szCs w:val="20"/>
                <w:color w:val="auto"/>
              </w:rPr>
            </w:pPr>
            <w:r>
              <w:rPr>
                <w:rFonts w:ascii="Arial" w:cs="Arial" w:eastAsia="Arial" w:hAnsi="Arial"/>
                <w:sz w:val="18"/>
                <w:szCs w:val="18"/>
                <w:color w:val="auto"/>
                <w:w w:val="88"/>
              </w:rPr>
              <w:t>2000 St. James Place, Houston, Texas</w:t>
            </w:r>
          </w:p>
        </w:tc>
        <w:tc>
          <w:tcPr>
            <w:tcW w:w="3700" w:type="dxa"/>
            <w:vAlign w:val="bottom"/>
          </w:tcPr>
          <w:p>
            <w:pPr>
              <w:jc w:val="right"/>
              <w:ind w:right="990"/>
              <w:spacing w:after="0"/>
              <w:rPr>
                <w:sz w:val="20"/>
                <w:szCs w:val="20"/>
                <w:color w:val="auto"/>
              </w:rPr>
            </w:pPr>
            <w:r>
              <w:rPr>
                <w:rFonts w:ascii="Arial" w:cs="Arial" w:eastAsia="Arial" w:hAnsi="Arial"/>
                <w:sz w:val="18"/>
                <w:szCs w:val="18"/>
                <w:color w:val="auto"/>
              </w:rPr>
              <w:t>77056</w:t>
            </w:r>
          </w:p>
        </w:tc>
      </w:tr>
      <w:tr>
        <w:trPr>
          <w:trHeight w:val="270"/>
        </w:trPr>
        <w:tc>
          <w:tcPr>
            <w:tcW w:w="5380" w:type="dxa"/>
            <w:vAlign w:val="bottom"/>
          </w:tcPr>
          <w:p>
            <w:pPr>
              <w:jc w:val="center"/>
              <w:ind w:right="990"/>
              <w:spacing w:after="0"/>
              <w:rPr>
                <w:sz w:val="20"/>
                <w:szCs w:val="20"/>
                <w:color w:val="auto"/>
              </w:rPr>
            </w:pPr>
            <w:r>
              <w:rPr>
                <w:rFonts w:ascii="Arial" w:cs="Arial" w:eastAsia="Arial" w:hAnsi="Arial"/>
                <w:sz w:val="18"/>
                <w:szCs w:val="18"/>
                <w:color w:val="auto"/>
                <w:w w:val="92"/>
              </w:rPr>
              <w:t>(Address of Principal Executive Offices)</w:t>
            </w:r>
          </w:p>
        </w:tc>
        <w:tc>
          <w:tcPr>
            <w:tcW w:w="3700" w:type="dxa"/>
            <w:vAlign w:val="bottom"/>
          </w:tcPr>
          <w:p>
            <w:pPr>
              <w:jc w:val="center"/>
              <w:ind w:left="99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60"/>
        <w:spacing w:after="0" w:line="275" w:lineRule="auto"/>
        <w:rPr>
          <w:sz w:val="20"/>
          <w:szCs w:val="20"/>
          <w:color w:val="auto"/>
        </w:rPr>
      </w:pPr>
      <w:r>
        <w:rPr>
          <w:rFonts w:ascii="Arial" w:cs="Arial" w:eastAsia="Arial" w:hAnsi="Arial"/>
          <w:sz w:val="18"/>
          <w:szCs w:val="18"/>
          <w:b w:val="1"/>
          <w:bCs w:val="1"/>
          <w:color w:val="auto"/>
        </w:rPr>
        <w:t>WEATHERFORD INTERNATIONAL PLC SECOND AMENDED AND RESTATED 2019 EQUITY INCENTIVE PLAN (Full title of the plan)</w:t>
      </w:r>
    </w:p>
    <w:p>
      <w:pPr>
        <w:spacing w:after="0" w:line="282"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Scott C. Weatherholt</w:t>
      </w:r>
    </w:p>
    <w:p>
      <w:pPr>
        <w:spacing w:after="0" w:line="27"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Weatherford International plc</w:t>
      </w:r>
    </w:p>
    <w:p>
      <w:pPr>
        <w:spacing w:after="0" w:line="9"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Executive Vice President, General Counsel and Chief Compliance Officer</w:t>
      </w:r>
    </w:p>
    <w:p>
      <w:pPr>
        <w:spacing w:after="0" w:line="9"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2000 St. James Place, Houston, Texas 77056</w:t>
      </w:r>
    </w:p>
    <w:p>
      <w:pPr>
        <w:ind w:left="5060"/>
        <w:spacing w:after="0" w:line="215" w:lineRule="auto"/>
        <w:rPr>
          <w:sz w:val="20"/>
          <w:szCs w:val="20"/>
          <w:color w:val="auto"/>
        </w:rPr>
      </w:pPr>
      <w:r>
        <w:rPr>
          <w:rFonts w:ascii="Arial" w:cs="Arial" w:eastAsia="Arial" w:hAnsi="Arial"/>
          <w:sz w:val="18"/>
          <w:szCs w:val="18"/>
          <w:b w:val="1"/>
          <w:bCs w:val="1"/>
          <w:color w:val="auto"/>
        </w:rPr>
        <w:t>(713) 836-4000</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(Name, address and telephone number, including area code, of agent for service)</w:t>
      </w:r>
    </w:p>
    <w:p>
      <w:pPr>
        <w:spacing w:after="0" w:line="155"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with copy to:</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Jonathan B. Newton</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King &amp; Spalding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1100 Louisiana Street, Suite 4100, Houston, Texas 77002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(713) 751-3200</w:t>
      </w:r>
    </w:p>
    <w:p>
      <w:pPr>
        <w:spacing w:after="0" w:line="9" w:lineRule="exact"/>
        <w:rPr>
          <w:sz w:val="24"/>
          <w:szCs w:val="24"/>
          <w:color w:val="auto"/>
        </w:rPr>
      </w:pPr>
    </w:p>
    <w:p>
      <w:pPr>
        <w:ind w:right="36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2" w:lineRule="exact"/>
        <w:rPr>
          <w:sz w:val="24"/>
          <w:szCs w:val="24"/>
          <w:color w:val="auto"/>
        </w:rPr>
      </w:pPr>
    </w:p>
    <w:p>
      <w:pPr>
        <w:ind w:left="120"/>
        <w:spacing w:after="0" w:line="196" w:lineRule="exact"/>
        <w:tabs>
          <w:tab w:leader="none" w:pos="1860" w:val="left"/>
          <w:tab w:leader="none" w:pos="2280" w:val="left"/>
          <w:tab w:leader="none" w:pos="3700" w:val="left"/>
          <w:tab w:leader="none" w:pos="4100" w:val="left"/>
          <w:tab w:leader="none" w:pos="5760" w:val="left"/>
          <w:tab w:leader="none" w:pos="8920" w:val="left"/>
          <w:tab w:leader="none" w:pos="1096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Non-accelerated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Smaller reporting company</w:t>
      </w:r>
      <w:r>
        <w:rPr>
          <w:rFonts w:ascii="MS PGothic" w:cs="MS PGothic" w:eastAsia="MS PGothic" w:hAnsi="MS PGothic"/>
          <w:sz w:val="17"/>
          <w:szCs w:val="17"/>
          <w:color w:val="auto"/>
        </w:rPr>
        <w:t xml:space="preserve">  </w:t>
      </w:r>
      <w:r>
        <w:rPr>
          <w:rFonts w:ascii="MS PGothic" w:cs="MS PGothic" w:eastAsia="MS PGothic" w:hAnsi="MS PGothic"/>
          <w:sz w:val="16"/>
          <w:szCs w:val="16"/>
          <w:color w:val="auto"/>
        </w:rPr>
        <w:t>☐</w:t>
      </w:r>
      <w:r>
        <w:rPr>
          <w:sz w:val="20"/>
          <w:szCs w:val="20"/>
          <w:color w:val="auto"/>
        </w:rPr>
        <w:tab/>
      </w:r>
      <w:r>
        <w:rPr>
          <w:rFonts w:ascii="Arial" w:cs="Arial" w:eastAsia="Arial" w:hAnsi="Arial"/>
          <w:sz w:val="17"/>
          <w:szCs w:val="17"/>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72"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19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177"/>
        </w:trPr>
        <w:tc>
          <w:tcPr>
            <w:tcW w:w="20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 of securities to be</w:t>
            </w:r>
          </w:p>
        </w:tc>
        <w:tc>
          <w:tcPr>
            <w:tcW w:w="2100" w:type="dxa"/>
            <w:vAlign w:val="bottom"/>
            <w:tcBorders>
              <w:top w:val="single" w:sz="8" w:color="auto"/>
              <w:right w:val="single" w:sz="8" w:color="auto"/>
            </w:tcBorders>
          </w:tcPr>
          <w:p>
            <w:pPr>
              <w:spacing w:after="0"/>
              <w:rPr>
                <w:sz w:val="15"/>
                <w:szCs w:val="15"/>
                <w:color w:val="auto"/>
              </w:rPr>
            </w:pP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Proposed maximum offering price</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Proposed maximum aggregate</w:t>
            </w:r>
          </w:p>
        </w:tc>
        <w:tc>
          <w:tcPr>
            <w:tcW w:w="24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 to be registered</w:t>
            </w:r>
            <w:r>
              <w:rPr>
                <w:rFonts w:ascii="Arial" w:cs="Arial" w:eastAsia="Arial" w:hAnsi="Arial"/>
                <w:sz w:val="18"/>
                <w:szCs w:val="18"/>
                <w:b w:val="1"/>
                <w:bCs w:val="1"/>
                <w:color w:val="auto"/>
                <w:w w:val="90"/>
                <w:vertAlign w:val="superscript"/>
              </w:rPr>
              <w:t>(1)</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 share</w:t>
            </w:r>
            <w:r>
              <w:rPr>
                <w:rFonts w:ascii="Arial" w:cs="Arial" w:eastAsia="Arial" w:hAnsi="Arial"/>
                <w:sz w:val="18"/>
                <w:szCs w:val="18"/>
                <w:b w:val="1"/>
                <w:bCs w:val="1"/>
                <w:color w:val="auto"/>
                <w:w w:val="90"/>
                <w:vertAlign w:val="superscript"/>
              </w:rPr>
              <w:t>(2)</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offering price</w:t>
            </w:r>
            <w:r>
              <w:rPr>
                <w:rFonts w:ascii="Arial" w:cs="Arial" w:eastAsia="Arial" w:hAnsi="Arial"/>
                <w:sz w:val="18"/>
                <w:szCs w:val="18"/>
                <w:b w:val="1"/>
                <w:bCs w:val="1"/>
                <w:color w:val="auto"/>
                <w:w w:val="90"/>
                <w:vertAlign w:val="superscript"/>
              </w:rPr>
              <w:t>(2)</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Amount of registration fee</w:t>
            </w:r>
          </w:p>
        </w:tc>
        <w:tc>
          <w:tcPr>
            <w:tcW w:w="0" w:type="dxa"/>
            <w:vAlign w:val="bottom"/>
          </w:tcPr>
          <w:p>
            <w:pPr>
              <w:spacing w:after="0"/>
              <w:rPr>
                <w:sz w:val="1"/>
                <w:szCs w:val="1"/>
                <w:color w:val="auto"/>
              </w:rPr>
            </w:pPr>
          </w:p>
        </w:tc>
      </w:tr>
      <w:tr>
        <w:trPr>
          <w:trHeight w:val="200"/>
        </w:trPr>
        <w:tc>
          <w:tcPr>
            <w:tcW w:w="2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Ordinary Shares, par value</w:t>
            </w:r>
          </w:p>
        </w:tc>
        <w:tc>
          <w:tcPr>
            <w:tcW w:w="2100" w:type="dxa"/>
            <w:vAlign w:val="bottom"/>
            <w:tcBorders>
              <w:right w:val="single" w:sz="8" w:color="auto"/>
            </w:tcBorders>
            <w:vMerge w:val="restart"/>
          </w:tcPr>
          <w:p>
            <w:pPr>
              <w:jc w:val="right"/>
              <w:ind w:right="619"/>
              <w:spacing w:after="0"/>
              <w:rPr>
                <w:sz w:val="20"/>
                <w:szCs w:val="20"/>
                <w:color w:val="auto"/>
              </w:rPr>
            </w:pPr>
            <w:r>
              <w:rPr>
                <w:rFonts w:ascii="Arial" w:cs="Arial" w:eastAsia="Arial" w:hAnsi="Arial"/>
                <w:sz w:val="18"/>
                <w:szCs w:val="18"/>
                <w:color w:val="auto"/>
              </w:rPr>
              <w:t>8,479,813</w:t>
            </w: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$13.86</w:t>
            </w: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$117,530,208.18</w:t>
            </w:r>
          </w:p>
        </w:tc>
        <w:tc>
          <w:tcPr>
            <w:tcW w:w="2480" w:type="dxa"/>
            <w:vAlign w:val="bottom"/>
            <w:tcBorders>
              <w:right w:val="single" w:sz="8" w:color="auto"/>
            </w:tcBorders>
            <w:vMerge w:val="restart"/>
          </w:tcPr>
          <w:p>
            <w:pPr>
              <w:jc w:val="right"/>
              <w:ind w:right="759"/>
              <w:spacing w:after="0"/>
              <w:rPr>
                <w:sz w:val="20"/>
                <w:szCs w:val="20"/>
                <w:color w:val="auto"/>
              </w:rPr>
            </w:pPr>
            <w:r>
              <w:rPr>
                <w:rFonts w:ascii="Arial" w:cs="Arial" w:eastAsia="Arial" w:hAnsi="Arial"/>
                <w:sz w:val="18"/>
                <w:szCs w:val="18"/>
                <w:color w:val="auto"/>
              </w:rPr>
              <w:t>$12,822.55</w:t>
            </w:r>
          </w:p>
        </w:tc>
        <w:tc>
          <w:tcPr>
            <w:tcW w:w="0" w:type="dxa"/>
            <w:vAlign w:val="bottom"/>
          </w:tcPr>
          <w:p>
            <w:pPr>
              <w:spacing w:after="0"/>
              <w:rPr>
                <w:sz w:val="1"/>
                <w:szCs w:val="1"/>
                <w:color w:val="auto"/>
              </w:rPr>
            </w:pPr>
          </w:p>
        </w:tc>
      </w:tr>
      <w:tr>
        <w:trPr>
          <w:trHeight w:val="219"/>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$0.001</w:t>
            </w:r>
          </w:p>
        </w:tc>
        <w:tc>
          <w:tcPr>
            <w:tcW w:w="2100" w:type="dxa"/>
            <w:vAlign w:val="bottom"/>
            <w:tcBorders>
              <w:bottom w:val="single" w:sz="8" w:color="auto"/>
              <w:right w:val="single" w:sz="8" w:color="auto"/>
            </w:tcBorders>
            <w:vMerge w:val="continue"/>
          </w:tcPr>
          <w:p>
            <w:pPr>
              <w:spacing w:after="0"/>
              <w:rPr>
                <w:sz w:val="19"/>
                <w:szCs w:val="19"/>
                <w:color w:val="auto"/>
              </w:rPr>
            </w:pPr>
          </w:p>
        </w:tc>
        <w:tc>
          <w:tcPr>
            <w:tcW w:w="2400" w:type="dxa"/>
            <w:vAlign w:val="bottom"/>
            <w:tcBorders>
              <w:bottom w:val="single" w:sz="8" w:color="auto"/>
              <w:right w:val="single" w:sz="8" w:color="auto"/>
            </w:tcBorders>
            <w:vMerge w:val="continue"/>
          </w:tcPr>
          <w:p>
            <w:pPr>
              <w:spacing w:after="0"/>
              <w:rPr>
                <w:sz w:val="19"/>
                <w:szCs w:val="19"/>
                <w:color w:val="auto"/>
              </w:rPr>
            </w:pPr>
          </w:p>
        </w:tc>
        <w:tc>
          <w:tcPr>
            <w:tcW w:w="2220" w:type="dxa"/>
            <w:vAlign w:val="bottom"/>
            <w:tcBorders>
              <w:bottom w:val="single" w:sz="8" w:color="auto"/>
              <w:right w:val="single" w:sz="8" w:color="auto"/>
            </w:tcBorders>
            <w:vMerge w:val="continue"/>
          </w:tcPr>
          <w:p>
            <w:pPr>
              <w:spacing w:after="0"/>
              <w:rPr>
                <w:sz w:val="19"/>
                <w:szCs w:val="19"/>
                <w:color w:val="auto"/>
              </w:rPr>
            </w:pPr>
          </w:p>
        </w:tc>
        <w:tc>
          <w:tcPr>
            <w:tcW w:w="24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580" w:hanging="504"/>
        <w:spacing w:after="0" w:line="186" w:lineRule="auto"/>
        <w:tabs>
          <w:tab w:leader="none" w:pos="580" w:val="left"/>
        </w:tabs>
        <w:numPr>
          <w:ilvl w:val="0"/>
          <w:numId w:val="1"/>
        </w:numPr>
        <w:rPr>
          <w:rFonts w:ascii="Arial" w:cs="Arial" w:eastAsia="Arial" w:hAnsi="Arial"/>
          <w:sz w:val="28"/>
          <w:szCs w:val="28"/>
          <w:color w:val="auto"/>
          <w:vertAlign w:val="superscript"/>
        </w:rPr>
      </w:pPr>
      <w:r>
        <w:rPr>
          <w:rFonts w:ascii="Arial" w:cs="Arial" w:eastAsia="Arial" w:hAnsi="Arial"/>
          <w:sz w:val="14"/>
          <w:szCs w:val="14"/>
          <w:color w:val="auto"/>
        </w:rPr>
        <w:t>The ordinary shares, par value $0.001 per share (“</w:t>
      </w:r>
      <w:r>
        <w:rPr>
          <w:rFonts w:ascii="Arial" w:cs="Arial" w:eastAsia="Arial" w:hAnsi="Arial"/>
          <w:sz w:val="14"/>
          <w:szCs w:val="14"/>
          <w:b w:val="1"/>
          <w:bCs w:val="1"/>
          <w:color w:val="auto"/>
        </w:rPr>
        <w:t>Ordinary Shares</w:t>
      </w:r>
      <w:r>
        <w:rPr>
          <w:rFonts w:ascii="Arial" w:cs="Arial" w:eastAsia="Arial" w:hAnsi="Arial"/>
          <w:sz w:val="14"/>
          <w:szCs w:val="14"/>
          <w:color w:val="auto"/>
        </w:rPr>
        <w:t>”) of Weatherford International plc, a public limited company organized under the laws of Ireland (the</w:t>
      </w:r>
    </w:p>
    <w:p>
      <w:pPr>
        <w:jc w:val="both"/>
        <w:ind w:left="580" w:right="360"/>
        <w:spacing w:after="0" w:line="248" w:lineRule="auto"/>
        <w:rPr>
          <w:rFonts w:ascii="Arial" w:cs="Arial" w:eastAsia="Arial" w:hAnsi="Arial"/>
          <w:sz w:val="28"/>
          <w:szCs w:val="28"/>
          <w:color w:val="auto"/>
          <w:vertAlign w:val="superscript"/>
        </w:rPr>
      </w:pPr>
      <w:r>
        <w:rPr>
          <w:rFonts w:ascii="Arial" w:cs="Arial" w:eastAsia="Arial" w:hAnsi="Arial"/>
          <w:sz w:val="14"/>
          <w:szCs w:val="14"/>
          <w:color w:val="auto"/>
        </w:rPr>
        <w:t>“</w:t>
      </w:r>
      <w:r>
        <w:rPr>
          <w:rFonts w:ascii="Arial" w:cs="Arial" w:eastAsia="Arial" w:hAnsi="Arial"/>
          <w:sz w:val="14"/>
          <w:szCs w:val="14"/>
          <w:b w:val="1"/>
          <w:bCs w:val="1"/>
          <w:color w:val="auto"/>
        </w:rPr>
        <w:t>Registrant</w:t>
      </w:r>
      <w:r>
        <w:rPr>
          <w:rFonts w:ascii="Arial" w:cs="Arial" w:eastAsia="Arial" w:hAnsi="Arial"/>
          <w:sz w:val="14"/>
          <w:szCs w:val="14"/>
          <w:color w:val="auto"/>
        </w:rPr>
        <w:t>”), being registered hereby relate to the Weatherford International plc Second Amended and Restated 2019 Equity Incentive Plan (the “</w:t>
      </w:r>
      <w:r>
        <w:rPr>
          <w:rFonts w:ascii="Arial" w:cs="Arial" w:eastAsia="Arial" w:hAnsi="Arial"/>
          <w:sz w:val="14"/>
          <w:szCs w:val="14"/>
          <w:b w:val="1"/>
          <w:bCs w:val="1"/>
          <w:color w:val="auto"/>
        </w:rPr>
        <w:t>Plan</w:t>
      </w:r>
      <w:r>
        <w:rPr>
          <w:rFonts w:ascii="Arial" w:cs="Arial" w:eastAsia="Arial" w:hAnsi="Arial"/>
          <w:sz w:val="14"/>
          <w:szCs w:val="14"/>
          <w:color w:val="auto"/>
        </w:rPr>
        <w:t>”). Pursuant to Rule 416(a) under the Securities Act, of 1933, as amended (the “</w:t>
      </w:r>
      <w:r>
        <w:rPr>
          <w:rFonts w:ascii="Arial" w:cs="Arial" w:eastAsia="Arial" w:hAnsi="Arial"/>
          <w:sz w:val="14"/>
          <w:szCs w:val="14"/>
          <w:b w:val="1"/>
          <w:bCs w:val="1"/>
          <w:color w:val="auto"/>
        </w:rPr>
        <w:t>Securities Act</w:t>
      </w:r>
      <w:r>
        <w:rPr>
          <w:rFonts w:ascii="Arial" w:cs="Arial" w:eastAsia="Arial" w:hAnsi="Arial"/>
          <w:sz w:val="14"/>
          <w:szCs w:val="14"/>
          <w:color w:val="auto"/>
        </w:rPr>
        <w:t>”), this Registration Statement also covers an indeterminate number of additional securities as may be offered or issued as a result of the anti-dilution provisions of the Plan.</w:t>
      </w:r>
    </w:p>
    <w:p>
      <w:pPr>
        <w:spacing w:after="0" w:line="109" w:lineRule="exact"/>
        <w:rPr>
          <w:rFonts w:ascii="Arial" w:cs="Arial" w:eastAsia="Arial" w:hAnsi="Arial"/>
          <w:sz w:val="28"/>
          <w:szCs w:val="28"/>
          <w:color w:val="auto"/>
          <w:vertAlign w:val="superscript"/>
        </w:rPr>
      </w:pPr>
    </w:p>
    <w:p>
      <w:pPr>
        <w:ind w:left="540" w:right="420" w:hanging="464"/>
        <w:spacing w:after="0" w:line="273"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457(c) and (h) promulgated under the Securities Act on the basis of the average of the high and low sale prices of the Ordinary Shares on June 3, 2021, as quoted on the Nasdaq Global Select Market.</w:t>
      </w:r>
    </w:p>
    <w:p>
      <w:pPr>
        <w:sectPr>
          <w:pgSz w:w="11900" w:h="16838" w:orient="portrait"/>
          <w:cols w:equalWidth="0" w:num="1">
            <w:col w:w="11260"/>
          </w:cols>
          <w:pgMar w:left="320" w:top="229" w:right="3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21" w:lineRule="exact"/>
        <w:rPr>
          <w:sz w:val="20"/>
          <w:szCs w:val="20"/>
          <w:color w:val="auto"/>
        </w:rPr>
      </w:pPr>
    </w:p>
    <w:p>
      <w:pPr>
        <w:jc w:val="both"/>
        <w:ind w:right="180" w:firstLine="648"/>
        <w:spacing w:after="0" w:line="275" w:lineRule="auto"/>
        <w:rPr>
          <w:sz w:val="20"/>
          <w:szCs w:val="20"/>
          <w:color w:val="auto"/>
        </w:rPr>
      </w:pPr>
      <w:r>
        <w:rPr>
          <w:rFonts w:ascii="Arial" w:cs="Arial" w:eastAsia="Arial" w:hAnsi="Arial"/>
          <w:sz w:val="17"/>
          <w:szCs w:val="17"/>
          <w:color w:val="auto"/>
        </w:rPr>
        <w:t>The document(s) containing the information specified in this Part I will be sent or given to the participants as specified by Rule 428(b)(1)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Such documents need not be filed with the U.S.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either as part of this Registration Statement or as prospectuses or prospectus supplements pursuant to Rule 424 under the Securities Act. These documents and the documents incorporated by reference in the registration statement pursuant to Item 3 of Part II of Registration Statement, taken together, constitute a prospectus that meets the requirements of Section 10(a) of the Securities Act.</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documents filed by the Registrant with the Commission are hereby incorporated in this Registration Statement by reference and shall be deemed to be a part hereof:</w:t>
      </w:r>
    </w:p>
    <w:p>
      <w:pPr>
        <w:spacing w:after="0" w:line="6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Amendment No. 2 to the Form 10, as filed with the Commission on May 26, 2021;</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Ordinary Shares as set forth on Amendment No. 2 to Form 10, as filed with the Commission on May 26, 2021, including any further amendment or any report filed for the purpose of updating such description; and</w:t>
      </w:r>
    </w:p>
    <w:p>
      <w:pPr>
        <w:spacing w:after="0" w:line="62"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by the Registrant pursuant to Section 13(a) or 15(d) of the Securities Exchange Act of 1934, as amended (the “</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(except that any portions thereof which are furnished and not filed shall not be deemed incorporated) since the end of the fiscal year covered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Registrant’s Annual Report on Form 10-K for the fiscal year ended December 31, 2020.</w:t>
      </w:r>
    </w:p>
    <w:p>
      <w:pPr>
        <w:spacing w:after="0" w:line="7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All other documents subsequently filed by the Registrant with the Commission pursuant to Sections 13(a), 13(c), 14 and 15(d) of the Exchange Act subsequent to the date of this Registration Statement and prior to the filing of any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of such documents (except that any portions thereof which are furnished and not filed shall not be deemed incorporated).</w:t>
      </w:r>
    </w:p>
    <w:p>
      <w:pPr>
        <w:spacing w:after="0" w:line="80"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Any statement contained herein, in any amendment hereto or in a document incorporated by reference herein shall be deemed to be modified or superseded for purposes of this Registration Statement to the extent that a statement contained herein or in any subsequently filed amendment to this Registration Statement or in any document that is also incorporated by reference herein modifies or supersedes such statement. Any statement so modified or superseded shall not be deemed, except as so modified or superseded, to constitute a part of this Registration Statement.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Subject to exceptions, the Companies Act 2014 of Ireland, as amended (the “</w:t>
      </w:r>
      <w:r>
        <w:rPr>
          <w:rFonts w:ascii="Arial" w:cs="Arial" w:eastAsia="Arial" w:hAnsi="Arial"/>
          <w:sz w:val="16"/>
          <w:szCs w:val="16"/>
          <w:b w:val="1"/>
          <w:bCs w:val="1"/>
          <w:i w:val="1"/>
          <w:iCs w:val="1"/>
          <w:color w:val="auto"/>
        </w:rPr>
        <w:t>Irish Companies Act</w:t>
      </w:r>
      <w:r>
        <w:rPr>
          <w:rFonts w:ascii="Arial" w:cs="Arial" w:eastAsia="Arial" w:hAnsi="Arial"/>
          <w:sz w:val="16"/>
          <w:szCs w:val="16"/>
          <w:color w:val="auto"/>
        </w:rPr>
        <w:t>”) contains limitations that do not permit a company to exempt a director or certain officers from, or indemnify a director against, liability in connection with any negligence, default, breach of duty or breach of trust by a director in relation to the Registrant. The exceptions allow a company to: (i) purchase and maintain directors and officers insurance against any liability attaching in connection with any negligence, default, breach of duty or breach of trust owed to the company and (ii) indemnify a director or such other officer against any liability incurred in defending proceedings, whether civil or criminal, (a) in which judgment is given in his or her favor or in which he or she is acquitted or (b) in respect of which an Irish court grants him or her relief from any such liability on the grounds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093" w:right="359" w:bottom="1440" w:gutter="0" w:footer="0" w:header="0"/>
        </w:sectPr>
      </w:pPr>
    </w:p>
    <w:bookmarkStart w:id="2" w:name="page3"/>
    <w:bookmarkEnd w:id="2"/>
    <w:p>
      <w:pPr>
        <w:ind w:right="380"/>
        <w:spacing w:after="0" w:line="277" w:lineRule="auto"/>
        <w:rPr>
          <w:sz w:val="20"/>
          <w:szCs w:val="20"/>
          <w:color w:val="auto"/>
        </w:rPr>
      </w:pPr>
      <w:r>
        <w:rPr>
          <w:rFonts w:ascii="Arial" w:cs="Arial" w:eastAsia="Arial" w:hAnsi="Arial"/>
          <w:sz w:val="18"/>
          <w:szCs w:val="18"/>
          <w:color w:val="auto"/>
        </w:rPr>
        <w:t>he or she acted honestly and reasonably and that, having regard to all the circumstances of the case, he or she ought fairly to be excused for the wrong concerned.</w:t>
      </w:r>
    </w:p>
    <w:p>
      <w:pPr>
        <w:spacing w:after="0" w:line="6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Articles of Association (the “</w:t>
      </w:r>
      <w:r>
        <w:rPr>
          <w:rFonts w:ascii="Arial" w:cs="Arial" w:eastAsia="Arial" w:hAnsi="Arial"/>
          <w:sz w:val="17"/>
          <w:szCs w:val="17"/>
          <w:b w:val="1"/>
          <w:bCs w:val="1"/>
          <w:i w:val="1"/>
          <w:iCs w:val="1"/>
          <w:color w:val="auto"/>
        </w:rPr>
        <w:t>Articles</w:t>
      </w:r>
      <w:r>
        <w:rPr>
          <w:rFonts w:ascii="Arial" w:cs="Arial" w:eastAsia="Arial" w:hAnsi="Arial"/>
          <w:sz w:val="17"/>
          <w:szCs w:val="17"/>
          <w:color w:val="auto"/>
        </w:rPr>
        <w:t>”) include a provision which, subject to the provisions of the Irish Companies Act as aforesaid, entitles every present and former director and other officer of the Registrant and each other person who is or was serving at the request of the Registrant as a director, officer, employee or agent of another company, or of a partnership, joint venture, trust or non-profit entity, including service with respect to employee benefit plans maintained or sponsored by the Registrant (including the heirs, executors, administrators and estates of such persons) to be indemnified and held harmless by the Registrant to the fullest extent permitted by law against all costs, charges, losses, expenses and liabilities incurred by such person in the execution and discharge of their duties or in relation thereto.</w:t>
      </w:r>
    </w:p>
    <w:p>
      <w:pPr>
        <w:spacing w:after="0" w:line="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the Registrant and Weatherford International Ltd., a Bermuda exempted company and wholly owned, indirect subsidiary of the Registrant have entered (and/or, if required, any other subsidiary of the Registrant may enter) into indemnification agreements (or deed poll indemnities) with or as to each of Registrant’s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 The obligations of the Registrant under such agreements are also subject to the limitations on indemnification under Irish law as aforesaid.</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permitted by Irish law, the Registrant has also taken out directors' and officers' liability insurance.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20" w:type="dxa"/>
            <w:vAlign w:val="bottom"/>
            <w:tcBorders>
              <w:bottom w:val="single" w:sz="8" w:color="0000FF"/>
            </w:tcBorders>
          </w:tcPr>
          <w:p>
            <w:pPr>
              <w:spacing w:after="0"/>
              <w:rPr>
                <w:rFonts w:ascii="Arial" w:cs="Arial" w:eastAsia="Arial" w:hAnsi="Arial"/>
                <w:sz w:val="18"/>
                <w:szCs w:val="18"/>
                <w:color w:val="0000FF"/>
                <w:w w:val="79"/>
              </w:rPr>
            </w:pPr>
            <w:hyperlink r:id="rId12">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hyperlink>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0" w:type="dxa"/>
            <w:vAlign w:val="bottom"/>
            <w:tcBorders>
              <w:bottom w:val="single" w:sz="8" w:color="0000FF"/>
            </w:tcBorders>
            <w:gridSpan w:val="9"/>
          </w:tcPr>
          <w:p>
            <w:pPr>
              <w:spacing w:after="0"/>
              <w:rPr>
                <w:rFonts w:ascii="Arial" w:cs="Arial" w:eastAsia="Arial" w:hAnsi="Arial"/>
                <w:sz w:val="18"/>
                <w:szCs w:val="18"/>
                <w:color w:val="0000FF"/>
                <w:w w:val="91"/>
              </w:rPr>
            </w:pPr>
            <w:hyperlink r:id="rId12">
              <w:r>
                <w:rPr>
                  <w:rFonts w:ascii="Arial" w:cs="Arial" w:eastAsia="Arial" w:hAnsi="Arial"/>
                  <w:sz w:val="18"/>
                  <w:szCs w:val="18"/>
                  <w:color w:val="0000FF"/>
                  <w:w w:val="91"/>
                </w:rPr>
                <w:t>Memorandum and Articles of Association of Weatherford International plc adopted pursuant to order of the High Court of Ireland, with effect</w:t>
              </w:r>
            </w:hyperlink>
          </w:p>
        </w:tc>
      </w:tr>
      <w:tr>
        <w:trPr>
          <w:trHeight w:val="196"/>
        </w:trPr>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12">
              <w:r>
                <w:rPr>
                  <w:rFonts w:ascii="Arial" w:cs="Arial" w:eastAsia="Arial" w:hAnsi="Arial"/>
                  <w:sz w:val="18"/>
                  <w:szCs w:val="18"/>
                  <w:color w:val="0000FF"/>
                  <w:w w:val="91"/>
                </w:rPr>
                <w:t>from December 10, 2019, incorporated by reference to Exhibit 3.1 of the Registrant’s Current Report filed with the Commission on Form 8-K</w:t>
              </w:r>
            </w:hyperlink>
          </w:p>
        </w:tc>
      </w:tr>
      <w:tr>
        <w:trPr>
          <w:trHeight w:val="196"/>
        </w:trPr>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4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12">
              <w:r>
                <w:rPr>
                  <w:rFonts w:ascii="Arial" w:cs="Arial" w:eastAsia="Arial" w:hAnsi="Arial"/>
                  <w:sz w:val="18"/>
                  <w:szCs w:val="18"/>
                  <w:color w:val="0000FF"/>
                  <w:w w:val="90"/>
                </w:rPr>
                <w:t>(File No. 1-36504) on December 18, 2019</w:t>
              </w:r>
            </w:hyperlink>
          </w:p>
        </w:tc>
        <w:tc>
          <w:tcPr>
            <w:tcW w:w="7160" w:type="dxa"/>
            <w:vAlign w:val="bottom"/>
            <w:gridSpan w:val="6"/>
          </w:tcPr>
          <w:p>
            <w:pPr>
              <w:spacing w:after="0"/>
              <w:rPr>
                <w:sz w:val="17"/>
                <w:szCs w:val="17"/>
                <w:color w:val="auto"/>
              </w:rPr>
            </w:pPr>
          </w:p>
        </w:tc>
      </w:tr>
      <w:tr>
        <w:trPr>
          <w:trHeight w:val="250"/>
        </w:trPr>
        <w:tc>
          <w:tcPr>
            <w:tcW w:w="220" w:type="dxa"/>
            <w:vAlign w:val="bottom"/>
            <w:tcBorders>
              <w:bottom w:val="single" w:sz="8" w:color="0000FF"/>
            </w:tcBorders>
          </w:tcPr>
          <w:p>
            <w:pPr>
              <w:spacing w:after="0"/>
              <w:rPr>
                <w:rFonts w:ascii="Arial" w:cs="Arial" w:eastAsia="Arial" w:hAnsi="Arial"/>
                <w:sz w:val="18"/>
                <w:szCs w:val="18"/>
                <w:color w:val="0000FF"/>
                <w:w w:val="79"/>
              </w:rPr>
            </w:pPr>
            <w:hyperlink r:id="rId13">
              <w:r>
                <w:rPr>
                  <w:rFonts w:ascii="Arial" w:cs="Arial" w:eastAsia="Arial" w:hAnsi="Arial"/>
                  <w:sz w:val="18"/>
                  <w:szCs w:val="18"/>
                  <w:color w:val="0000FF"/>
                  <w:w w:val="79"/>
                </w:rPr>
                <w:t>4.</w:t>
              </w:r>
              <w:r>
                <w:rPr>
                  <w:rFonts w:ascii="Arial" w:cs="Arial" w:eastAsia="Arial" w:hAnsi="Arial"/>
                  <w:sz w:val="18"/>
                  <w:szCs w:val="18"/>
                  <w:u w:val="single" w:color="auto"/>
                  <w:color w:val="0000FF"/>
                  <w:w w:val="79"/>
                </w:rPr>
                <w:t>2</w:t>
              </w:r>
            </w:hyperlink>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940" w:type="dxa"/>
            <w:vAlign w:val="bottom"/>
            <w:tcBorders>
              <w:bottom w:val="single" w:sz="8" w:color="0000FF"/>
            </w:tcBorders>
            <w:gridSpan w:val="8"/>
          </w:tcPr>
          <w:p>
            <w:pPr>
              <w:spacing w:after="0"/>
              <w:rPr>
                <w:rFonts w:ascii="Arial" w:cs="Arial" w:eastAsia="Arial" w:hAnsi="Arial"/>
                <w:sz w:val="18"/>
                <w:szCs w:val="18"/>
                <w:color w:val="0000FF"/>
                <w:w w:val="90"/>
              </w:rPr>
            </w:pPr>
            <w:hyperlink r:id="rId13">
              <w:r>
                <w:rPr>
                  <w:rFonts w:ascii="Arial" w:cs="Arial" w:eastAsia="Arial" w:hAnsi="Arial"/>
                  <w:sz w:val="18"/>
                  <w:szCs w:val="18"/>
                  <w:color w:val="0000FF"/>
                  <w:w w:val="90"/>
                </w:rPr>
                <w:t>Weatherford International plc Second Amended and Restated 2019 Equity Incentive Plan, incorporated by reference to Exhibit 10.6 of the</w:t>
              </w:r>
            </w:hyperlink>
          </w:p>
        </w:tc>
        <w:tc>
          <w:tcPr>
            <w:tcW w:w="260" w:type="dxa"/>
            <w:vAlign w:val="bottom"/>
          </w:tcPr>
          <w:p>
            <w:pPr>
              <w:spacing w:after="0"/>
              <w:rPr>
                <w:sz w:val="21"/>
                <w:szCs w:val="21"/>
                <w:color w:val="auto"/>
              </w:rPr>
            </w:pPr>
          </w:p>
        </w:tc>
      </w:tr>
      <w:tr>
        <w:trPr>
          <w:trHeight w:val="196"/>
        </w:trPr>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2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Registrant’s Quarterly Report filed with the Commission on Form 10-Q for the quarter ended September 30, 2020 (File No. 1-36504) on</w:t>
              </w:r>
            </w:hyperlink>
          </w:p>
        </w:tc>
        <w:tc>
          <w:tcPr>
            <w:tcW w:w="380" w:type="dxa"/>
            <w:vAlign w:val="bottom"/>
            <w:gridSpan w:val="2"/>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13">
              <w:r>
                <w:rPr>
                  <w:rFonts w:ascii="Arial" w:cs="Arial" w:eastAsia="Arial" w:hAnsi="Arial"/>
                  <w:sz w:val="18"/>
                  <w:szCs w:val="18"/>
                  <w:color w:val="0000FF"/>
                  <w:w w:val="89"/>
                </w:rPr>
                <w:t>November 4, 2020</w:t>
              </w:r>
            </w:hyperlink>
          </w:p>
        </w:tc>
        <w:tc>
          <w:tcPr>
            <w:tcW w:w="8860" w:type="dxa"/>
            <w:vAlign w:val="bottom"/>
            <w:gridSpan w:val="8"/>
          </w:tcPr>
          <w:p>
            <w:pPr>
              <w:spacing w:after="0"/>
              <w:rPr>
                <w:sz w:val="17"/>
                <w:szCs w:val="17"/>
                <w:color w:val="auto"/>
              </w:rPr>
            </w:pPr>
          </w:p>
        </w:tc>
      </w:tr>
      <w:tr>
        <w:trPr>
          <w:trHeight w:val="250"/>
        </w:trPr>
        <w:tc>
          <w:tcPr>
            <w:tcW w:w="320" w:type="dxa"/>
            <w:vAlign w:val="bottom"/>
            <w:gridSpan w:val="2"/>
          </w:tcPr>
          <w:p>
            <w:pPr>
              <w:spacing w:after="0"/>
              <w:rPr>
                <w:rFonts w:ascii="Arial" w:cs="Arial" w:eastAsia="Arial" w:hAnsi="Arial"/>
                <w:sz w:val="18"/>
                <w:szCs w:val="18"/>
                <w:color w:val="0000FF"/>
                <w:w w:val="93"/>
              </w:rPr>
            </w:pPr>
            <w:hyperlink w:anchor="page7">
              <w:r>
                <w:rPr>
                  <w:rFonts w:ascii="Arial" w:cs="Arial" w:eastAsia="Arial" w:hAnsi="Arial"/>
                  <w:sz w:val="18"/>
                  <w:szCs w:val="18"/>
                  <w:color w:val="0000FF"/>
                  <w:w w:val="93"/>
                </w:rPr>
                <w:t>5.</w:t>
              </w:r>
              <w:r>
                <w:rPr>
                  <w:rFonts w:ascii="Arial" w:cs="Arial" w:eastAsia="Arial" w:hAnsi="Arial"/>
                  <w:sz w:val="18"/>
                  <w:szCs w:val="18"/>
                  <w:u w:val="single" w:color="auto"/>
                  <w:color w:val="0000FF"/>
                  <w:w w:val="93"/>
                </w:rPr>
                <w:t>1</w:t>
              </w:r>
            </w:hyperlink>
            <w:r>
              <w:rPr>
                <w:rFonts w:ascii="Arial" w:cs="Arial" w:eastAsia="Arial" w:hAnsi="Arial"/>
                <w:sz w:val="18"/>
                <w:szCs w:val="18"/>
                <w:color w:val="000000"/>
                <w:w w:val="93"/>
              </w:rPr>
              <w:t>*</w:t>
            </w:r>
          </w:p>
        </w:tc>
        <w:tc>
          <w:tcPr>
            <w:tcW w:w="520" w:type="dxa"/>
            <w:vAlign w:val="bottom"/>
          </w:tcPr>
          <w:p>
            <w:pPr>
              <w:spacing w:after="0"/>
              <w:rPr>
                <w:sz w:val="21"/>
                <w:szCs w:val="21"/>
                <w:color w:val="auto"/>
              </w:rPr>
            </w:pPr>
          </w:p>
        </w:tc>
        <w:tc>
          <w:tcPr>
            <w:tcW w:w="10200" w:type="dxa"/>
            <w:vAlign w:val="bottom"/>
            <w:gridSpan w:val="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Opinion of Matheson regarding the legality of Ordinary Shares being registered</w:t>
              </w:r>
            </w:hyperlink>
          </w:p>
        </w:tc>
      </w:tr>
      <w:tr>
        <w:trPr>
          <w:trHeight w:val="20"/>
        </w:trPr>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r>
      <w:tr>
        <w:trPr>
          <w:trHeight w:val="250"/>
        </w:trPr>
        <w:tc>
          <w:tcPr>
            <w:tcW w:w="840" w:type="dxa"/>
            <w:vAlign w:val="bottom"/>
            <w:gridSpan w:val="3"/>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23.</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10200" w:type="dxa"/>
            <w:vAlign w:val="bottom"/>
            <w:gridSpan w:val="9"/>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Consent of KPMG LLP</w:t>
              </w:r>
            </w:hyperlink>
          </w:p>
        </w:tc>
      </w:tr>
      <w:tr>
        <w:trPr>
          <w:trHeight w:val="20"/>
        </w:trPr>
        <w:tc>
          <w:tcPr>
            <w:tcW w:w="3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r>
      <w:tr>
        <w:trPr>
          <w:trHeight w:val="250"/>
        </w:trPr>
        <w:tc>
          <w:tcPr>
            <w:tcW w:w="840" w:type="dxa"/>
            <w:vAlign w:val="bottom"/>
            <w:gridSpan w:val="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23.</w:t>
              </w:r>
              <w:r>
                <w:rPr>
                  <w:rFonts w:ascii="Arial" w:cs="Arial" w:eastAsia="Arial" w:hAnsi="Arial"/>
                  <w:sz w:val="18"/>
                  <w:szCs w:val="18"/>
                  <w:u w:val="single" w:color="auto"/>
                  <w:color w:val="0000FF"/>
                </w:rPr>
                <w:t>2</w:t>
              </w:r>
            </w:hyperlink>
            <w:r>
              <w:rPr>
                <w:rFonts w:ascii="Arial" w:cs="Arial" w:eastAsia="Arial" w:hAnsi="Arial"/>
                <w:sz w:val="18"/>
                <w:szCs w:val="18"/>
                <w:color w:val="000000"/>
              </w:rPr>
              <w:t>*</w:t>
            </w:r>
          </w:p>
        </w:tc>
        <w:tc>
          <w:tcPr>
            <w:tcW w:w="10200" w:type="dxa"/>
            <w:vAlign w:val="bottom"/>
            <w:gridSpan w:val="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Consent of Matheson (included in Exhibit 5.1)</w:t>
              </w:r>
            </w:hyperlink>
          </w:p>
        </w:tc>
      </w:tr>
      <w:tr>
        <w:trPr>
          <w:trHeight w:val="20"/>
        </w:trPr>
        <w:tc>
          <w:tcPr>
            <w:tcW w:w="3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gridSpan w:val="4"/>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r>
      <w:tr>
        <w:trPr>
          <w:trHeight w:val="250"/>
        </w:trPr>
        <w:tc>
          <w:tcPr>
            <w:tcW w:w="840" w:type="dxa"/>
            <w:vAlign w:val="bottom"/>
            <w:gridSpan w:val="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24.</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10200" w:type="dxa"/>
            <w:vAlign w:val="bottom"/>
            <w:gridSpan w:val="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Powers of Attorney (included on the signature pages to this Registration Statement)</w:t>
              </w:r>
            </w:hyperlink>
          </w:p>
        </w:tc>
      </w:tr>
      <w:tr>
        <w:trPr>
          <w:trHeight w:val="20"/>
        </w:trPr>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Filed with this Registration Statement.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1300" w:right="100" w:hanging="320"/>
        <w:spacing w:after="0" w:line="259" w:lineRule="auto"/>
        <w:tabs>
          <w:tab w:leader="none" w:pos="1296"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20" w:top="1205" w:right="399" w:bottom="1440" w:gutter="0" w:footer="0" w:header="0"/>
        </w:sectPr>
      </w:pPr>
    </w:p>
    <w:bookmarkStart w:id="3" w:name="page4"/>
    <w:bookmarkEnd w:id="3"/>
    <w:p>
      <w:pPr>
        <w:ind w:left="1300" w:right="300"/>
        <w:spacing w:after="0" w:line="311" w:lineRule="auto"/>
        <w:rPr>
          <w:sz w:val="20"/>
          <w:szCs w:val="20"/>
          <w:color w:val="auto"/>
        </w:rPr>
      </w:pPr>
      <w:r>
        <w:rPr>
          <w:rFonts w:ascii="Arial" w:cs="Arial" w:eastAsia="Arial" w:hAnsi="Arial"/>
          <w:sz w:val="16"/>
          <w:szCs w:val="16"/>
          <w:color w:val="auto"/>
        </w:rPr>
        <w:t>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41" w:lineRule="exact"/>
        <w:rPr>
          <w:sz w:val="20"/>
          <w:szCs w:val="20"/>
          <w:color w:val="auto"/>
        </w:rPr>
      </w:pPr>
    </w:p>
    <w:p>
      <w:pPr>
        <w:ind w:left="1300" w:right="120" w:hanging="320"/>
        <w:spacing w:after="0" w:line="277" w:lineRule="auto"/>
        <w:tabs>
          <w:tab w:leader="none" w:pos="1292"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and (a)(1)(ii) of this section do not apply if the Registration Statement is on Form S-8, and the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41" w:lineRule="exact"/>
        <w:rPr>
          <w:sz w:val="20"/>
          <w:szCs w:val="20"/>
          <w:color w:val="auto"/>
        </w:rPr>
      </w:pPr>
    </w:p>
    <w:p>
      <w:pPr>
        <w:jc w:val="both"/>
        <w:ind w:left="980" w:right="120" w:hanging="324"/>
        <w:spacing w:after="0" w:line="263"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8"/>
          <w:szCs w:val="18"/>
          <w:color w:val="auto"/>
        </w:rPr>
      </w:pPr>
    </w:p>
    <w:p>
      <w:pPr>
        <w:ind w:left="980" w:right="58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rFonts w:ascii="Arial" w:cs="Arial" w:eastAsia="Arial" w:hAnsi="Arial"/>
          <w:sz w:val="18"/>
          <w:szCs w:val="18"/>
          <w:color w:val="auto"/>
        </w:rPr>
      </w:pPr>
    </w:p>
    <w:p>
      <w:pPr>
        <w:ind w:left="1300" w:right="60" w:hanging="320"/>
        <w:spacing w:after="0" w:line="254" w:lineRule="auto"/>
        <w:tabs>
          <w:tab w:leader="none" w:pos="1287" w:val="left"/>
        </w:tabs>
        <w:numPr>
          <w:ilvl w:val="2"/>
          <w:numId w:val="5"/>
        </w:numPr>
        <w:rPr>
          <w:rFonts w:ascii="Arial" w:cs="Arial" w:eastAsia="Arial" w:hAnsi="Arial"/>
          <w:sz w:val="18"/>
          <w:szCs w:val="18"/>
          <w:color w:val="auto"/>
        </w:rPr>
      </w:pPr>
      <w:r>
        <w:rPr>
          <w:rFonts w:ascii="Arial" w:cs="Arial" w:eastAsia="Arial" w:hAnsi="Arial"/>
          <w:sz w:val="18"/>
          <w:szCs w:val="18"/>
          <w:color w:val="auto"/>
        </w:rPr>
        <w:t xml:space="preserve">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3"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5" w:lineRule="exact"/>
        <w:rPr>
          <w:rFonts w:ascii="Arial" w:cs="Arial" w:eastAsia="Arial" w:hAnsi="Arial"/>
          <w:sz w:val="18"/>
          <w:szCs w:val="18"/>
          <w:color w:val="auto"/>
        </w:rPr>
      </w:pPr>
    </w:p>
    <w:p>
      <w:pPr>
        <w:ind w:left="1300" w:hanging="320"/>
        <w:spacing w:after="0"/>
        <w:tabs>
          <w:tab w:leader="none" w:pos="1300" w:val="left"/>
        </w:tabs>
        <w:numPr>
          <w:ilvl w:val="2"/>
          <w:numId w:val="5"/>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86" w:lineRule="exact"/>
        <w:rPr>
          <w:rFonts w:ascii="Arial" w:cs="Arial" w:eastAsia="Arial" w:hAnsi="Arial"/>
          <w:sz w:val="16"/>
          <w:szCs w:val="16"/>
          <w:color w:val="auto"/>
        </w:rPr>
      </w:pPr>
    </w:p>
    <w:p>
      <w:pPr>
        <w:ind w:left="1300" w:hanging="320"/>
        <w:spacing w:after="0" w:line="277" w:lineRule="auto"/>
        <w:tabs>
          <w:tab w:leader="none" w:pos="1296" w:val="left"/>
        </w:tabs>
        <w:numPr>
          <w:ilvl w:val="2"/>
          <w:numId w:val="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8" w:lineRule="exact"/>
        <w:rPr>
          <w:rFonts w:ascii="Arial" w:cs="Arial" w:eastAsia="Arial" w:hAnsi="Arial"/>
          <w:sz w:val="18"/>
          <w:szCs w:val="18"/>
          <w:color w:val="auto"/>
        </w:rPr>
      </w:pPr>
    </w:p>
    <w:p>
      <w:pPr>
        <w:ind w:left="1300" w:hanging="320"/>
        <w:spacing w:after="0" w:line="277" w:lineRule="auto"/>
        <w:tabs>
          <w:tab w:leader="none" w:pos="1292" w:val="left"/>
        </w:tabs>
        <w:numPr>
          <w:ilvl w:val="2"/>
          <w:numId w:val="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8" w:lineRule="exact"/>
        <w:rPr>
          <w:rFonts w:ascii="Arial" w:cs="Arial" w:eastAsia="Arial" w:hAnsi="Arial"/>
          <w:sz w:val="18"/>
          <w:szCs w:val="18"/>
          <w:color w:val="auto"/>
        </w:rPr>
      </w:pPr>
    </w:p>
    <w:p>
      <w:pPr>
        <w:ind w:left="1280" w:hanging="300"/>
        <w:spacing w:after="0"/>
        <w:tabs>
          <w:tab w:leader="none" w:pos="1280" w:val="left"/>
        </w:tabs>
        <w:numPr>
          <w:ilvl w:val="2"/>
          <w:numId w:val="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660" w:right="6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05" w:right="339" w:bottom="1440" w:gutter="0" w:footer="0" w:header="0"/>
        </w:sectPr>
      </w:pPr>
    </w:p>
    <w:bookmarkStart w:id="4" w:name="page5"/>
    <w:bookmarkEnd w:id="4"/>
    <w:p>
      <w:pPr>
        <w:ind w:left="328" w:hanging="328"/>
        <w:spacing w:after="0" w:line="271" w:lineRule="auto"/>
        <w:tabs>
          <w:tab w:leader="none" w:pos="318" w:val="left"/>
        </w:tabs>
        <w:numPr>
          <w:ilvl w:val="0"/>
          <w:numId w:val="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28"/>
          </w:cols>
          <w:pgMar w:left="652" w:top="1205" w:right="41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June 4, 2021.</w:t>
      </w:r>
    </w:p>
    <w:p>
      <w:pPr>
        <w:spacing w:after="0" w:line="26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WEATHERFORD INTERNATIONAL PLC</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Girishchandra K. Saligram</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GIRISHCHANDRA K. SALIGRAM</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President, Chief Executive Officer and Director</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(Principal Executive Officer)</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Girishchandra K. Saligram, H. Keith Jennings and Scott C. Weatherholt and each of them (with full power to act alone), as his or her true and lawful attorneys-in-fact and agents, with full power of substitution and re-substitution, for him or her in his or her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7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below by the following persons in the capacities indicated on June 4, 2021.</w:t>
      </w:r>
    </w:p>
    <w:p>
      <w:pPr>
        <w:spacing w:after="0" w:line="355" w:lineRule="exact"/>
        <w:rPr>
          <w:sz w:val="20"/>
          <w:szCs w:val="20"/>
          <w:color w:val="auto"/>
        </w:rPr>
      </w:pPr>
    </w:p>
    <w:p>
      <w:pPr>
        <w:ind w:left="20"/>
        <w:spacing w:after="0"/>
        <w:tabs>
          <w:tab w:leader="none" w:pos="826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Girishchandra K. Saligram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GIRISHCHANDRA K. SALIGRAM</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H. Keith Jennings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 KEITH JENNINGS</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Desmond Mills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DESMOND MILLS</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Charles M. Sledge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CHARLES M. SLEDGE</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Benjamin C. Duster IV</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BENJAMIN C. DUSTER IV</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Neal P. Goldman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NEAL P. GOLDMAN</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Jacqueline C. Mutschler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JACQUELINE C. MUTSCHLER</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President, Chief Executive Officer and Director (Principal Executive Officer)</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Executive Vice President and Chief Financial Officer (Principal Financial Officer)</w:t>
      </w:r>
    </w:p>
    <w:p>
      <w:pPr>
        <w:spacing w:after="0" w:line="21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Vice President and Chief Accounting Officer (Principal Accounting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100" w:space="720"/>
            <w:col w:w="5380"/>
          </w:cols>
          <w:pgMar w:left="320" w:top="1093" w:right="379" w:bottom="1440" w:gutter="0" w:footer="0" w:header="0"/>
          <w:type w:val="continuous"/>
        </w:sectPr>
      </w:pPr>
    </w:p>
    <w:bookmarkStart w:id="6" w:name="page7"/>
    <w:bookmarkEnd w:id="6"/>
    <w:p>
      <w:pPr>
        <w:jc w:val="center"/>
        <w:ind w:right="-39"/>
        <w:spacing w:after="0"/>
        <w:rPr>
          <w:sz w:val="20"/>
          <w:szCs w:val="20"/>
          <w:color w:val="auto"/>
        </w:rPr>
      </w:pPr>
      <w:r>
        <w:rPr>
          <w:rFonts w:ascii="Arial" w:cs="Arial" w:eastAsia="Arial" w:hAnsi="Arial"/>
          <w:sz w:val="20"/>
          <w:szCs w:val="20"/>
          <w:b w:val="1"/>
          <w:bCs w:val="1"/>
          <w:color w:val="auto"/>
        </w:rPr>
        <w:t>SIGNATURE OF AUTHORIZED REPRESENTATIVE OF THE REGISTRANT</w:t>
      </w:r>
    </w:p>
    <w:p>
      <w:pPr>
        <w:spacing w:after="0" w:line="2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6(a) of the Securities Act of 1933, this Registration Statement has been signed by the following person solely in the capacity of the duly authorized representative of Weatherford International plc in the United States on the date indicated.</w:t>
      </w:r>
    </w:p>
    <w:p>
      <w:pPr>
        <w:spacing w:after="0" w:line="200" w:lineRule="exact"/>
        <w:rPr>
          <w:sz w:val="20"/>
          <w:szCs w:val="20"/>
          <w:color w:val="auto"/>
        </w:rPr>
      </w:pPr>
    </w:p>
    <w:p>
      <w:pPr>
        <w:spacing w:after="0" w:line="277"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940" w:type="dxa"/>
            <w:vAlign w:val="bottom"/>
            <w:gridSpan w:val="2"/>
          </w:tcPr>
          <w:p>
            <w:pPr>
              <w:spacing w:after="0"/>
              <w:rPr>
                <w:sz w:val="20"/>
                <w:szCs w:val="20"/>
                <w:color w:val="auto"/>
              </w:rPr>
            </w:pPr>
            <w:r>
              <w:rPr>
                <w:rFonts w:ascii="Arial" w:cs="Arial" w:eastAsia="Arial" w:hAnsi="Arial"/>
                <w:sz w:val="18"/>
                <w:szCs w:val="18"/>
                <w:color w:val="auto"/>
              </w:rPr>
              <w:t>/s/ Scott C. Weatherholt</w:t>
            </w:r>
          </w:p>
        </w:tc>
        <w:tc>
          <w:tcPr>
            <w:tcW w:w="5400" w:type="dxa"/>
            <w:vAlign w:val="bottom"/>
          </w:tcPr>
          <w:p>
            <w:pPr>
              <w:ind w:left="4480"/>
              <w:spacing w:after="0"/>
              <w:rPr>
                <w:sz w:val="20"/>
                <w:szCs w:val="20"/>
                <w:color w:val="auto"/>
              </w:rPr>
            </w:pPr>
            <w:r>
              <w:rPr>
                <w:rFonts w:ascii="Arial" w:cs="Arial" w:eastAsia="Arial" w:hAnsi="Arial"/>
                <w:sz w:val="18"/>
                <w:szCs w:val="18"/>
                <w:color w:val="auto"/>
                <w:w w:val="86"/>
              </w:rPr>
              <w:t>June 4, 2021</w:t>
            </w:r>
          </w:p>
        </w:tc>
      </w:tr>
      <w:tr>
        <w:trPr>
          <w:trHeight w:val="20"/>
        </w:trPr>
        <w:tc>
          <w:tcPr>
            <w:tcW w:w="17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237"/>
        </w:trPr>
        <w:tc>
          <w:tcPr>
            <w:tcW w:w="2940" w:type="dxa"/>
            <w:vAlign w:val="bottom"/>
            <w:gridSpan w:val="2"/>
          </w:tcPr>
          <w:p>
            <w:pPr>
              <w:spacing w:after="0"/>
              <w:rPr>
                <w:sz w:val="20"/>
                <w:szCs w:val="20"/>
                <w:color w:val="auto"/>
              </w:rPr>
            </w:pPr>
            <w:r>
              <w:rPr>
                <w:rFonts w:ascii="Arial" w:cs="Arial" w:eastAsia="Arial" w:hAnsi="Arial"/>
                <w:sz w:val="18"/>
                <w:szCs w:val="18"/>
                <w:color w:val="auto"/>
              </w:rPr>
              <w:t>SCOTT C. WEATHERHOLT</w:t>
            </w:r>
          </w:p>
        </w:tc>
        <w:tc>
          <w:tcPr>
            <w:tcW w:w="5400" w:type="dxa"/>
            <w:vAlign w:val="bottom"/>
          </w:tcPr>
          <w:p>
            <w:pPr>
              <w:ind w:left="800"/>
              <w:spacing w:after="0"/>
              <w:rPr>
                <w:sz w:val="20"/>
                <w:szCs w:val="20"/>
                <w:color w:val="auto"/>
              </w:rPr>
            </w:pPr>
            <w:r>
              <w:rPr>
                <w:rFonts w:ascii="Arial" w:cs="Arial" w:eastAsia="Arial" w:hAnsi="Arial"/>
                <w:sz w:val="18"/>
                <w:szCs w:val="18"/>
                <w:color w:val="auto"/>
              </w:rPr>
              <w:t>Authorized Representative in the United States</w:t>
            </w:r>
          </w:p>
        </w:tc>
      </w:tr>
    </w:tbl>
    <w:p>
      <w:pPr>
        <w:sectPr>
          <w:pgSz w:w="11900" w:h="16838" w:orient="portrait"/>
          <w:cols w:equalWidth="0" w:num="1">
            <w:col w:w="11220"/>
          </w:cols>
          <w:pgMar w:left="320" w:top="1089"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Opinion of Matheson regarding the legality of Ordinary Shares being registered</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Weatherford International plc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4 June 2021</w:t>
      </w:r>
    </w:p>
    <w:p>
      <w:pPr>
        <w:spacing w:after="0" w:line="1112" w:lineRule="exact"/>
        <w:rPr>
          <w:sz w:val="20"/>
          <w:szCs w:val="20"/>
          <w:color w:val="auto"/>
        </w:rPr>
      </w:pPr>
    </w:p>
    <w:p>
      <w:pPr>
        <w:sectPr>
          <w:pgSz w:w="11900" w:h="16838" w:orient="portrait"/>
          <w:cols w:equalWidth="0" w:num="2">
            <w:col w:w="2860" w:space="720"/>
            <w:col w:w="7660"/>
          </w:cols>
          <w:pgMar w:left="320" w:top="1417"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Dear Sirs</w:t>
      </w:r>
    </w:p>
    <w:p>
      <w:pPr>
        <w:sectPr>
          <w:pgSz w:w="11900" w:h="16838" w:orient="portrait"/>
          <w:cols w:equalWidth="0" w:num="1">
            <w:col w:w="11240"/>
          </w:cols>
          <w:pgMar w:left="320" w:top="1417"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S-8 of Weatherford International plc</w:t>
      </w:r>
    </w:p>
    <w:p>
      <w:pPr>
        <w:spacing w:after="0" w:line="121"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We have acted as Irish counsel to Weatherford International plc, a public limited company incorporated under the laws of Ireland (company number 540406) (the “Company”), in connection with the filing by the Company, on the date hereof, of a registration statement on Form S-8 (the “Registration Statement”) under the U.S. Securities Act of 1933, as amended (the “Securities Act”), to which this Opinion is an exhibit, with the U.S. Securities and Exchange Commission (the “Commission”), pursuant to which the Company will register, under the Securities Act, 8,479,813 ordinary shares of $0.001 each (nominal value) in the capital of the Company (the “Plan Shares”) that may become issuable pursuant to the Weatherford International plc 2019 Equity Incentive Plan, as amended and restated as of 13 April 2020 and further amended and restated as of 30 October 2020 (the “Plan”).</w:t>
      </w:r>
    </w:p>
    <w:p>
      <w:pPr>
        <w:spacing w:after="0" w:line="56"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In connection with this Opinion, we have reviewed the corporate resolutions, records and other documents and searches listed in Schedule 1 to this Opinion, together with such other resolution, records and documents as we have deemed necessary as a basis for the opinions expressed below.</w:t>
      </w:r>
    </w:p>
    <w:p>
      <w:pPr>
        <w:spacing w:after="0" w:line="1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Based on the foregoing, and subject to the further assumptions, qualifications and limitations set out in this Opinion, we are of the opinion that the Plan Shares, when issued pursuant to the terms of the Plan (including any applicable and duly authorised award agreement under the Plan), subject to receipt by the Company of the full consideration payable therefor, will be validly issued, fully paid and non-assessable (“non-assessable” is a phrase which has no defined meaning under Irish law, but, for the purposes of this Opinion, shall mean the registered holders of such Plan Shares will not be subject to calls for additional payments on such shares).</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 the purposes of this Opinion, we have assumed: (i) Registration Statement will have become, and will remain, effective at the time of issuance of the Plan Shares, (ii) the truth and accuracy of the contents of all documents and searches reviewed as to factual matters, but have made no independent investigation regarding such factual matters, (iii) all signatures, initials, seals and stamps contained in, or on, all documents submitted to us are genuine,</w:t>
      </w:r>
    </w:p>
    <w:p>
      <w:pPr>
        <w:spacing w:after="0" w:line="2" w:lineRule="exact"/>
        <w:rPr>
          <w:sz w:val="20"/>
          <w:szCs w:val="20"/>
          <w:color w:val="auto"/>
        </w:rPr>
      </w:pPr>
    </w:p>
    <w:p>
      <w:pPr>
        <w:jc w:val="both"/>
        <w:ind w:firstLine="8"/>
        <w:spacing w:after="0" w:line="285" w:lineRule="auto"/>
        <w:tabs>
          <w:tab w:leader="none" w:pos="317"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documents submitted to us as originals are authentic and complete and that all documents submitted to us as copies (including without limitation any document submitted to us as a .pdf (or any other format) attachment to an email) are complete and conform to the originals of such documents, and the originals of such documents are authentic and complete, (v) at the time of the allotment and issue of any Plan Shares pursuant to the terms of the Plan, the Company will have a sufficient number of authorised but unissued ordinary shares of $0.001 each (nominal value) in its share capital (being at least equal to the number of Plan Shares to be allotted and issued), (vi) at the time of the allotment and issue of any Plan Shares (or the grant of any right to subscribe for, or convert any security into, Plan Shares (a “</w:t>
      </w:r>
      <w:r>
        <w:rPr>
          <w:rFonts w:ascii="Arial" w:cs="Arial" w:eastAsia="Arial" w:hAnsi="Arial"/>
          <w:sz w:val="16"/>
          <w:szCs w:val="16"/>
          <w:b w:val="1"/>
          <w:bCs w:val="1"/>
          <w:color w:val="auto"/>
        </w:rPr>
        <w:t>convertible right</w:t>
      </w:r>
      <w:r>
        <w:rPr>
          <w:rFonts w:ascii="Arial" w:cs="Arial" w:eastAsia="Arial" w:hAnsi="Arial"/>
          <w:sz w:val="16"/>
          <w:szCs w:val="16"/>
          <w:color w:val="auto"/>
        </w:rPr>
        <w:t>”)) pursuant to the terms of the Plan, to the extent required, (A) the directors of the Company will, in accordance with section 1021 of the Companies Act 2014 of Ireland, as amended, (the “</w:t>
      </w:r>
      <w:r>
        <w:rPr>
          <w:rFonts w:ascii="Arial" w:cs="Arial" w:eastAsia="Arial" w:hAnsi="Arial"/>
          <w:sz w:val="16"/>
          <w:szCs w:val="16"/>
          <w:b w:val="1"/>
          <w:bCs w:val="1"/>
          <w:color w:val="auto"/>
        </w:rPr>
        <w:t>Companies Act</w:t>
      </w:r>
      <w:r>
        <w:rPr>
          <w:rFonts w:ascii="Arial" w:cs="Arial" w:eastAsia="Arial" w:hAnsi="Arial"/>
          <w:sz w:val="16"/>
          <w:szCs w:val="16"/>
          <w:color w:val="auto"/>
        </w:rPr>
        <w:t>”), have been generally and unconditionally authorised by the shareholders of the Company to allot a sufficient number of “relevant securities” (within the meaning of that section) (being at least equal to the number of Plan Shares the subject of such allotment and issuance or grant of a convertible right) and (B) the directors of the Company will, in accordance with section 1023 of the Companies Act, have been empowered by the shareholders of the Company to allot and issue such Plan Shares or grant convertible rights as if section 1022(1) did not apply to such allotment and issuance or grant, (vii) where treasury shares are being re-issued, the maximum and minimum prices of re-issue shall have been determined in advance at a general meeting of the Company in accordance with the</w:t>
      </w:r>
    </w:p>
    <w:p>
      <w:pPr>
        <w:sectPr>
          <w:pgSz w:w="11900" w:h="16838" w:orient="portrait"/>
          <w:cols w:equalWidth="0" w:num="1">
            <w:col w:w="11240"/>
          </w:cols>
          <w:pgMar w:left="320" w:top="1417" w:right="339" w:bottom="1440" w:gutter="0" w:footer="0" w:header="0"/>
          <w:type w:val="continuous"/>
        </w:sectPr>
      </w:pPr>
    </w:p>
    <w:bookmarkStart w:id="8" w:name="page9"/>
    <w:bookmarkEnd w:id="8"/>
    <w:p>
      <w:pPr>
        <w:jc w:val="both"/>
        <w:spacing w:after="0" w:line="289" w:lineRule="auto"/>
        <w:rPr>
          <w:sz w:val="20"/>
          <w:szCs w:val="20"/>
          <w:color w:val="auto"/>
        </w:rPr>
      </w:pPr>
      <w:r>
        <w:rPr>
          <w:rFonts w:ascii="Arial" w:cs="Arial" w:eastAsia="Arial" w:hAnsi="Arial"/>
          <w:sz w:val="16"/>
          <w:szCs w:val="16"/>
          <w:color w:val="auto"/>
        </w:rPr>
        <w:t>requirements of section 1078 of the Companies Act, (viii) the full consideration for all Plan Shares to be allotted and issued pursuant to the Plan will have been received by the Company prior to the issuance of such Plan Shares, (ix) no Plan Shares will be allotted and issued pursuant to the Plan for less than their nominal value, (x) no Plan Shares will be allotted and issued pursuant to the Plan for consideration other than cash, (xi) no Plan Shares will be allotted and issued other than pursuant to a resolution of the board of directors of the Company or a duly authorised committee thereof, (xii) the Company shall not give any financial assistance, as contemplated by sections 82 and 1043 of the Companies Act for the purpose of any acquisition of any Plan Shares pursuant to the Plan, save as permitted by, or pursuant to an exemption to, the said sections 82 and 1043 and (xiii) the offering, sale and/or marketing of any Plan Shares will be made, effected and conducted in accordance with, and will not violate, the securities laws and regulations of all applicable jurisdictions, including Ireland, which impose any restrictions, or mandatory requirements, in relation to the offering or sale of any shares to the public in any jurisdiction, including Ireland, and/or any prospectus or analogous disclosure document prepared in connection therewith.</w:t>
      </w:r>
    </w:p>
    <w:p>
      <w:pPr>
        <w:spacing w:after="0" w:line="5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This Opinion is based upon, and limited to, the laws of Ireland as is in effect on the date hereof and is based on legislation published and cases fully reported before that date and our knowledge of the facts relevant to the opinions contained herein. We have assumed without enquiry that there is nothing in the laws of any jurisdiction other than Ireland which would, or might, affect our opinion as stated herein. We have made no investigations of, and we express no opinion on, the laws of any jurisdiction other than Ireland or the effect thereof. This Opinion is expressed as of the date hereof and we assume no obligation to update this Opinion.</w:t>
      </w:r>
    </w:p>
    <w:p>
      <w:pPr>
        <w:spacing w:after="0" w:line="8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This Opinion is furnished to you and the persons entitled to rely upon it pursuant to the applicable provisions of the Securities Act strictly for use in connection with the Registration Statement and may not be relied upon by any other person without our prior written consent. This Opinion is confined strictly to the matters expressly stated herein and is not be read as extending by implication or otherwise to any other matter.</w:t>
      </w:r>
    </w:p>
    <w:p>
      <w:pPr>
        <w:spacing w:after="0" w:line="5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hereby consent to the filing of this Opinion as Exhibit 5.1 to the Registration Statement and to the reference to Matheson therein. In giving such consent, we do not admit that we are included in the category of persons whose consent is required under section 7 of the Securities Act, or the rules and regulations of the Commission promulgated thereunder.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This Opinion and the opinions given in it are governed by, and construed in accordance with, the laws of Ireland.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Matheson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MATHESON</w:t>
      </w:r>
    </w:p>
    <w:p>
      <w:pPr>
        <w:sectPr>
          <w:pgSz w:w="11900" w:h="16838" w:orient="portrait"/>
          <w:cols w:equalWidth="0" w:num="1">
            <w:col w:w="11240"/>
          </w:cols>
          <w:pgMar w:left="320" w:top="1421" w:right="339" w:bottom="1440" w:gutter="0" w:footer="0" w:header="0"/>
        </w:sectPr>
      </w:pPr>
    </w:p>
    <w:bookmarkStart w:id="9" w:name="page10"/>
    <w:bookmarkEnd w:id="9"/>
    <w:p>
      <w:pPr>
        <w:jc w:val="center"/>
        <w:ind w:right="-331"/>
        <w:spacing w:after="0"/>
        <w:rPr>
          <w:sz w:val="20"/>
          <w:szCs w:val="20"/>
          <w:color w:val="auto"/>
        </w:rPr>
      </w:pPr>
      <w:r>
        <w:rPr>
          <w:rFonts w:ascii="Arial" w:cs="Arial" w:eastAsia="Arial" w:hAnsi="Arial"/>
          <w:sz w:val="18"/>
          <w:szCs w:val="18"/>
          <w:b w:val="1"/>
          <w:bCs w:val="1"/>
          <w:color w:val="auto"/>
        </w:rPr>
        <w:t>Schedule 1</w:t>
      </w:r>
    </w:p>
    <w:p>
      <w:pPr>
        <w:spacing w:after="0" w:line="243" w:lineRule="exact"/>
        <w:rPr>
          <w:sz w:val="20"/>
          <w:szCs w:val="20"/>
          <w:color w:val="auto"/>
        </w:rPr>
      </w:pPr>
    </w:p>
    <w:p>
      <w:pPr>
        <w:ind w:left="632" w:right="20" w:hanging="632"/>
        <w:spacing w:after="0" w:line="308"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copy of the Weatherford International plc 2019 Equity Incentive Plan, as amended and restated as of 13 April 2020 and further amended and restated as of 31 October 2020.</w:t>
      </w:r>
    </w:p>
    <w:p>
      <w:pPr>
        <w:spacing w:after="0" w:line="170" w:lineRule="exact"/>
        <w:rPr>
          <w:rFonts w:ascii="Arial" w:cs="Arial" w:eastAsia="Arial" w:hAnsi="Arial"/>
          <w:sz w:val="18"/>
          <w:szCs w:val="18"/>
          <w:color w:val="auto"/>
        </w:rPr>
      </w:pPr>
    </w:p>
    <w:p>
      <w:pPr>
        <w:ind w:left="632" w:right="20" w:hanging="632"/>
        <w:spacing w:after="0" w:line="341" w:lineRule="auto"/>
        <w:tabs>
          <w:tab w:leader="none" w:pos="628" w:val="left"/>
        </w:tabs>
        <w:numPr>
          <w:ilvl w:val="0"/>
          <w:numId w:val="9"/>
        </w:numPr>
        <w:rPr>
          <w:rFonts w:ascii="Arial" w:cs="Arial" w:eastAsia="Arial" w:hAnsi="Arial"/>
          <w:sz w:val="17"/>
          <w:szCs w:val="17"/>
          <w:color w:val="auto"/>
        </w:rPr>
      </w:pPr>
      <w:r>
        <w:rPr>
          <w:rFonts w:ascii="Arial" w:cs="Arial" w:eastAsia="Arial" w:hAnsi="Arial"/>
          <w:sz w:val="17"/>
          <w:szCs w:val="17"/>
          <w:color w:val="auto"/>
        </w:rPr>
        <w:t>Copies of the certificate of incorporation, the certificate of incorporation on change of and the certificate of incorporation on re-registration as a public limited company of Weatherford International plc, dated 3 March 2014, 20 March 2014 and 29 May 2014, respectively.</w:t>
      </w:r>
    </w:p>
    <w:p>
      <w:pPr>
        <w:spacing w:after="0" w:line="146" w:lineRule="exact"/>
        <w:rPr>
          <w:rFonts w:ascii="Arial" w:cs="Arial" w:eastAsia="Arial" w:hAnsi="Arial"/>
          <w:sz w:val="17"/>
          <w:szCs w:val="17"/>
          <w:color w:val="auto"/>
        </w:rPr>
      </w:pPr>
    </w:p>
    <w:p>
      <w:pPr>
        <w:ind w:left="632" w:hanging="632"/>
        <w:spacing w:after="0" w:line="308"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Copy memorandum and articles of association of Weatherford International plc, adopted, pursuant to order of the High Court of Ireland, with effect from 10 December 2019.</w:t>
      </w:r>
    </w:p>
    <w:p>
      <w:pPr>
        <w:spacing w:after="0" w:line="170" w:lineRule="exact"/>
        <w:rPr>
          <w:rFonts w:ascii="Arial" w:cs="Arial" w:eastAsia="Arial" w:hAnsi="Arial"/>
          <w:sz w:val="18"/>
          <w:szCs w:val="18"/>
          <w:color w:val="auto"/>
        </w:rPr>
      </w:pPr>
    </w:p>
    <w:p>
      <w:pPr>
        <w:ind w:left="632" w:hanging="632"/>
        <w:spacing w:after="0" w:line="308"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Copy order of the High Court of Ireland dated 12 December 2019 confirming an amended scheme of arrangement relating to Weatherford International plc pursuant to section 541 and section 542 of the Companies Act.</w:t>
      </w:r>
    </w:p>
    <w:p>
      <w:pPr>
        <w:spacing w:after="0" w:line="170" w:lineRule="exact"/>
        <w:rPr>
          <w:rFonts w:ascii="Arial" w:cs="Arial" w:eastAsia="Arial" w:hAnsi="Arial"/>
          <w:sz w:val="18"/>
          <w:szCs w:val="18"/>
          <w:color w:val="auto"/>
        </w:rPr>
      </w:pPr>
    </w:p>
    <w:p>
      <w:pPr>
        <w:ind w:left="632" w:right="20" w:hanging="632"/>
        <w:spacing w:after="0" w:line="308"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Copy resolutions of the board of directors of Weatherford International plc passed on 12 December 2019, 13 April 2020, 30 October 2020 and 26 March 2021.</w:t>
      </w:r>
    </w:p>
    <w:p>
      <w:pPr>
        <w:spacing w:after="0" w:line="170" w:lineRule="exact"/>
        <w:rPr>
          <w:rFonts w:ascii="Arial" w:cs="Arial" w:eastAsia="Arial" w:hAnsi="Arial"/>
          <w:sz w:val="18"/>
          <w:szCs w:val="18"/>
          <w:color w:val="auto"/>
        </w:rPr>
      </w:pPr>
    </w:p>
    <w:p>
      <w:pPr>
        <w:ind w:left="632" w:hanging="632"/>
        <w:spacing w:after="0"/>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52" w:lineRule="exact"/>
        <w:rPr>
          <w:rFonts w:ascii="Arial" w:cs="Arial" w:eastAsia="Arial" w:hAnsi="Arial"/>
          <w:sz w:val="18"/>
          <w:szCs w:val="18"/>
          <w:color w:val="auto"/>
        </w:rPr>
      </w:pPr>
    </w:p>
    <w:p>
      <w:pPr>
        <w:jc w:val="both"/>
        <w:ind w:left="632" w:hanging="632"/>
        <w:spacing w:after="0" w:line="295"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Searches carried out by independent law researchers on our behalf against Weatherford International plc on 4 June 2021 in (i) the Index of Petitions and Winding-up Notices maintained at the Central Office of the High Court of Ireland, (ii) the Judgments’ Office of the Central Office of the High Court of Ireland and (iii) the Companies Registration Office.</w:t>
      </w:r>
    </w:p>
    <w:p>
      <w:pPr>
        <w:sectPr>
          <w:pgSz w:w="11900" w:h="16838" w:orient="portrait"/>
          <w:cols w:equalWidth="0" w:num="1">
            <w:col w:w="11232"/>
          </w:cols>
          <w:pgMar w:left="328" w:top="1417" w:right="339" w:bottom="1440" w:gutter="0" w:footer="0" w:header="0"/>
        </w:sectPr>
      </w:pPr>
    </w:p>
    <w:bookmarkStart w:id="10" w:name="page11"/>
    <w:bookmarkEnd w:id="10"/>
    <w:p>
      <w:pPr>
        <w:jc w:val="center"/>
        <w:ind w:right="-259"/>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0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0" w:lineRule="exact"/>
        <w:rPr>
          <w:sz w:val="20"/>
          <w:szCs w:val="20"/>
          <w:color w:val="auto"/>
        </w:rPr>
      </w:pPr>
    </w:p>
    <w:p>
      <w:pPr>
        <w:spacing w:after="0" w:line="359" w:lineRule="auto"/>
        <w:rPr>
          <w:sz w:val="20"/>
          <w:szCs w:val="20"/>
          <w:color w:val="auto"/>
        </w:rPr>
      </w:pPr>
      <w:r>
        <w:rPr>
          <w:rFonts w:ascii="Arial" w:cs="Arial" w:eastAsia="Arial" w:hAnsi="Arial"/>
          <w:sz w:val="16"/>
          <w:szCs w:val="16"/>
          <w:color w:val="auto"/>
        </w:rPr>
        <w:t>We consent to the use of our reports dated February 19, 2021, with respect to the consolidated financial statements and financial statement schedule II of Weatherford International plc and subsidiaries, and the effectiveness of internal control over financial reporting, incorporated herein by reference.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KPMG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4, 2021</w:t>
      </w:r>
    </w:p>
    <w:sectPr>
      <w:pgSz w:w="11900" w:h="16838" w:orient="portrait"/>
      <w:cols w:equalWidth="0" w:num="1">
        <w:col w:w="11000"/>
      </w:cols>
      <w:pgMar w:left="320" w:top="143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2EB141F2"/>
    <w:multiLevelType w:val="hybridMultilevel"/>
    <w:lvl w:ilvl="0">
      <w:lvlJc w:val="left"/>
      <w:lvlText w:val="%1."/>
      <w:numFmt w:val="lowerRoman"/>
      <w:start w:val="3"/>
    </w:lvl>
  </w:abstractNum>
  <w:abstractNum w:abstractNumId="4">
    <w:nsid w:val="41B71EFB"/>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5">
    <w:nsid w:val="79E2A9E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Roman"/>
      <w:start w:val="4"/>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s://www.sec.gov/Archives/edgar/data/1603923/000110465919073841/tm1925198d1_ex3-1.htm" TargetMode="External"/><Relationship Id="rId13" Type="http://schemas.openxmlformats.org/officeDocument/2006/relationships/hyperlink" Target="https://www.sec.gov/Archives/edgar/data/1603923/000160392320000075/ex106secondamendment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2021-06-04T15:33:14Z</dcterms:created>
  <dcterms:modified xsi:type="dcterms:W3CDTF">2021-06-04T15:33:14Z</dcterms:modified>
</cp:coreProperties>
</file>