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-224155</wp:posOffset>
            </wp:positionV>
            <wp:extent cx="58572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4, 2016</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34290</wp:posOffset>
            </wp:positionV>
            <wp:extent cx="5419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6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349250</wp:posOffset>
            </wp:positionV>
            <wp:extent cx="5857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1, 2016, Weatherford International plc (the “Company”), and certain subsidiaries of the Company, entered into Amendment No. 4 to Credit Agreement with JPMorgan Chase Bank, N.A., as administrative agent, and the other lenders and parties thereto. Pursuant to the amendment, the Company’s existing senior revolving credit facility was amended to increase the consolidated indebtedness to total capitalization covenant from 60% to 70% for the fiscal quarters ending March 31 and June 30, 2016, to reduce the commitments thereunder from $2.25 billion to $2.0 billion and to make certain other changes.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description of the amendment above does not purport to be complete and is qualified in its entirety by reference to the amendment which is attached as Exhibit 10.1 to this Form 8-K and incorporated by reference into this Item 1.01.</w:t>
      </w:r>
    </w:p>
    <w:p>
      <w:pPr>
        <w:spacing w:after="0" w:line="329" w:lineRule="exact"/>
        <w:rPr>
          <w:sz w:val="20"/>
          <w:szCs w:val="20"/>
          <w:color w:val="auto"/>
        </w:rPr>
      </w:pPr>
    </w:p>
    <w:p>
      <w:pPr>
        <w:ind w:left="1340" w:right="2360" w:hanging="1296"/>
        <w:spacing w:after="0" w:line="282" w:lineRule="auto"/>
        <w:tabs>
          <w:tab w:leader="none" w:pos="13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8"/>
          <w:szCs w:val="18"/>
          <w:b w:val="1"/>
          <w:bCs w:val="1"/>
          <w:color w:val="auto"/>
        </w:rPr>
        <w:t>Creation of a Direct Financial Obligation or an Obligation under an Off-Balance Sheet Arrangement of a Registrant.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above is incorporated by reference into this Item 2.03.</w:t>
      </w:r>
    </w:p>
    <w:p>
      <w:pPr>
        <w:spacing w:after="0" w:line="383"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380" w:hanging="856"/>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22"/>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8"/>
              </w:rPr>
              <w:t>Amendment No. 4 to Credit Agreement, dated February 1, 2016, with Weatherford International Ltd. (Bermuda), Weatherford</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International plc (Ireland), Weatherford International, LLC (Delaware), Weatherford Liquidity Management Hungary Limited Liability</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Company (Hungary), Weatherford Capital Management Services Limited Liability Company (Hungary), the lenders party thereto and</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JPMorgan Chase Bank, N.A., as administrative agent.</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4, 2016</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240"/>
              <w:spacing w:after="0"/>
              <w:rPr>
                <w:sz w:val="20"/>
                <w:szCs w:val="20"/>
                <w:color w:val="auto"/>
              </w:rPr>
            </w:pPr>
            <w:r>
              <w:rPr>
                <w:rFonts w:ascii="Arial" w:cs="Arial" w:eastAsia="Arial" w:hAnsi="Arial"/>
                <w:sz w:val="18"/>
                <w:szCs w:val="18"/>
                <w:b w:val="1"/>
                <w:bCs w:val="1"/>
                <w:color w:val="auto"/>
              </w:rPr>
              <w:t>INDEX TO EXHIBIT</w:t>
            </w:r>
          </w:p>
        </w:tc>
      </w:tr>
      <w:tr>
        <w:trPr>
          <w:trHeight w:val="59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22"/>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8"/>
              </w:rPr>
              <w:t>Amendment No. 4 to Credit Agreement, dated February 1, 2016, with Weatherford International Ltd. (Bermuda), Weatherford</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International plc (Ireland), Weatherford International, LLC (Delaware), Weatherford Liquidity Management Hungary Limited Liability</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Company (Hungary), Weatherford Capital Management Services Limited Liability Company (Hungary), the lenders party thereto and</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JPMorgan Chase Bank, N.A., as administrative agent.</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4 TO CREDIT AGREEMENT</w:t>
      </w:r>
    </w:p>
    <w:p>
      <w:pPr>
        <w:spacing w:after="0" w:line="226" w:lineRule="exact"/>
        <w:rPr>
          <w:sz w:val="20"/>
          <w:szCs w:val="20"/>
          <w:color w:val="auto"/>
        </w:rPr>
      </w:pPr>
    </w:p>
    <w:p>
      <w:pPr>
        <w:jc w:val="both"/>
        <w:ind w:firstLine="648"/>
        <w:spacing w:after="0" w:line="259" w:lineRule="exact"/>
        <w:rPr>
          <w:sz w:val="20"/>
          <w:szCs w:val="20"/>
          <w:color w:val="auto"/>
        </w:rPr>
      </w:pPr>
      <w:r>
        <w:rPr>
          <w:rFonts w:ascii="Arial" w:cs="Arial" w:eastAsia="Arial" w:hAnsi="Arial"/>
          <w:sz w:val="19"/>
          <w:szCs w:val="19"/>
          <w:color w:val="auto"/>
        </w:rPr>
        <w:t>THIS AMENDMENT NO. 4 TO CREDIT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as of February 1, 2016 by and among WEATHERFORD INTERNATIONAL LTD., a Bermuda exempted company (“</w:t>
      </w:r>
      <w:r>
        <w:rPr>
          <w:rFonts w:ascii="Arial" w:cs="Arial" w:eastAsia="Arial" w:hAnsi="Arial"/>
          <w:sz w:val="19"/>
          <w:szCs w:val="19"/>
          <w:u w:val="single" w:color="auto"/>
          <w:color w:val="auto"/>
        </w:rPr>
        <w:t>WIL</w:t>
      </w:r>
      <w:r>
        <w:rPr>
          <w:rFonts w:ascii="Arial" w:cs="Arial" w:eastAsia="Arial" w:hAnsi="Arial"/>
          <w:sz w:val="19"/>
          <w:szCs w:val="19"/>
          <w:color w:val="auto"/>
        </w:rPr>
        <w:t>”), WEATHERFORD INTERNATIONAL PLC, an Irish public limited company (“</w:t>
      </w:r>
      <w:r>
        <w:rPr>
          <w:rFonts w:ascii="Arial" w:cs="Arial" w:eastAsia="Arial" w:hAnsi="Arial"/>
          <w:sz w:val="19"/>
          <w:szCs w:val="19"/>
          <w:u w:val="single" w:color="auto"/>
          <w:color w:val="auto"/>
        </w:rPr>
        <w:t>WIL</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Ireland</w:t>
      </w:r>
      <w:r>
        <w:rPr>
          <w:rFonts w:ascii="Arial" w:cs="Arial" w:eastAsia="Arial" w:hAnsi="Arial"/>
          <w:sz w:val="19"/>
          <w:szCs w:val="19"/>
          <w:color w:val="auto"/>
        </w:rPr>
        <w:t>”), WEATHERFORD LIQUIDITY MANAGEMENT HUNGARY LIMITED LIABILITY COMPANY, a Hungarian limited liability company (“</w:t>
      </w:r>
      <w:r>
        <w:rPr>
          <w:rFonts w:ascii="Arial" w:cs="Arial" w:eastAsia="Arial" w:hAnsi="Arial"/>
          <w:sz w:val="19"/>
          <w:szCs w:val="19"/>
          <w:u w:val="single" w:color="auto"/>
          <w:color w:val="auto"/>
        </w:rPr>
        <w:t>HOC</w:t>
      </w:r>
      <w:r>
        <w:rPr>
          <w:rFonts w:ascii="Arial" w:cs="Arial" w:eastAsia="Arial" w:hAnsi="Arial"/>
          <w:sz w:val="19"/>
          <w:szCs w:val="19"/>
          <w:color w:val="auto"/>
        </w:rPr>
        <w:t>”), WEATHERFORD CAPITAL MANAGEMENT SERVICES LIMITED LIABILITY COMPANY, a Hungarian limited liability company (“</w:t>
      </w:r>
      <w:r>
        <w:rPr>
          <w:rFonts w:ascii="Arial" w:cs="Arial" w:eastAsia="Arial" w:hAnsi="Arial"/>
          <w:sz w:val="19"/>
          <w:szCs w:val="19"/>
          <w:u w:val="single" w:color="auto"/>
          <w:color w:val="auto"/>
        </w:rPr>
        <w:t>WCMS</w:t>
      </w:r>
      <w:r>
        <w:rPr>
          <w:rFonts w:ascii="Arial" w:cs="Arial" w:eastAsia="Arial" w:hAnsi="Arial"/>
          <w:sz w:val="19"/>
          <w:szCs w:val="19"/>
          <w:color w:val="auto"/>
        </w:rPr>
        <w:t>” and, together with WIL, WIL-Ireland and HOC, the “</w:t>
      </w:r>
      <w:r>
        <w:rPr>
          <w:rFonts w:ascii="Arial" w:cs="Arial" w:eastAsia="Arial" w:hAnsi="Arial"/>
          <w:sz w:val="19"/>
          <w:szCs w:val="19"/>
          <w:u w:val="single" w:color="auto"/>
          <w:color w:val="auto"/>
        </w:rPr>
        <w:t>Obligor Parties</w:t>
      </w:r>
      <w:r>
        <w:rPr>
          <w:rFonts w:ascii="Arial" w:cs="Arial" w:eastAsia="Arial" w:hAnsi="Arial"/>
          <w:sz w:val="19"/>
          <w:szCs w:val="19"/>
          <w:color w:val="auto"/>
        </w:rPr>
        <w:t>”), WEATHERFORD INTERNATIONAL, LLC, a Delaware limited liability company (“</w:t>
      </w:r>
      <w:r>
        <w:rPr>
          <w:rFonts w:ascii="Arial" w:cs="Arial" w:eastAsia="Arial" w:hAnsi="Arial"/>
          <w:sz w:val="19"/>
          <w:szCs w:val="19"/>
          <w:u w:val="single" w:color="auto"/>
          <w:color w:val="auto"/>
        </w:rPr>
        <w:t>WILLC</w:t>
      </w:r>
      <w:r>
        <w:rPr>
          <w:rFonts w:ascii="Arial" w:cs="Arial" w:eastAsia="Arial" w:hAnsi="Arial"/>
          <w:sz w:val="19"/>
          <w:szCs w:val="19"/>
          <w:color w:val="auto"/>
        </w:rPr>
        <w:t>” and, together with the Obligor Parties, the “</w:t>
      </w:r>
      <w:r>
        <w:rPr>
          <w:rFonts w:ascii="Arial" w:cs="Arial" w:eastAsia="Arial" w:hAnsi="Arial"/>
          <w:sz w:val="19"/>
          <w:szCs w:val="19"/>
          <w:u w:val="single" w:color="auto"/>
          <w:color w:val="auto"/>
        </w:rPr>
        <w:t>Obligors</w:t>
      </w:r>
      <w:r>
        <w:rPr>
          <w:rFonts w:ascii="Arial" w:cs="Arial" w:eastAsia="Arial" w:hAnsi="Arial"/>
          <w:sz w:val="19"/>
          <w:szCs w:val="19"/>
          <w:color w:val="auto"/>
        </w:rPr>
        <w:t>”), the Lenders listed on the signature pages attached hereto and JPMORGAN CHASE BANK, N.A., as administrative agent for the Lenders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reference is made to that certain Credit Agreement dated as of October 15, 2010 by and among the Obligor Parties, the lenders named therein, the Administrative Agent, the Issuing Banks and certain other parties named therein (as heretofore amended, supplemented or otherwise modified,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Borrowers desire to reduce the Commitments from $2,250,000,000 to $2,000,000,000; and</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Borrowers have requested that the Lenders agree to amend certain other provisions of the Credit Agreement, and the Required Lenders have agreed to amend the Credit Agreement as hereinafter set forth.</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hereto agree as follows:</w:t>
      </w:r>
    </w:p>
    <w:p>
      <w:pPr>
        <w:spacing w:after="0" w:line="17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used but not otherwise defined herein shall have the meanings assigned to them in the Credit Agreement.</w:t>
      </w:r>
    </w:p>
    <w:p>
      <w:pPr>
        <w:spacing w:after="0" w:line="161"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Amendments to Credit Agreement</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6" w:lineRule="auto"/>
        <w:tabs>
          <w:tab w:leader="none" w:pos="1217"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by adding the following definitions in the appropriate alphabetical order:</w:t>
      </w:r>
    </w:p>
    <w:p>
      <w:pPr>
        <w:spacing w:after="0" w:line="161"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4</w:t>
      </w:r>
      <w:r>
        <w:rPr>
          <w:rFonts w:ascii="Arial" w:cs="Arial" w:eastAsia="Arial" w:hAnsi="Arial"/>
          <w:sz w:val="22"/>
          <w:szCs w:val="22"/>
          <w:color w:val="auto"/>
        </w:rPr>
        <w:t>” means that certain Amendment No. 4 to Credit Agreement entered into as of February 1, 2016 by and among the Obligors, the Lenders listed on the signature pages attached thereto and the Administrative Agent.</w:t>
      </w:r>
    </w:p>
    <w:p>
      <w:pPr>
        <w:spacing w:after="0" w:line="18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4 Effective Date</w:t>
      </w:r>
      <w:r>
        <w:rPr>
          <w:rFonts w:ascii="Arial" w:cs="Arial" w:eastAsia="Arial" w:hAnsi="Arial"/>
          <w:sz w:val="22"/>
          <w:szCs w:val="22"/>
          <w:color w:val="auto"/>
        </w:rPr>
        <w:t>” means February 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88" w:right="239" w:bottom="1440" w:gutter="0" w:footer="0" w:header="0"/>
        </w:sectPr>
      </w:pPr>
    </w:p>
    <w:bookmarkStart w:id="5" w:name="page6"/>
    <w:bookmarkEnd w:id="5"/>
    <w:p>
      <w:pPr>
        <w:jc w:val="both"/>
        <w:ind w:left="1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75" w:lineRule="exact"/>
        <w:rPr>
          <w:sz w:val="20"/>
          <w:szCs w:val="20"/>
          <w:color w:val="auto"/>
        </w:rPr>
      </w:pPr>
    </w:p>
    <w:p>
      <w:pPr>
        <w:jc w:val="both"/>
        <w:ind w:left="130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34" w:lineRule="exact"/>
        <w:rPr>
          <w:sz w:val="20"/>
          <w:szCs w:val="20"/>
          <w:color w:val="auto"/>
        </w:rPr>
      </w:pPr>
    </w:p>
    <w:p>
      <w:pPr>
        <w:jc w:val="both"/>
        <w:ind w:left="130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7"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Member Country</w:t>
      </w:r>
      <w:r>
        <w:rPr>
          <w:rFonts w:ascii="Arial" w:cs="Arial" w:eastAsia="Arial" w:hAnsi="Arial"/>
          <w:sz w:val="22"/>
          <w:szCs w:val="22"/>
          <w:color w:val="auto"/>
        </w:rPr>
        <w:t>” means any of the member states of the European Union, Iceland, Liechtenstein and Norway.</w:t>
      </w:r>
    </w:p>
    <w:p>
      <w:pPr>
        <w:spacing w:after="0" w:line="175"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8" w:lineRule="exact"/>
        <w:rPr>
          <w:sz w:val="20"/>
          <w:szCs w:val="20"/>
          <w:color w:val="auto"/>
        </w:rPr>
      </w:pPr>
    </w:p>
    <w:p>
      <w:pPr>
        <w:ind w:firstLine="656"/>
        <w:spacing w:after="0" w:line="276" w:lineRule="auto"/>
        <w:tabs>
          <w:tab w:leader="none" w:pos="1134" w:val="left"/>
        </w:tabs>
        <w:numPr>
          <w:ilvl w:val="0"/>
          <w:numId w:val="4"/>
        </w:numPr>
        <w:rPr>
          <w:rFonts w:ascii="Arial" w:cs="Arial" w:eastAsia="Arial" w:hAnsi="Arial"/>
          <w:sz w:val="22"/>
          <w:szCs w:val="22"/>
          <w:color w:val="auto"/>
        </w:rPr>
      </w:pPr>
      <w:r>
        <w:rPr>
          <w:rFonts w:ascii="Arial" w:cs="Arial" w:eastAsia="Arial" w:hAnsi="Arial"/>
          <w:sz w:val="22"/>
          <w:szCs w:val="22"/>
          <w:color w:val="auto"/>
        </w:rPr>
        <w:t>Clause (d) of the definition of “Defaulting Lender” in Section 1.01 of the Credit Agreement is hereby amended and restated in its entirety to read as follows: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has become, or whose Parent has become, the subject of a Bankruptcy Event or a Bail-in Action.</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Clause (a) of the definition of “Permitted Liens” in Section 1.01 of the Credit Agreement is hereby amended and restated in its entirety to read as follows:</w:t>
      </w:r>
    </w:p>
    <w:p>
      <w:pPr>
        <w:spacing w:after="0" w:line="175" w:lineRule="exact"/>
        <w:rPr>
          <w:sz w:val="20"/>
          <w:szCs w:val="20"/>
          <w:color w:val="auto"/>
        </w:rPr>
      </w:pPr>
    </w:p>
    <w:p>
      <w:pPr>
        <w:ind w:left="1300" w:right="20" w:firstLine="648"/>
        <w:spacing w:after="0" w:line="343" w:lineRule="auto"/>
        <w:rPr>
          <w:sz w:val="20"/>
          <w:szCs w:val="20"/>
          <w:color w:val="auto"/>
        </w:rPr>
      </w:pPr>
      <w:r>
        <w:rPr>
          <w:rFonts w:ascii="Arial" w:cs="Arial" w:eastAsia="Arial" w:hAnsi="Arial"/>
          <w:sz w:val="19"/>
          <w:szCs w:val="19"/>
          <w:color w:val="auto"/>
        </w:rPr>
        <w:t>Liens, not otherwise permitted under any other provision of this definition, securing Indebtedness permitted under this Agreement in an aggregate principal amount at any time outstanding that does not exceed $50,000,000;</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6" w:name="page7"/>
    <w:bookmarkEnd w:id="6"/>
    <w:p>
      <w:pPr>
        <w:ind w:firstLine="656"/>
        <w:spacing w:after="0" w:line="301" w:lineRule="auto"/>
        <w:tabs>
          <w:tab w:leader="none" w:pos="1136"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definition of “Permitted Liens” in Section 1.01 of the Credit Agreement is hereby amended by (i) renumbering clauses (n) and (o) as clauses (o) and (p) respectively and (ii) adding a new clause (n) that reads as follows:</w:t>
      </w:r>
    </w:p>
    <w:p>
      <w:pPr>
        <w:spacing w:after="0" w:line="137" w:lineRule="exact"/>
        <w:rPr>
          <w:sz w:val="20"/>
          <w:szCs w:val="20"/>
          <w:color w:val="auto"/>
        </w:rPr>
      </w:pPr>
    </w:p>
    <w:p>
      <w:pPr>
        <w:jc w:val="both"/>
        <w:ind w:left="1300" w:firstLine="648"/>
        <w:spacing w:after="0" w:line="287" w:lineRule="auto"/>
        <w:rPr>
          <w:sz w:val="20"/>
          <w:szCs w:val="20"/>
          <w:color w:val="auto"/>
        </w:rPr>
      </w:pPr>
      <w:r>
        <w:rPr>
          <w:rFonts w:ascii="Arial" w:cs="Arial" w:eastAsia="Arial" w:hAnsi="Arial"/>
          <w:sz w:val="21"/>
          <w:szCs w:val="21"/>
          <w:color w:val="auto"/>
        </w:rPr>
        <w:t>Liens in effect on the Amendment No. 4 Effective Date securing Indebtedness or other obligations in an aggregate principal amount at any time outstanding that does not exceed $100,000,000;</w:t>
      </w:r>
    </w:p>
    <w:p>
      <w:pPr>
        <w:spacing w:after="0" w:line="15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The Credit Agreement is hereby amended by adding a new Section 6.14 to read as follows:</w:t>
      </w:r>
    </w:p>
    <w:p>
      <w:pPr>
        <w:spacing w:after="0" w:line="233"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22"/>
          <w:szCs w:val="22"/>
          <w:u w:val="single" w:color="auto"/>
          <w:color w:val="auto"/>
        </w:rPr>
        <w:t>Liens Existing on the Amendment No. 4 Effective Date</w:t>
      </w:r>
      <w:r>
        <w:rPr>
          <w:rFonts w:ascii="Arial" w:cs="Arial" w:eastAsia="Arial" w:hAnsi="Arial"/>
          <w:sz w:val="22"/>
          <w:szCs w:val="22"/>
          <w:color w:val="auto"/>
        </w:rPr>
        <w:t>. As of the Amendment No. 4 Effective Date, the aggregate principal amount of all Indebtedness and other obligations secured by Liens permitted under clause (n) of the definition of “Permitted Liens” is less than $100,000,000.</w:t>
      </w:r>
    </w:p>
    <w:p>
      <w:pPr>
        <w:spacing w:after="0" w:line="18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Section 8.04 of the Credit Agreement is hereby amended and restated in its entirety to read as follows:</w:t>
      </w:r>
    </w:p>
    <w:p>
      <w:pPr>
        <w:spacing w:after="0" w:line="233" w:lineRule="exact"/>
        <w:rPr>
          <w:sz w:val="20"/>
          <w:szCs w:val="20"/>
          <w:color w:val="auto"/>
        </w:rPr>
      </w:pPr>
    </w:p>
    <w:p>
      <w:pPr>
        <w:jc w:val="both"/>
        <w:ind w:left="1300" w:firstLine="648"/>
        <w:spacing w:after="0" w:line="260" w:lineRule="auto"/>
        <w:rPr>
          <w:sz w:val="20"/>
          <w:szCs w:val="20"/>
          <w:color w:val="auto"/>
        </w:rPr>
      </w:pPr>
      <w:r>
        <w:rPr>
          <w:rFonts w:ascii="Arial" w:cs="Arial" w:eastAsia="Arial" w:hAnsi="Arial"/>
          <w:sz w:val="21"/>
          <w:szCs w:val="21"/>
          <w:color w:val="auto"/>
        </w:rPr>
        <w:t xml:space="preserve">The aggregate principal amount of all Indebtedness of all Subsidiaries of WIL-Ireland (other than Subsidiaries of WIL-Ireland that are Obligors) at any time outstanding to any Person other than WIL-Ireland and its Subsidiaries shall not exceed 20% of WIL-Ireland’s Net Worth at such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from and after the Amendment No. 4 Effective Date, no Subsidiary of WIL-Ireland (other than Subsidiaries of WIL-Ireland that are Obligors) shall provide any Assurance with respect to any Indebtedness other than (i) any guarantee of the Obligations or (ii) any Assurance that existed on January 23, 2016 that guarantees or otherwise supports obligations that were in effect on January 23, 2016.</w:t>
      </w:r>
    </w:p>
    <w:p>
      <w:pPr>
        <w:spacing w:after="0" w:line="18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Section 8.06 of the Credit Agreement is hereby amended and restated in its entirety to read as follows:</w:t>
      </w:r>
    </w:p>
    <w:p>
      <w:pPr>
        <w:spacing w:after="0" w:line="233"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22"/>
          <w:szCs w:val="22"/>
          <w:color w:val="auto"/>
        </w:rPr>
        <w:t>WIL-Ireland shall not permit its Consolidated Indebtedness to exceed (a) at the end of the fiscal quarters ending on March 31, 2016 and June 30, 2016, 70% of its Total Capitalization and (b) at the end of each fiscal quarter thereafter, 60% of its Total Capitalization.</w:t>
      </w:r>
    </w:p>
    <w:p>
      <w:pPr>
        <w:spacing w:after="0" w:line="18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The Credit Agreement is hereby amended by adding a new Section 11.21 to read as follows:</w:t>
      </w:r>
    </w:p>
    <w:p>
      <w:pPr>
        <w:spacing w:after="0" w:line="233" w:lineRule="exact"/>
        <w:rPr>
          <w:sz w:val="20"/>
          <w:szCs w:val="20"/>
          <w:color w:val="auto"/>
        </w:rPr>
      </w:pPr>
    </w:p>
    <w:p>
      <w:pPr>
        <w:jc w:val="both"/>
        <w:ind w:left="1300" w:firstLine="648"/>
        <w:spacing w:after="0" w:line="297" w:lineRule="auto"/>
        <w:rPr>
          <w:sz w:val="20"/>
          <w:szCs w:val="20"/>
          <w:color w:val="auto"/>
        </w:rPr>
      </w:pPr>
      <w:r>
        <w:rPr>
          <w:rFonts w:ascii="Arial" w:cs="Arial" w:eastAsia="Arial" w:hAnsi="Arial"/>
          <w:sz w:val="19"/>
          <w:szCs w:val="19"/>
          <w:u w:val="single" w:color="auto"/>
          <w:color w:val="auto"/>
        </w:rPr>
        <w:t>Acknowledgement and Consent to Bail-In of EEA Financial Institutions</w:t>
      </w:r>
      <w:r>
        <w:rPr>
          <w:rFonts w:ascii="Arial" w:cs="Arial" w:eastAsia="Arial" w:hAnsi="Arial"/>
          <w:sz w:val="19"/>
          <w:szCs w:val="19"/>
          <w:color w:val="auto"/>
        </w:rPr>
        <w:t>. Notwithstanding anything to the contrary in any Loan Document or in any other agreement, arrangement or understanding among any of the parties hereto,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7" w:name="page8"/>
    <w:bookmarkEnd w:id="7"/>
    <w:p>
      <w:pPr>
        <w:jc w:val="both"/>
        <w:ind w:left="1300" w:firstLine="1301"/>
        <w:spacing w:after="0" w:line="260" w:lineRule="auto"/>
        <w:tabs>
          <w:tab w:leader="none" w:pos="3043"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7" w:lineRule="exact"/>
        <w:rPr>
          <w:rFonts w:ascii="Arial" w:cs="Arial" w:eastAsia="Arial" w:hAnsi="Arial"/>
          <w:sz w:val="22"/>
          <w:szCs w:val="22"/>
          <w:color w:val="auto"/>
        </w:rPr>
      </w:pPr>
    </w:p>
    <w:p>
      <w:pPr>
        <w:ind w:left="3040" w:hanging="439"/>
        <w:spacing w:after="0"/>
        <w:tabs>
          <w:tab w:leader="none" w:pos="30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33" w:lineRule="exact"/>
        <w:rPr>
          <w:sz w:val="20"/>
          <w:szCs w:val="20"/>
          <w:color w:val="auto"/>
        </w:rPr>
      </w:pPr>
    </w:p>
    <w:p>
      <w:pPr>
        <w:ind w:left="2980" w:hanging="379"/>
        <w:spacing w:after="0"/>
        <w:tabs>
          <w:tab w:leader="none" w:pos="29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33" w:lineRule="exact"/>
        <w:rPr>
          <w:rFonts w:ascii="Arial" w:cs="Arial" w:eastAsia="Arial" w:hAnsi="Arial"/>
          <w:sz w:val="22"/>
          <w:szCs w:val="22"/>
          <w:color w:val="auto"/>
        </w:rPr>
      </w:pPr>
    </w:p>
    <w:p>
      <w:pPr>
        <w:jc w:val="both"/>
        <w:ind w:left="1960" w:firstLine="641"/>
        <w:spacing w:after="0" w:line="307" w:lineRule="auto"/>
        <w:tabs>
          <w:tab w:leader="none" w:pos="3052" w:val="left"/>
        </w:tabs>
        <w:numPr>
          <w:ilvl w:val="0"/>
          <w:numId w:val="7"/>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38" w:lineRule="exact"/>
        <w:rPr>
          <w:rFonts w:ascii="Arial" w:cs="Arial" w:eastAsia="Arial" w:hAnsi="Arial"/>
          <w:sz w:val="19"/>
          <w:szCs w:val="19"/>
          <w:color w:val="auto"/>
        </w:rPr>
      </w:pPr>
    </w:p>
    <w:p>
      <w:pPr>
        <w:ind w:left="1960" w:firstLine="641"/>
        <w:spacing w:after="0" w:line="276" w:lineRule="auto"/>
        <w:tabs>
          <w:tab w:leader="none" w:pos="3112"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Commitment Reduction</w:t>
      </w:r>
      <w:r>
        <w:rPr>
          <w:rFonts w:ascii="Arial" w:cs="Arial" w:eastAsia="Arial" w:hAnsi="Arial"/>
          <w:sz w:val="21"/>
          <w:szCs w:val="21"/>
          <w:color w:val="auto"/>
        </w:rPr>
        <w:t>. The Borrowers desire to reduce the Commitments from $2,250,000,000 to $2,000,000,000, effective as of the Amendment No. 4 Effective Date (the “</w:t>
      </w:r>
      <w:r>
        <w:rPr>
          <w:rFonts w:ascii="Arial" w:cs="Arial" w:eastAsia="Arial" w:hAnsi="Arial"/>
          <w:sz w:val="21"/>
          <w:szCs w:val="21"/>
          <w:u w:val="single" w:color="auto"/>
          <w:color w:val="auto"/>
        </w:rPr>
        <w:t>Commitment Reduction</w:t>
      </w:r>
      <w:r>
        <w:rPr>
          <w:rFonts w:ascii="Arial" w:cs="Arial" w:eastAsia="Arial" w:hAnsi="Arial"/>
          <w:sz w:val="21"/>
          <w:szCs w:val="21"/>
          <w:color w:val="auto"/>
        </w:rPr>
        <w:t xml:space="preserve">”). As provided in Section 2.06(c) of the Credit Agreement, the Commitment Reduction shall be made ratably among the Lenders in accordance with their respective Commitments. As such, after giving effect to the Commitment Reduction on the Amendment No. 4 Effective Date, each Lender’s Commitment shall be as set forth on </w:t>
      </w:r>
      <w:r>
        <w:rPr>
          <w:rFonts w:ascii="Arial" w:cs="Arial" w:eastAsia="Arial" w:hAnsi="Arial"/>
          <w:sz w:val="21"/>
          <w:szCs w:val="21"/>
          <w:u w:val="single" w:color="auto"/>
          <w:color w:val="auto"/>
        </w:rPr>
        <w:t>Annex I</w:t>
      </w:r>
      <w:r>
        <w:rPr>
          <w:rFonts w:ascii="Arial" w:cs="Arial" w:eastAsia="Arial" w:hAnsi="Arial"/>
          <w:sz w:val="21"/>
          <w:szCs w:val="21"/>
          <w:color w:val="auto"/>
        </w:rPr>
        <w:t xml:space="preserve"> attached hereto, which shall automatically amend and restate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to the Credit Agreement. The Lenders hereby waive, solely with respect to the Commitment Reduction, any notice required to be delivered by the Borrowers pursuant to Section 2.06(c).</w:t>
      </w:r>
    </w:p>
    <w:p>
      <w:pPr>
        <w:spacing w:after="0" w:line="180"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Amendment No. 4 Effective Date; Conditions Precedent</w:t>
      </w:r>
      <w:r>
        <w:rPr>
          <w:rFonts w:ascii="Arial" w:cs="Arial" w:eastAsia="Arial" w:hAnsi="Arial"/>
          <w:sz w:val="19"/>
          <w:szCs w:val="19"/>
          <w:color w:val="auto"/>
        </w:rPr>
        <w:t>. This Amendment and the Commitment Reduction shall become effective on the date (the “</w:t>
      </w:r>
      <w:r>
        <w:rPr>
          <w:rFonts w:ascii="Arial" w:cs="Arial" w:eastAsia="Arial" w:hAnsi="Arial"/>
          <w:sz w:val="19"/>
          <w:szCs w:val="19"/>
          <w:u w:val="single" w:color="auto"/>
          <w:color w:val="auto"/>
        </w:rPr>
        <w:t>Amendment No. 4 Effective Date</w:t>
      </w:r>
      <w:r>
        <w:rPr>
          <w:rFonts w:ascii="Arial" w:cs="Arial" w:eastAsia="Arial" w:hAnsi="Arial"/>
          <w:sz w:val="19"/>
          <w:szCs w:val="19"/>
          <w:color w:val="auto"/>
        </w:rPr>
        <w:t>”) on which the following conditions have been satisfied:</w:t>
      </w:r>
    </w:p>
    <w:p>
      <w:pPr>
        <w:spacing w:after="0" w:line="91" w:lineRule="exact"/>
        <w:rPr>
          <w:sz w:val="20"/>
          <w:szCs w:val="20"/>
          <w:color w:val="auto"/>
        </w:rPr>
      </w:pPr>
    </w:p>
    <w:p>
      <w:pPr>
        <w:ind w:firstLine="656"/>
        <w:spacing w:after="0" w:line="276" w:lineRule="auto"/>
        <w:tabs>
          <w:tab w:leader="none" w:pos="1149"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Administrative Agent shall have received, in form and substance reasonably satisfactory to the Administrative Agent, a counterpart of this Amendment executed by the Obligors and the Required Lenders.</w:t>
      </w:r>
    </w:p>
    <w:p>
      <w:pPr>
        <w:spacing w:after="0" w:line="160" w:lineRule="exact"/>
        <w:rPr>
          <w:rFonts w:ascii="Arial" w:cs="Arial" w:eastAsia="Arial" w:hAnsi="Arial"/>
          <w:sz w:val="22"/>
          <w:szCs w:val="22"/>
          <w:color w:val="auto"/>
        </w:rPr>
      </w:pPr>
    </w:p>
    <w:p>
      <w:pPr>
        <w:jc w:val="both"/>
        <w:ind w:firstLine="656"/>
        <w:spacing w:after="0" w:line="251" w:lineRule="auto"/>
        <w:tabs>
          <w:tab w:leader="none" w:pos="1121"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Borrowers shall have paid (i) to the Administrative Agent, the Lead Arrangers and the Lenders, as applicable, all fees and other amounts agreed upon by such parties to be paid on or prior to the Amendment No. 4 Effective Date and (ii) to the extent invoiced at or before 10:00 a.m., New York City time, on the Amendment No. 4 Effective Date, all out-of pocket expenses required to be reimbursed or paid by the Borrowers pursuant to Section 11.03 of the Credit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8" w:name="page9"/>
    <w:bookmarkEnd w:id="8"/>
    <w:p>
      <w:pPr>
        <w:ind w:left="660"/>
        <w:spacing w:after="0"/>
        <w:tabs>
          <w:tab w:leader="none" w:pos="174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To induce the other parties hereto to enter into this Amendment, each of the</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Obligor Parties represents and warrants that, after giving effect to each of the amendments set forth in this Amendment:</w:t>
      </w:r>
    </w:p>
    <w:p>
      <w:pPr>
        <w:spacing w:after="0" w:line="227" w:lineRule="exact"/>
        <w:rPr>
          <w:sz w:val="20"/>
          <w:szCs w:val="20"/>
          <w:color w:val="auto"/>
        </w:rPr>
      </w:pPr>
    </w:p>
    <w:p>
      <w:pPr>
        <w:jc w:val="both"/>
        <w:ind w:firstLine="656"/>
        <w:spacing w:after="0" w:line="270" w:lineRule="auto"/>
        <w:tabs>
          <w:tab w:leader="none" w:pos="1068"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representations and warranties set forth in Article VI of the Credit Agreement and in the other Loan Documents are true and correct in all material respects as of, and as if such representations and warranties were made on, the Amendment No. 4 Effective Date (unless such representation and warranty expressly relates to an earlier date, in which case such representation and warranty shall continue to be true and correct as of such earlier date);</w:t>
      </w:r>
    </w:p>
    <w:p>
      <w:pPr>
        <w:spacing w:after="0" w:line="169" w:lineRule="exact"/>
        <w:rPr>
          <w:rFonts w:ascii="Arial" w:cs="Arial" w:eastAsia="Arial" w:hAnsi="Arial"/>
          <w:sz w:val="21"/>
          <w:szCs w:val="21"/>
          <w:color w:val="auto"/>
        </w:rPr>
      </w:pPr>
    </w:p>
    <w:p>
      <w:pPr>
        <w:ind w:left="1080" w:hanging="424"/>
        <w:spacing w:after="0"/>
        <w:tabs>
          <w:tab w:leader="none" w:pos="1080" w:val="left"/>
        </w:tabs>
        <w:numPr>
          <w:ilvl w:val="0"/>
          <w:numId w:val="9"/>
        </w:numPr>
        <w:rPr>
          <w:rFonts w:ascii="Arial" w:cs="Arial" w:eastAsia="Arial" w:hAnsi="Arial"/>
          <w:sz w:val="21"/>
          <w:szCs w:val="21"/>
          <w:color w:val="auto"/>
        </w:rPr>
      </w:pPr>
      <w:r>
        <w:rPr>
          <w:rFonts w:ascii="Arial" w:cs="Arial" w:eastAsia="Arial" w:hAnsi="Arial"/>
          <w:sz w:val="21"/>
          <w:szCs w:val="21"/>
          <w:color w:val="auto"/>
        </w:rPr>
        <w:t>no Default or Event of Default has occurred and is continuing on the Amendment No. 4 Effective Date; and</w:t>
      </w:r>
    </w:p>
    <w:p>
      <w:pPr>
        <w:spacing w:after="0" w:line="244" w:lineRule="exact"/>
        <w:rPr>
          <w:rFonts w:ascii="Arial" w:cs="Arial" w:eastAsia="Arial" w:hAnsi="Arial"/>
          <w:sz w:val="21"/>
          <w:szCs w:val="21"/>
          <w:color w:val="auto"/>
        </w:rPr>
      </w:pPr>
    </w:p>
    <w:p>
      <w:pPr>
        <w:jc w:val="both"/>
        <w:ind w:firstLine="656"/>
        <w:spacing w:after="0" w:line="320" w:lineRule="auto"/>
        <w:tabs>
          <w:tab w:leader="none" w:pos="1082" w:val="left"/>
        </w:tabs>
        <w:numPr>
          <w:ilvl w:val="0"/>
          <w:numId w:val="9"/>
        </w:numPr>
        <w:rPr>
          <w:rFonts w:ascii="Arial" w:cs="Arial" w:eastAsia="Arial" w:hAnsi="Arial"/>
          <w:sz w:val="19"/>
          <w:szCs w:val="19"/>
          <w:color w:val="auto"/>
        </w:rPr>
      </w:pPr>
      <w:r>
        <w:rPr>
          <w:rFonts w:ascii="Arial" w:cs="Arial" w:eastAsia="Arial" w:hAnsi="Arial"/>
          <w:sz w:val="19"/>
          <w:szCs w:val="19"/>
          <w:color w:val="auto"/>
        </w:rPr>
        <w:t>this Amendment constitutes the legal, valid and binding obligation of each of the Obligors, enforceable against each of the Obligors in accordance with its terms, except as enforceability may be limited by applicable bankruptcy, insolvency, or similar laws affecting the enforcement of creditors’ rights generally or by equitable principles of general applicability.</w:t>
      </w:r>
    </w:p>
    <w:p>
      <w:pPr>
        <w:spacing w:after="0" w:line="1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Confirmation of Loan Documents</w:t>
      </w:r>
      <w:r>
        <w:rPr>
          <w:rFonts w:ascii="Arial" w:cs="Arial" w:eastAsia="Arial" w:hAnsi="Arial"/>
          <w:sz w:val="19"/>
          <w:szCs w:val="19"/>
          <w:color w:val="auto"/>
        </w:rPr>
        <w:t>. Except as expressly contemplated hereby, the terms, provisions, conditions and covenants of the Credit Agreement, as amended by this Amendment, and the other Loan Documents remain in full force and effect and are hereby ratified and confirmed, and the execution, delivery and performance of this Amendment shall not, except as expressly set forth in this Amendment, operate as a waiver of, consent to or amendment of any term, provision, condition or covenant thereof. Without limiting the generality of the foregoing, except pursuant hereto or as expressly contemplated or amended hereby, nothing contained herein shall be deemed (a) to constitute a waiver of compliance or consent to noncompliance by any Obligor with respect to any term, provision, condition or covenant of the Credit Agreement or any other Loan Document; (b) to prejudice any right or remedy that the Administrative Agent or any Lender may now have or may have in the future under or in connection with the Credit Agreement or any other Loan Document; or (c) to constitute a waiver of compliance or consent to noncompliance by any Obligor Party with respect to the terms, provisions, conditions and covenants of the Credit Agreement and the other Loan Documents made the subject hereof. Each Obligor represents and acknowledges that it has no claims, counterclaims, offsets, credits or defenses to the Loan Documents or the performance of its obligations thereunder.</w:t>
      </w:r>
    </w:p>
    <w:p>
      <w:pPr>
        <w:spacing w:after="0" w:line="1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Existing Assurances Covenant</w:t>
      </w:r>
      <w:r>
        <w:rPr>
          <w:rFonts w:ascii="Arial" w:cs="Arial" w:eastAsia="Arial" w:hAnsi="Arial"/>
          <w:sz w:val="22"/>
          <w:szCs w:val="22"/>
          <w:color w:val="auto"/>
        </w:rPr>
        <w:t>. Within 60 days following the Amendment No. 4 Effective Date (or such later date as determined by the Administrative Agent in its sole discretion), WIL-Ireland shall deliver to the Administrative Agent a true, complete and correct list of all Assurances in effect on January 23, 2016. The covenant contained in this Section 7 is hereby incorporated by reference as an enumerated covenant under Section 9.01(c) of the Credit Agreement the breach of which shall result in an immediate Event of Default under the Credit Agreement.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Ratification</w:t>
      </w:r>
      <w:r>
        <w:rPr>
          <w:rFonts w:ascii="Arial" w:cs="Arial" w:eastAsia="Arial" w:hAnsi="Arial"/>
          <w:sz w:val="22"/>
          <w:szCs w:val="22"/>
          <w:color w:val="auto"/>
        </w:rPr>
        <w:t>. Each Guarantor hereby ratifies and confirms its obligations under the Guaranty Agreement and hereby represents and acknowledges that it has no claims, counterclaims, offsets, credits or defenses to the Loan Documents or the performance of its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21"/>
          <w:szCs w:val="21"/>
          <w:color w:val="auto"/>
        </w:rPr>
        <w:t>obligations thereunder. Furthermore, each Guarantor agrees that nothing contained in this Amendment shall adversely affect any right or remedy of the Administrative Agent or the Lenders under the Guaranty Agreement or any of the other Loan Documents to which it is a party. Each Guarantor agrees that all references in the Guaranty Agreement to the “Guaranteed Obligations” shall include, without limitation, all of the obligations of the Borrowers to the Administrative Agent and the Lenders under the Credit Agreement, as amended by this Amendment. Finally, each Guarantor hereby represents and warrants that the execution and delivery of this Amendment and the other documents executed in connection herewith shall in no way change or modify its obligations as a guarantor, debtor, pledgor, assignor, obligor and/or grantor under the Guaranty Agreement and the other Loan Documents to which it is a party and shall not constitute a waiver by the Administrative Agent or the Lenders of any of their rights against any Guarantor.</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Effect of Amendment</w:t>
      </w:r>
      <w:r>
        <w:rPr>
          <w:rFonts w:ascii="Arial" w:cs="Arial" w:eastAsia="Arial" w:hAnsi="Arial"/>
          <w:sz w:val="21"/>
          <w:szCs w:val="21"/>
          <w:color w:val="auto"/>
        </w:rPr>
        <w:t>. From and after the Amendment No. 4 Effective Date hereof, each reference in the Credit Agreement to “this Agreement”, “hereof”, or “hereunder” or words of like import, and all references to the Credit Agreement in any and all agreements, instruments, documents, notes, certificates, guaranties and other writings of every kind and nature shall be deemed to mean the Credit Agreement as modified by this Amendment. This Amendment shall constitute a Loan Document for all purposes of the Credit Agreement and the other Loan Documents.</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Costs and Expenses</w:t>
      </w:r>
      <w:r>
        <w:rPr>
          <w:rFonts w:ascii="Arial" w:cs="Arial" w:eastAsia="Arial" w:hAnsi="Arial"/>
          <w:sz w:val="22"/>
          <w:szCs w:val="22"/>
          <w:color w:val="auto"/>
        </w:rPr>
        <w:t>. Pursuant to the terms of Section 11.03 of the Credit Agreement, the Borrowers agree to pay all reasonable and documented out-of-pocket expenses incurred by the Administrative Agent and its Affiliates in connection with the preparation, execution and enforcement of this Amendment.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Choice of Law</w:t>
      </w:r>
      <w:r>
        <w:rPr>
          <w:rFonts w:ascii="Arial" w:cs="Arial" w:eastAsia="Arial" w:hAnsi="Arial"/>
          <w:sz w:val="22"/>
          <w:szCs w:val="22"/>
          <w:color w:val="auto"/>
        </w:rPr>
        <w:t>. This Amendment and all other documents executed in connection herewith and the rights and obligations of the parties hereto and thereto, shall be construed in accordance with and governed by the law of the State of New York.</w:t>
      </w:r>
    </w:p>
    <w:p>
      <w:pPr>
        <w:spacing w:after="0" w:line="1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Submission to Jurisdiction; Consent to Service of Process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exact"/>
        <w:tabs>
          <w:tab w:leader="none" w:pos="1257" w:val="left"/>
        </w:tabs>
        <w:numPr>
          <w:ilvl w:val="0"/>
          <w:numId w:val="10"/>
        </w:numPr>
        <w:rPr>
          <w:rFonts w:ascii="Arial" w:cs="Arial" w:eastAsia="Arial" w:hAnsi="Arial"/>
          <w:sz w:val="19"/>
          <w:szCs w:val="19"/>
          <w:color w:val="auto"/>
        </w:rPr>
      </w:pPr>
      <w:r>
        <w:rPr>
          <w:rFonts w:ascii="Arial" w:cs="Arial" w:eastAsia="Arial" w:hAnsi="Arial"/>
          <w:sz w:val="19"/>
          <w:szCs w:val="19"/>
          <w:color w:val="auto"/>
        </w:rPr>
        <w:t>Each Obligor hereby irrevocably and unconditionally submits, for itself and its property, to the non-exclusive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w:t>
      </w:r>
      <w:r>
        <w:rPr>
          <w:rFonts w:ascii="MS PGothic" w:cs="MS PGothic" w:eastAsia="MS PGothic" w:hAnsi="MS PGothic"/>
          <w:sz w:val="19"/>
          <w:szCs w:val="19"/>
          <w:color w:val="auto"/>
        </w:rPr>
        <w:t>‑</w:t>
      </w:r>
      <w:r>
        <w:rPr>
          <w:rFonts w:ascii="Arial" w:cs="Arial" w:eastAsia="Arial" w:hAnsi="Arial"/>
          <w:sz w:val="19"/>
          <w:szCs w:val="19"/>
          <w:color w:val="auto"/>
        </w:rPr>
        <w:t>appealable judgment in any such action or proceeding shall be conclusive and may be enforced in other jurisdictions by suit on the judgment or in any other manner provided by law. Nothing in this Amendment or any other Loan Document shall affect any right that the Administrative Agent, any Issuing Bank or any Lender may otherwise have to bring any suit, action or proceeding relating to this Amendment or any other Loan Document against any Obligor or its properties in the courts of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10" w:name="page11"/>
    <w:bookmarkEnd w:id="10"/>
    <w:p>
      <w:pPr>
        <w:jc w:val="both"/>
        <w:ind w:firstLine="656"/>
        <w:spacing w:after="0" w:line="251" w:lineRule="auto"/>
        <w:tabs>
          <w:tab w:leader="none" w:pos="1094" w:val="left"/>
        </w:tabs>
        <w:numPr>
          <w:ilvl w:val="1"/>
          <w:numId w:val="11"/>
        </w:numPr>
        <w:rPr>
          <w:rFonts w:ascii="Arial" w:cs="Arial" w:eastAsia="Arial" w:hAnsi="Arial"/>
          <w:sz w:val="22"/>
          <w:szCs w:val="22"/>
          <w:color w:val="auto"/>
        </w:rPr>
      </w:pPr>
      <w:r>
        <w:rPr>
          <w:rFonts w:ascii="Arial" w:cs="Arial" w:eastAsia="Arial" w:hAnsi="Arial"/>
          <w:sz w:val="22"/>
          <w:szCs w:val="22"/>
          <w:color w:val="auto"/>
        </w:rPr>
        <w:t>Each Obligor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 (a) of this Section. Each Obligor hereby irrevocably waives, to the fullest extent permitted by law, the defense of an inconvenient forum to the maintenance of such action or proceeding in any such court.</w:t>
      </w:r>
    </w:p>
    <w:p>
      <w:pPr>
        <w:spacing w:after="0" w:line="189" w:lineRule="exact"/>
        <w:rPr>
          <w:rFonts w:ascii="Arial" w:cs="Arial" w:eastAsia="Arial" w:hAnsi="Arial"/>
          <w:sz w:val="22"/>
          <w:szCs w:val="22"/>
          <w:color w:val="auto"/>
        </w:rPr>
      </w:pPr>
    </w:p>
    <w:p>
      <w:pPr>
        <w:jc w:val="both"/>
        <w:ind w:firstLine="656"/>
        <w:spacing w:after="0" w:line="262" w:lineRule="auto"/>
        <w:tabs>
          <w:tab w:leader="none" w:pos="1082" w:val="left"/>
        </w:tabs>
        <w:numPr>
          <w:ilvl w:val="1"/>
          <w:numId w:val="11"/>
        </w:numPr>
        <w:rPr>
          <w:rFonts w:ascii="Arial" w:cs="Arial" w:eastAsia="Arial" w:hAnsi="Arial"/>
          <w:sz w:val="21"/>
          <w:szCs w:val="21"/>
          <w:color w:val="auto"/>
        </w:rPr>
      </w:pPr>
      <w:r>
        <w:rPr>
          <w:rFonts w:ascii="Arial" w:cs="Arial" w:eastAsia="Arial" w:hAnsi="Arial"/>
          <w:sz w:val="21"/>
          <w:szCs w:val="21"/>
          <w:color w:val="auto"/>
        </w:rPr>
        <w:t>Each party to this Amendment irrevocably consents to service of process in the manner provided for notices in Section 11.02 of the Credit Agreement other than by facsimile. Nothing in this Amendment or any other Loan Document will affect the right of any party to this Amendment or any other Loan Document to serve process in any other manner permitted by law. Notwithstanding any other provision of this Amendment, each foreign Obligor Party hereby irrevocably designates C T Corporation System, 111 8th Avenue, New York, New York 10011, as the designee, appointee and agent of such Obligor Party to receive, for and on behalf of such Obligor Party, service of process in the State of New York in any suit, action or proceeding arising out of or relating to this Amendment or any other Loan Document.</w:t>
      </w:r>
    </w:p>
    <w:p>
      <w:pPr>
        <w:spacing w:after="0" w:line="180" w:lineRule="exact"/>
        <w:rPr>
          <w:rFonts w:ascii="Arial" w:cs="Arial" w:eastAsia="Arial" w:hAnsi="Arial"/>
          <w:sz w:val="21"/>
          <w:szCs w:val="21"/>
          <w:color w:val="auto"/>
        </w:rPr>
      </w:pPr>
    </w:p>
    <w:p>
      <w:pPr>
        <w:jc w:val="both"/>
        <w:ind w:firstLine="656"/>
        <w:spacing w:after="0" w:line="300" w:lineRule="auto"/>
        <w:tabs>
          <w:tab w:leader="none" w:pos="1107" w:val="left"/>
        </w:tabs>
        <w:numPr>
          <w:ilvl w:val="1"/>
          <w:numId w:val="11"/>
        </w:numPr>
        <w:rPr>
          <w:rFonts w:ascii="Arial" w:cs="Arial" w:eastAsia="Arial" w:hAnsi="Arial"/>
          <w:sz w:val="19"/>
          <w:szCs w:val="19"/>
          <w:color w:val="auto"/>
        </w:rPr>
      </w:pPr>
      <w:r>
        <w:rPr>
          <w:rFonts w:ascii="Arial" w:cs="Arial" w:eastAsia="Arial" w:hAnsi="Arial"/>
          <w:sz w:val="19"/>
          <w:szCs w:val="19"/>
          <w:color w:val="auto"/>
        </w:rPr>
        <w:t>Each Obligor agrees that any suit, action or proceeding brought by any Obligor or any of their respective Subsidiaries relating to this Amendment or any other Loan Document against the Administrative Agent, any Issuing Bank, any Lender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47" w:lineRule="exact"/>
        <w:rPr>
          <w:rFonts w:ascii="Arial" w:cs="Arial" w:eastAsia="Arial" w:hAnsi="Arial"/>
          <w:sz w:val="19"/>
          <w:szCs w:val="19"/>
          <w:color w:val="auto"/>
        </w:rPr>
      </w:pPr>
    </w:p>
    <w:p>
      <w:pPr>
        <w:jc w:val="both"/>
        <w:ind w:firstLine="656"/>
        <w:spacing w:after="0" w:line="260" w:lineRule="auto"/>
        <w:tabs>
          <w:tab w:leader="none" w:pos="1082" w:val="left"/>
        </w:tabs>
        <w:numPr>
          <w:ilvl w:val="1"/>
          <w:numId w:val="11"/>
        </w:numPr>
        <w:rPr>
          <w:rFonts w:ascii="Arial" w:cs="Arial" w:eastAsia="Arial" w:hAnsi="Arial"/>
          <w:sz w:val="21"/>
          <w:szCs w:val="21"/>
          <w:color w:val="auto"/>
        </w:rPr>
      </w:pPr>
      <w:r>
        <w:rPr>
          <w:rFonts w:ascii="Arial" w:cs="Arial" w:eastAsia="Arial" w:hAnsi="Arial"/>
          <w:sz w:val="21"/>
          <w:szCs w:val="21"/>
          <w:color w:val="auto"/>
        </w:rPr>
        <w:t>The Administrative Agent and each Lender party hereto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84" w:lineRule="exact"/>
        <w:rPr>
          <w:rFonts w:ascii="Arial" w:cs="Arial" w:eastAsia="Arial" w:hAnsi="Arial"/>
          <w:sz w:val="21"/>
          <w:szCs w:val="21"/>
          <w:color w:val="auto"/>
        </w:rPr>
      </w:pPr>
    </w:p>
    <w:p>
      <w:pPr>
        <w:jc w:val="both"/>
        <w:ind w:firstLine="656"/>
        <w:spacing w:after="0" w:line="293" w:lineRule="auto"/>
        <w:tabs>
          <w:tab w:leader="none" w:pos="1085"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Administrative Agent and each Lender party hereto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w:t>
      </w:r>
    </w:p>
    <w:p>
      <w:pPr>
        <w:spacing w:after="0" w:line="1" w:lineRule="exact"/>
        <w:rPr>
          <w:rFonts w:ascii="Arial" w:cs="Arial" w:eastAsia="Arial" w:hAnsi="Arial"/>
          <w:sz w:val="19"/>
          <w:szCs w:val="19"/>
          <w:color w:val="auto"/>
        </w:rPr>
      </w:pPr>
    </w:p>
    <w:p>
      <w:pPr>
        <w:ind w:firstLine="8"/>
        <w:spacing w:after="0" w:line="323" w:lineRule="auto"/>
        <w:tabs>
          <w:tab w:leader="none" w:pos="301" w:val="left"/>
        </w:tabs>
        <w:numPr>
          <w:ilvl w:val="0"/>
          <w:numId w:val="12"/>
        </w:numPr>
        <w:rPr>
          <w:rFonts w:ascii="Arial" w:cs="Arial" w:eastAsia="Arial" w:hAnsi="Arial"/>
          <w:sz w:val="19"/>
          <w:szCs w:val="19"/>
          <w:color w:val="auto"/>
        </w:rPr>
      </w:pPr>
      <w:r>
        <w:rPr>
          <w:rFonts w:ascii="Arial" w:cs="Arial" w:eastAsia="Arial" w:hAnsi="Arial"/>
          <w:sz w:val="19"/>
          <w:szCs w:val="19"/>
          <w:color w:val="auto"/>
        </w:rPr>
        <w:t>of this Section. Each of the Administrative Agent and each Lender party hereto hereby irrevocably waives, to the fullest extent permitted by law, the defense of an inconvenient forum to the maintenance of such action or proceeding in any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11" w:name="page12"/>
    <w:bookmarkEnd w:id="11"/>
    <w:p>
      <w:pPr>
        <w:jc w:val="both"/>
        <w:ind w:firstLine="656"/>
        <w:spacing w:after="0" w:line="254" w:lineRule="auto"/>
        <w:tabs>
          <w:tab w:leader="none" w:pos="10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To the extent that any Obligor has or hereafter may acquire any immunity from jurisdiction of any court or from set-off or any legal process (whether through service or notice, attachment prior to judgment, attachment in aid of execution, execution or otherwise) with respect to itself or its property, such Obligor hereby irrevocably waives such immunity in respect of its obligations under the Loan Documents.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AMENDMENT,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3" w:lineRule="exact"/>
        <w:rPr>
          <w:sz w:val="20"/>
          <w:szCs w:val="20"/>
          <w:color w:val="auto"/>
        </w:rPr>
      </w:pPr>
    </w:p>
    <w:p>
      <w:pPr>
        <w:jc w:val="both"/>
        <w:ind w:firstLine="8"/>
        <w:spacing w:after="0" w:line="245" w:lineRule="auto"/>
        <w:tabs>
          <w:tab w:leader="none" w:pos="355" w:val="left"/>
        </w:tabs>
        <w:numPr>
          <w:ilvl w:val="0"/>
          <w:numId w:val="14"/>
        </w:numPr>
        <w:rPr>
          <w:rFonts w:ascii="Arial" w:cs="Arial" w:eastAsia="Arial" w:hAnsi="Arial"/>
          <w:sz w:val="22"/>
          <w:szCs w:val="22"/>
          <w:color w:val="auto"/>
        </w:rPr>
      </w:pPr>
      <w:r>
        <w:rPr>
          <w:rFonts w:ascii="Arial" w:cs="Arial" w:eastAsia="Arial" w:hAnsi="Arial"/>
          <w:sz w:val="22"/>
          <w:szCs w:val="22"/>
          <w:color w:val="auto"/>
        </w:rPr>
        <w:t>ACKNOWLEDGES THAT IT AND THE OTHER PARTIES HERETO HAVE BEEN INDUCED TO ENTER INTO THIS AMENDMENT AND THE OTHER LOAN DOCUMENTS BY, AMONG OTHER THINGS, THE MUTUAL WAIVERS AND CERTIFICATIONS IN THIS SECTION.</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This Amendment may be executed in counterparts (and by different parties hereto on different counterparts), each of which shall constitute an original, but all of which when taken together shall constitute a single contract. This Amendment, the Notes,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Amendment shall become effective on the Amendment No. 4 Effective Date, and thereafter shall be binding upon and inure to the benefit of the parties hereto and their respective successors and assigns. Delivery of an executed counterpart of a signature page to this Amendment by facsimile transmission or electronic transmission (in .pdf form) shall be effective for all purposes as delivery of a manually executed counterpart of this Amendment.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5" w:right="239" w:bottom="1440" w:gutter="0" w:footer="0" w:header="0"/>
        </w:sectPr>
      </w:pPr>
    </w:p>
    <w:bookmarkStart w:id="12" w:name="page13"/>
    <w:bookmarkEnd w:id="12"/>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day and year first above written.</w:t>
      </w:r>
    </w:p>
    <w:p>
      <w:pPr>
        <w:spacing w:after="0" w:line="323" w:lineRule="exact"/>
        <w:rPr>
          <w:sz w:val="20"/>
          <w:szCs w:val="20"/>
          <w:color w:val="auto"/>
        </w:rPr>
      </w:pPr>
    </w:p>
    <w:p>
      <w:pPr>
        <w:jc w:val="center"/>
        <w:ind w:right="120"/>
        <w:spacing w:after="0"/>
        <w:rPr>
          <w:sz w:val="20"/>
          <w:szCs w:val="20"/>
          <w:color w:val="auto"/>
        </w:rPr>
      </w:pPr>
      <w:r>
        <w:rPr>
          <w:rFonts w:ascii="Arial" w:cs="Arial" w:eastAsia="Arial" w:hAnsi="Arial"/>
          <w:sz w:val="22"/>
          <w:szCs w:val="22"/>
          <w:u w:val="single" w:color="auto"/>
          <w:color w:val="auto"/>
        </w:rPr>
        <w:t>WIL:</w:t>
      </w:r>
    </w:p>
    <w:p>
      <w:pPr>
        <w:spacing w:after="0" w:line="36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WEATHERFORD INTERNATIONAL LTD.,</w:t>
      </w:r>
    </w:p>
    <w:p>
      <w:pPr>
        <w:spacing w:after="0" w:line="4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 Bermuda exempted company</w:t>
      </w:r>
    </w:p>
    <w:p>
      <w:pPr>
        <w:spacing w:after="0" w:line="368" w:lineRule="exact"/>
        <w:rPr>
          <w:sz w:val="20"/>
          <w:szCs w:val="20"/>
          <w:color w:val="auto"/>
        </w:rPr>
      </w:pPr>
    </w:p>
    <w:tbl>
      <w:tblPr>
        <w:tblLayout w:type="fixed"/>
        <w:tblInd w:w="54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Yazid J. Tamimi</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Yazid J. Tamimi</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22"/>
          <w:szCs w:val="22"/>
          <w:u w:val="single" w:color="auto"/>
          <w:color w:val="auto"/>
        </w:rPr>
        <w:t>HOC:</w:t>
      </w:r>
    </w:p>
    <w:p>
      <w:pPr>
        <w:spacing w:after="0" w:line="36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WEATHERFORD LIQUIDITY MANAGEMENT</w:t>
      </w:r>
    </w:p>
    <w:p>
      <w:pPr>
        <w:spacing w:after="0" w:line="4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HUNGARY LIMITED LIABILITY COMPANY,</w:t>
      </w:r>
    </w:p>
    <w:p>
      <w:pPr>
        <w:spacing w:after="0" w:line="4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 Hungarian limited liability company</w:t>
      </w:r>
    </w:p>
    <w:p>
      <w:pPr>
        <w:spacing w:after="0" w:line="368" w:lineRule="exact"/>
        <w:rPr>
          <w:sz w:val="20"/>
          <w:szCs w:val="20"/>
          <w:color w:val="auto"/>
        </w:rPr>
      </w:pPr>
    </w:p>
    <w:tbl>
      <w:tblPr>
        <w:tblLayout w:type="fixed"/>
        <w:tblInd w:w="54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Bastiaan van Houts</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Bastiaan van Houts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r>
        <w:trPr>
          <w:trHeight w:val="632"/>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Philippe Groslin</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Philippe Groslin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2"/>
          <w:szCs w:val="22"/>
          <w:u w:val="single" w:color="auto"/>
          <w:color w:val="auto"/>
        </w:rPr>
        <w:t>WCMS:</w:t>
      </w:r>
    </w:p>
    <w:p>
      <w:pPr>
        <w:spacing w:after="0" w:line="36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WEATHERFORD CAPITAL MANAGEMENT</w:t>
      </w:r>
    </w:p>
    <w:p>
      <w:pPr>
        <w:spacing w:after="0" w:line="4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SERVICES LIMITED LIABILITY COMPANY,</w:t>
      </w:r>
    </w:p>
    <w:p>
      <w:pPr>
        <w:spacing w:after="0" w:line="4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 Hungarian limited liability company</w:t>
      </w:r>
    </w:p>
    <w:p>
      <w:pPr>
        <w:spacing w:after="0" w:line="368" w:lineRule="exact"/>
        <w:rPr>
          <w:sz w:val="20"/>
          <w:szCs w:val="20"/>
          <w:color w:val="auto"/>
        </w:rPr>
      </w:pPr>
    </w:p>
    <w:tbl>
      <w:tblPr>
        <w:tblLayout w:type="fixed"/>
        <w:tblInd w:w="54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Bastiaan van Houts</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Bastiaan van Houts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r>
        <w:trPr>
          <w:trHeight w:val="632"/>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Philippe Groslin</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Philippe Groslin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ectPr>
          <w:pgSz w:w="11900" w:h="16838" w:orient="portrait"/>
          <w:cols w:equalWidth="0" w:num="1">
            <w:col w:w="11420"/>
          </w:cols>
          <w:pgMar w:left="240" w:top="1104" w:right="239"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11420"/>
          </w:cols>
          <w:pgMar w:left="240" w:top="1104" w:right="239" w:bottom="595" w:gutter="0" w:footer="0" w:header="0"/>
          <w:type w:val="continuous"/>
        </w:sectPr>
      </w:pPr>
    </w:p>
    <w:bookmarkStart w:id="13" w:name="page14"/>
    <w:bookmarkEnd w:id="13"/>
    <w:p>
      <w:pPr>
        <w:spacing w:after="0" w:line="200" w:lineRule="exact"/>
        <w:rPr>
          <w:sz w:val="20"/>
          <w:szCs w:val="20"/>
          <w:color w:val="auto"/>
        </w:rPr>
      </w:pPr>
    </w:p>
    <w:p>
      <w:pPr>
        <w:spacing w:after="0" w:line="302"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WIL- IRELAND:</w:t>
      </w:r>
    </w:p>
    <w:p>
      <w:pPr>
        <w:spacing w:after="0" w:line="36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WEATHERFORD INTERNATIONAL PLC,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an Irish public limited company</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Bastiaan van Houts</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Bastiaan van Houts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0"/>
        <w:spacing w:after="0"/>
        <w:rPr>
          <w:sz w:val="20"/>
          <w:szCs w:val="20"/>
          <w:color w:val="auto"/>
        </w:rPr>
      </w:pPr>
      <w:r>
        <w:rPr>
          <w:rFonts w:ascii="Arial" w:cs="Arial" w:eastAsia="Arial" w:hAnsi="Arial"/>
          <w:sz w:val="22"/>
          <w:szCs w:val="22"/>
          <w:u w:val="single" w:color="auto"/>
          <w:color w:val="auto"/>
        </w:rPr>
        <w:t>WILLC:</w:t>
      </w:r>
    </w:p>
    <w:p>
      <w:pPr>
        <w:spacing w:after="0" w:line="36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WEATHERFORD INTERNATIONAL,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 Delaware limited liability company</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M. Rothleitner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Mark M. Rothleitner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440" w:right="1440" w:bottom="1440" w:gutter="0" w:footer="0" w:header="0"/>
        </w:sectPr>
      </w:pPr>
    </w:p>
    <w:bookmarkStart w:id="14" w:name="page15"/>
    <w:bookmarkEnd w:id="14"/>
    <w:p>
      <w:pPr>
        <w:ind w:left="4220"/>
        <w:spacing w:after="0"/>
        <w:rPr>
          <w:sz w:val="20"/>
          <w:szCs w:val="20"/>
          <w:color w:val="auto"/>
        </w:rPr>
      </w:pPr>
      <w:r>
        <w:rPr>
          <w:rFonts w:ascii="Arial" w:cs="Arial" w:eastAsia="Arial" w:hAnsi="Arial"/>
          <w:sz w:val="22"/>
          <w:szCs w:val="22"/>
          <w:u w:val="single" w:color="auto"/>
          <w:color w:val="auto"/>
        </w:rPr>
        <w:t>ADMINISTRATIVE AGENT:</w:t>
      </w:r>
    </w:p>
    <w:p>
      <w:pPr>
        <w:spacing w:after="0" w:line="36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JPMORGAN CHASE BANK, N.A.,</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Administrative Agent</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Dave Katz</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Dave Katz</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15" w:name="page16"/>
    <w:bookmarkEnd w:id="15"/>
    <w:p>
      <w:pPr>
        <w:ind w:left="4220"/>
        <w:spacing w:after="0"/>
        <w:rPr>
          <w:sz w:val="20"/>
          <w:szCs w:val="20"/>
          <w:color w:val="auto"/>
        </w:rPr>
      </w:pPr>
      <w:r>
        <w:rPr>
          <w:rFonts w:ascii="Arial" w:cs="Arial" w:eastAsia="Arial" w:hAnsi="Arial"/>
          <w:sz w:val="22"/>
          <w:szCs w:val="22"/>
          <w:u w:val="single" w:color="auto"/>
          <w:color w:val="auto"/>
        </w:rPr>
        <w:t>LENDERS:</w:t>
      </w:r>
    </w:p>
    <w:p>
      <w:pPr>
        <w:spacing w:after="0" w:line="36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JPMORGAN CHASE BANK, N.A.,</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Dave Katz</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Dave Katz</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16" w:name="page17"/>
    <w:bookmarkEnd w:id="16"/>
    <w:p>
      <w:pPr>
        <w:ind w:left="4220"/>
        <w:spacing w:after="0"/>
        <w:rPr>
          <w:sz w:val="20"/>
          <w:szCs w:val="20"/>
          <w:color w:val="auto"/>
        </w:rPr>
      </w:pPr>
      <w:r>
        <w:rPr>
          <w:rFonts w:ascii="Arial" w:cs="Arial" w:eastAsia="Arial" w:hAnsi="Arial"/>
          <w:sz w:val="22"/>
          <w:szCs w:val="22"/>
          <w:color w:val="auto"/>
        </w:rPr>
        <w:t>DEUTSCHE BANK AG NEW YORK BRANCH</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Ming K. Chu</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Ming K. Chu</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r>
        <w:trPr>
          <w:trHeight w:val="632"/>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Marcus Tarkington</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Marcus Tarkington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17" w:name="page18"/>
    <w:bookmarkEnd w:id="17"/>
    <w:p>
      <w:pPr>
        <w:ind w:left="4220"/>
        <w:spacing w:after="0"/>
        <w:rPr>
          <w:sz w:val="20"/>
          <w:szCs w:val="20"/>
          <w:color w:val="auto"/>
        </w:rPr>
      </w:pPr>
      <w:r>
        <w:rPr>
          <w:rFonts w:ascii="Arial" w:cs="Arial" w:eastAsia="Arial" w:hAnsi="Arial"/>
          <w:sz w:val="22"/>
          <w:szCs w:val="22"/>
          <w:color w:val="auto"/>
        </w:rPr>
        <w:t>CREDIT AGRICOLE CORPORATE AND</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INVESTMENT BANK</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Michael Willis</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Michael Willis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Managing Director</w:t>
            </w:r>
          </w:p>
        </w:tc>
      </w:tr>
      <w:tr>
        <w:trPr>
          <w:trHeight w:val="632"/>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Darrell Stanley</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Darrell Stanley</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3" w:right="1440" w:bottom="1440" w:gutter="0" w:footer="0" w:header="0"/>
        </w:sectPr>
      </w:pPr>
    </w:p>
    <w:bookmarkStart w:id="18" w:name="page19"/>
    <w:bookmarkEnd w:id="18"/>
    <w:p>
      <w:pPr>
        <w:ind w:left="4220"/>
        <w:spacing w:after="0"/>
        <w:rPr>
          <w:sz w:val="20"/>
          <w:szCs w:val="20"/>
          <w:color w:val="auto"/>
        </w:rPr>
      </w:pPr>
      <w:r>
        <w:rPr>
          <w:rFonts w:ascii="Arial" w:cs="Arial" w:eastAsia="Arial" w:hAnsi="Arial"/>
          <w:sz w:val="22"/>
          <w:szCs w:val="22"/>
          <w:color w:val="auto"/>
        </w:rPr>
        <w:t>MORGAN STANLEY BANK, N.A.</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Dmitriy Barskiy</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Dmitriy Barskiy</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19" w:name="page20"/>
    <w:bookmarkEnd w:id="19"/>
    <w:p>
      <w:pPr>
        <w:ind w:left="4140"/>
        <w:spacing w:after="0"/>
        <w:rPr>
          <w:sz w:val="20"/>
          <w:szCs w:val="20"/>
          <w:color w:val="auto"/>
        </w:rPr>
      </w:pPr>
      <w:r>
        <w:rPr>
          <w:rFonts w:ascii="Arial" w:cs="Arial" w:eastAsia="Arial" w:hAnsi="Arial"/>
          <w:sz w:val="21"/>
          <w:szCs w:val="21"/>
          <w:color w:val="auto"/>
        </w:rPr>
        <w:t>THE BANK OF TOKYO-MITSUBISHI UFJ, LTD.</w:t>
      </w:r>
    </w:p>
    <w:p>
      <w:pPr>
        <w:spacing w:after="0" w:line="380" w:lineRule="exact"/>
        <w:rPr>
          <w:sz w:val="20"/>
          <w:szCs w:val="20"/>
          <w:color w:val="auto"/>
        </w:rPr>
      </w:pPr>
    </w:p>
    <w:tbl>
      <w:tblPr>
        <w:tblLayout w:type="fixed"/>
        <w:tblInd w:w="414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Kevin Sparks</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980" w:type="dxa"/>
            <w:vAlign w:val="bottom"/>
          </w:tcPr>
          <w:p>
            <w:pPr>
              <w:ind w:left="20"/>
              <w:spacing w:after="0"/>
              <w:rPr>
                <w:sz w:val="20"/>
                <w:szCs w:val="20"/>
                <w:color w:val="auto"/>
              </w:rPr>
            </w:pPr>
            <w:r>
              <w:rPr>
                <w:rFonts w:ascii="Arial" w:cs="Arial" w:eastAsia="Arial" w:hAnsi="Arial"/>
                <w:sz w:val="22"/>
                <w:szCs w:val="22"/>
                <w:color w:val="auto"/>
              </w:rPr>
              <w:t>Kevin Sparks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98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20" w:name="page21"/>
    <w:bookmarkEnd w:id="20"/>
    <w:p>
      <w:pPr>
        <w:ind w:left="4220"/>
        <w:spacing w:after="0"/>
        <w:rPr>
          <w:sz w:val="20"/>
          <w:szCs w:val="20"/>
          <w:color w:val="auto"/>
        </w:rPr>
      </w:pPr>
      <w:r>
        <w:rPr>
          <w:rFonts w:ascii="Arial" w:cs="Arial" w:eastAsia="Arial" w:hAnsi="Arial"/>
          <w:sz w:val="22"/>
          <w:szCs w:val="22"/>
          <w:color w:val="auto"/>
        </w:rPr>
        <w:t>ROYAL BANK OF CANADA</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Caleb Allen</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Caleb Allen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21" w:name="page22"/>
    <w:bookmarkEnd w:id="21"/>
    <w:p>
      <w:pPr>
        <w:ind w:left="4220"/>
        <w:spacing w:after="0"/>
        <w:rPr>
          <w:sz w:val="20"/>
          <w:szCs w:val="20"/>
          <w:color w:val="auto"/>
        </w:rPr>
      </w:pPr>
      <w:r>
        <w:rPr>
          <w:rFonts w:ascii="Arial" w:cs="Arial" w:eastAsia="Arial" w:hAnsi="Arial"/>
          <w:sz w:val="22"/>
          <w:szCs w:val="22"/>
          <w:color w:val="auto"/>
        </w:rPr>
        <w:t>CITIBANK, N.A.</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Peter Kardos</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Peter Kardos</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22" w:name="page23"/>
    <w:bookmarkEnd w:id="22"/>
    <w:p>
      <w:pPr>
        <w:ind w:left="4220"/>
        <w:spacing w:after="0"/>
        <w:rPr>
          <w:sz w:val="20"/>
          <w:szCs w:val="20"/>
          <w:color w:val="auto"/>
        </w:rPr>
      </w:pPr>
      <w:r>
        <w:rPr>
          <w:rFonts w:ascii="Arial" w:cs="Arial" w:eastAsia="Arial" w:hAnsi="Arial"/>
          <w:sz w:val="22"/>
          <w:szCs w:val="22"/>
          <w:color w:val="auto"/>
        </w:rPr>
        <w:t>BARCLAYS BANK plc</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Jonathan Wilson</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Jonathan Wilson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3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Executed in New York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23" w:name="page24"/>
    <w:bookmarkEnd w:id="23"/>
    <w:p>
      <w:pPr>
        <w:ind w:left="4220"/>
        <w:spacing w:after="0"/>
        <w:rPr>
          <w:sz w:val="20"/>
          <w:szCs w:val="20"/>
          <w:color w:val="auto"/>
        </w:rPr>
      </w:pPr>
      <w:r>
        <w:rPr>
          <w:rFonts w:ascii="Arial" w:cs="Arial" w:eastAsia="Arial" w:hAnsi="Arial"/>
          <w:sz w:val="22"/>
          <w:szCs w:val="22"/>
          <w:color w:val="auto"/>
        </w:rPr>
        <w:t>STANDARD CHARTERED BANK</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Rodrigo Gonzalez</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Rodrigo Gonzalez</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Executive Director - Capital Markets</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24" w:name="page25"/>
    <w:bookmarkEnd w:id="24"/>
    <w:p>
      <w:pPr>
        <w:ind w:left="4220"/>
        <w:spacing w:after="0"/>
        <w:rPr>
          <w:sz w:val="20"/>
          <w:szCs w:val="20"/>
          <w:color w:val="auto"/>
        </w:rPr>
      </w:pPr>
      <w:r>
        <w:rPr>
          <w:rFonts w:ascii="Arial" w:cs="Arial" w:eastAsia="Arial" w:hAnsi="Arial"/>
          <w:sz w:val="22"/>
          <w:szCs w:val="22"/>
          <w:color w:val="auto"/>
        </w:rPr>
        <w:t>HSBC BANK USA, N.A.</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Steven Smith</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Steven Smith</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 #20290</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25" w:name="page26"/>
    <w:bookmarkEnd w:id="25"/>
    <w:p>
      <w:pPr>
        <w:ind w:left="4220"/>
        <w:spacing w:after="0"/>
        <w:rPr>
          <w:sz w:val="20"/>
          <w:szCs w:val="20"/>
          <w:color w:val="auto"/>
        </w:rPr>
      </w:pPr>
      <w:r>
        <w:rPr>
          <w:rFonts w:ascii="Arial" w:cs="Arial" w:eastAsia="Arial" w:hAnsi="Arial"/>
          <w:sz w:val="22"/>
          <w:szCs w:val="22"/>
          <w:color w:val="auto"/>
        </w:rPr>
        <w:t>BANCO BILBAO VIZCAYA ARGENTARIA,</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S.A. NEW YORK BRANCH</w:t>
      </w:r>
    </w:p>
    <w:p>
      <w:pPr>
        <w:spacing w:after="0" w:line="350"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Brian Crowley</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Brian Crowley</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Managing Director</w:t>
            </w:r>
          </w:p>
        </w:tc>
      </w:tr>
      <w:tr>
        <w:trPr>
          <w:trHeight w:val="632"/>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Cara Younger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Cara Younger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26" w:name="page27"/>
    <w:bookmarkEnd w:id="26"/>
    <w:p>
      <w:pPr>
        <w:ind w:left="4220"/>
        <w:spacing w:after="0"/>
        <w:rPr>
          <w:sz w:val="20"/>
          <w:szCs w:val="20"/>
          <w:color w:val="auto"/>
        </w:rPr>
      </w:pPr>
      <w:r>
        <w:rPr>
          <w:rFonts w:ascii="Arial" w:cs="Arial" w:eastAsia="Arial" w:hAnsi="Arial"/>
          <w:sz w:val="21"/>
          <w:szCs w:val="21"/>
          <w:color w:val="auto"/>
        </w:rPr>
        <w:t>THE TORONTO DOMINION BANK, NEW</w:t>
      </w:r>
    </w:p>
    <w:p>
      <w:pPr>
        <w:spacing w:after="0" w:line="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YORK BRANCH</w:t>
      </w:r>
    </w:p>
    <w:p>
      <w:pPr>
        <w:spacing w:after="0" w:line="350" w:lineRule="exact"/>
        <w:rPr>
          <w:sz w:val="20"/>
          <w:szCs w:val="20"/>
          <w:color w:val="auto"/>
        </w:rPr>
      </w:pPr>
    </w:p>
    <w:p>
      <w:pPr>
        <w:ind w:left="4220"/>
        <w:spacing w:after="0"/>
        <w:tabs>
          <w:tab w:leader="none" w:pos="4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Robyn Zeller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24765</wp:posOffset>
            </wp:positionV>
            <wp:extent cx="24269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Robyn Zeller</w:t>
      </w:r>
    </w:p>
    <w:p>
      <w:pPr>
        <w:spacing w:after="0" w:line="44" w:lineRule="exact"/>
        <w:rPr>
          <w:sz w:val="20"/>
          <w:szCs w:val="20"/>
          <w:color w:val="auto"/>
        </w:rPr>
      </w:pPr>
    </w:p>
    <w:p>
      <w:pPr>
        <w:ind w:left="4220"/>
        <w:spacing w:after="0"/>
        <w:tabs>
          <w:tab w:leader="none" w:pos="4920" w:val="left"/>
        </w:tabs>
        <w:rPr>
          <w:sz w:val="20"/>
          <w:szCs w:val="20"/>
          <w:color w:val="auto"/>
        </w:rPr>
      </w:pPr>
      <w:r>
        <w:rPr>
          <w:rFonts w:ascii="Arial" w:cs="Arial" w:eastAsia="Arial" w:hAnsi="Arial"/>
          <w:sz w:val="22"/>
          <w:szCs w:val="22"/>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27" w:name="page28"/>
    <w:bookmarkEnd w:id="27"/>
    <w:p>
      <w:pPr>
        <w:ind w:left="4220"/>
        <w:spacing w:after="0"/>
        <w:rPr>
          <w:sz w:val="20"/>
          <w:szCs w:val="20"/>
          <w:color w:val="auto"/>
        </w:rPr>
      </w:pPr>
      <w:r>
        <w:rPr>
          <w:rFonts w:ascii="Arial" w:cs="Arial" w:eastAsia="Arial" w:hAnsi="Arial"/>
          <w:sz w:val="22"/>
          <w:szCs w:val="22"/>
          <w:color w:val="auto"/>
        </w:rPr>
        <w:t>NORDEA BANK NORGE ASA</w:t>
      </w:r>
    </w:p>
    <w:p>
      <w:pPr>
        <w:spacing w:after="0" w:line="368"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Tom Kuhnle</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Tom Kuhnle</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Senior Vice President</w:t>
            </w:r>
          </w:p>
        </w:tc>
      </w:tr>
      <w:tr>
        <w:trPr>
          <w:trHeight w:val="632"/>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Olle Jonsson</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Olle Jonsson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Relationship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28" w:name="page29"/>
    <w:bookmarkEnd w:id="28"/>
    <w:p>
      <w:pPr>
        <w:ind w:left="4220"/>
        <w:spacing w:after="0"/>
        <w:rPr>
          <w:sz w:val="20"/>
          <w:szCs w:val="20"/>
          <w:color w:val="auto"/>
        </w:rPr>
      </w:pPr>
      <w:r>
        <w:rPr>
          <w:rFonts w:ascii="Arial" w:cs="Arial" w:eastAsia="Arial" w:hAnsi="Arial"/>
          <w:sz w:val="21"/>
          <w:szCs w:val="21"/>
          <w:color w:val="auto"/>
        </w:rPr>
        <w:t>UNICREDIT BANK AG, NEW YORK BRANCH</w:t>
      </w:r>
    </w:p>
    <w:p>
      <w:pPr>
        <w:spacing w:after="0" w:line="380"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Jullen Tizorin</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Jullen Tizorin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Director</w:t>
            </w:r>
          </w:p>
        </w:tc>
      </w:tr>
      <w:tr>
        <w:trPr>
          <w:trHeight w:val="632"/>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Douglas Riahi</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Douglas Riahi</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29" w:name="page30"/>
    <w:bookmarkEnd w:id="29"/>
    <w:p>
      <w:pPr>
        <w:ind w:left="4220"/>
        <w:spacing w:after="0"/>
        <w:rPr>
          <w:sz w:val="20"/>
          <w:szCs w:val="20"/>
          <w:color w:val="auto"/>
        </w:rPr>
      </w:pPr>
      <w:r>
        <w:rPr>
          <w:rFonts w:ascii="Arial" w:cs="Arial" w:eastAsia="Arial" w:hAnsi="Arial"/>
          <w:sz w:val="22"/>
          <w:szCs w:val="22"/>
          <w:color w:val="auto"/>
        </w:rPr>
        <w:t>SKANDINAVISKA ENSKILDA BANKEN AB</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(PUBL)</w:t>
      </w:r>
    </w:p>
    <w:p>
      <w:pPr>
        <w:spacing w:after="0" w:line="350"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Penny Neville-Park</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Penny Neville-Park</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Authorized Signatory</w:t>
            </w:r>
          </w:p>
        </w:tc>
      </w:tr>
      <w:tr>
        <w:trPr>
          <w:trHeight w:val="632"/>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Duncan Nash</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Duncan Nash</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30" w:name="page31"/>
    <w:bookmarkEnd w:id="30"/>
    <w:p>
      <w:pPr>
        <w:ind w:left="4220"/>
        <w:spacing w:after="0"/>
        <w:rPr>
          <w:sz w:val="20"/>
          <w:szCs w:val="20"/>
          <w:color w:val="auto"/>
        </w:rPr>
      </w:pPr>
      <w:r>
        <w:rPr>
          <w:rFonts w:ascii="Arial" w:cs="Arial" w:eastAsia="Arial" w:hAnsi="Arial"/>
          <w:sz w:val="22"/>
          <w:szCs w:val="22"/>
          <w:color w:val="auto"/>
        </w:rPr>
        <w:t>ARAB BANKING CORPORATION, GRAND</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CAYMAN</w:t>
      </w:r>
    </w:p>
    <w:p>
      <w:pPr>
        <w:spacing w:after="0" w:line="350"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Lana Chervonskaya</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Lana Chervonskaya</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r>
        <w:trPr>
          <w:trHeight w:val="632"/>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Victoria Gale</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Victoria Gale</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4 to Credit Agreement</w:t>
      </w:r>
    </w:p>
    <w:p>
      <w:pPr>
        <w:sectPr>
          <w:pgSz w:w="11900" w:h="16838" w:orient="portrait"/>
          <w:cols w:equalWidth="0" w:num="1">
            <w:col w:w="9019"/>
          </w:cols>
          <w:pgMar w:left="1440" w:top="1252" w:right="1440" w:bottom="1440" w:gutter="0" w:footer="0" w:header="0"/>
        </w:sectPr>
      </w:pPr>
    </w:p>
    <w:bookmarkStart w:id="31" w:name="page32"/>
    <w:bookmarkEnd w:id="31"/>
    <w:p>
      <w:pPr>
        <w:ind w:left="4140"/>
        <w:spacing w:after="0"/>
        <w:rPr>
          <w:sz w:val="20"/>
          <w:szCs w:val="20"/>
          <w:color w:val="auto"/>
        </w:rPr>
      </w:pPr>
      <w:r>
        <w:rPr>
          <w:rFonts w:ascii="Arial" w:cs="Arial" w:eastAsia="Arial" w:hAnsi="Arial"/>
          <w:sz w:val="22"/>
          <w:szCs w:val="22"/>
          <w:b w:val="1"/>
          <w:bCs w:val="1"/>
          <w:color w:val="auto"/>
        </w:rPr>
        <w:t>Annex I</w:t>
      </w:r>
    </w:p>
    <w:p>
      <w:pPr>
        <w:spacing w:after="0" w:line="220" w:lineRule="exact"/>
        <w:rPr>
          <w:sz w:val="20"/>
          <w:szCs w:val="20"/>
          <w:color w:val="auto"/>
        </w:rPr>
      </w:pPr>
    </w:p>
    <w:p>
      <w:pPr>
        <w:ind w:left="3700"/>
        <w:spacing w:after="0"/>
        <w:rPr>
          <w:sz w:val="20"/>
          <w:szCs w:val="20"/>
          <w:color w:val="auto"/>
        </w:rPr>
      </w:pPr>
      <w:r>
        <w:rPr>
          <w:rFonts w:ascii="Arial" w:cs="Arial" w:eastAsia="Arial" w:hAnsi="Arial"/>
          <w:sz w:val="22"/>
          <w:szCs w:val="22"/>
          <w:b w:val="1"/>
          <w:bCs w:val="1"/>
          <w:u w:val="single" w:color="auto"/>
          <w:color w:val="auto"/>
        </w:rPr>
        <w:t>SCHEDULE 2.01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COMMITMENTS</w:t>
      </w:r>
    </w:p>
    <w:p>
      <w:pPr>
        <w:spacing w:after="0" w:line="200" w:lineRule="exact"/>
        <w:rPr>
          <w:sz w:val="20"/>
          <w:szCs w:val="20"/>
          <w:color w:val="auto"/>
        </w:rPr>
      </w:pPr>
    </w:p>
    <w:p>
      <w:pPr>
        <w:spacing w:after="0" w:line="337"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4100" w:type="dxa"/>
            <w:vAlign w:val="bottom"/>
            <w:gridSpan w:val="2"/>
          </w:tcPr>
          <w:p>
            <w:pPr>
              <w:spacing w:after="0"/>
              <w:rPr>
                <w:sz w:val="20"/>
                <w:szCs w:val="20"/>
                <w:color w:val="auto"/>
              </w:rPr>
            </w:pPr>
            <w:r>
              <w:rPr>
                <w:rFonts w:ascii="Arial" w:cs="Arial" w:eastAsia="Arial" w:hAnsi="Arial"/>
                <w:sz w:val="22"/>
                <w:szCs w:val="22"/>
                <w:b w:val="1"/>
                <w:bCs w:val="1"/>
                <w:color w:val="auto"/>
              </w:rPr>
              <w:t>Lender</w:t>
            </w:r>
          </w:p>
        </w:tc>
        <w:tc>
          <w:tcPr>
            <w:tcW w:w="280" w:type="dxa"/>
            <w:vAlign w:val="bottom"/>
          </w:tcPr>
          <w:p>
            <w:pPr>
              <w:spacing w:after="0"/>
              <w:rPr>
                <w:sz w:val="21"/>
                <w:szCs w:val="21"/>
                <w:color w:val="auto"/>
              </w:rPr>
            </w:pPr>
          </w:p>
        </w:tc>
        <w:tc>
          <w:tcPr>
            <w:tcW w:w="1680" w:type="dxa"/>
            <w:vAlign w:val="bottom"/>
            <w:gridSpan w:val="4"/>
          </w:tcPr>
          <w:p>
            <w:pPr>
              <w:ind w:left="140"/>
              <w:spacing w:after="0"/>
              <w:rPr>
                <w:sz w:val="20"/>
                <w:szCs w:val="20"/>
                <w:color w:val="auto"/>
              </w:rPr>
            </w:pPr>
            <w:r>
              <w:rPr>
                <w:rFonts w:ascii="Arial" w:cs="Arial" w:eastAsia="Arial" w:hAnsi="Arial"/>
                <w:sz w:val="22"/>
                <w:szCs w:val="22"/>
                <w:b w:val="1"/>
                <w:bCs w:val="1"/>
                <w:color w:val="auto"/>
              </w:rPr>
              <w:t>Allocation</w:t>
            </w:r>
          </w:p>
        </w:tc>
        <w:tc>
          <w:tcPr>
            <w:tcW w:w="2080" w:type="dxa"/>
            <w:vAlign w:val="bottom"/>
            <w:gridSpan w:val="3"/>
          </w:tcPr>
          <w:p>
            <w:pPr>
              <w:spacing w:after="0"/>
              <w:rPr>
                <w:sz w:val="20"/>
                <w:szCs w:val="20"/>
                <w:color w:val="auto"/>
              </w:rPr>
            </w:pPr>
            <w:r>
              <w:rPr>
                <w:rFonts w:ascii="Arial" w:cs="Arial" w:eastAsia="Arial" w:hAnsi="Arial"/>
                <w:sz w:val="22"/>
                <w:szCs w:val="22"/>
                <w:b w:val="1"/>
                <w:bCs w:val="1"/>
                <w:color w:val="auto"/>
                <w:w w:val="87"/>
              </w:rPr>
              <w:t>Applicable Percentage</w:t>
            </w:r>
          </w:p>
        </w:tc>
      </w:tr>
      <w:tr>
        <w:trPr>
          <w:trHeight w:val="20"/>
        </w:trPr>
        <w:tc>
          <w:tcPr>
            <w:tcW w:w="6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652"/>
        </w:trPr>
        <w:tc>
          <w:tcPr>
            <w:tcW w:w="4100" w:type="dxa"/>
            <w:vAlign w:val="bottom"/>
            <w:gridSpan w:val="2"/>
          </w:tcPr>
          <w:p>
            <w:pPr>
              <w:spacing w:after="0"/>
              <w:rPr>
                <w:sz w:val="20"/>
                <w:szCs w:val="20"/>
                <w:color w:val="auto"/>
              </w:rPr>
            </w:pPr>
            <w:r>
              <w:rPr>
                <w:rFonts w:ascii="Arial" w:cs="Arial" w:eastAsia="Arial" w:hAnsi="Arial"/>
                <w:sz w:val="22"/>
                <w:szCs w:val="22"/>
                <w:color w:val="auto"/>
              </w:rPr>
              <w:t>JPMorgan Chase Bank, N.A.</w:t>
            </w:r>
          </w:p>
        </w:tc>
        <w:tc>
          <w:tcPr>
            <w:tcW w:w="1960" w:type="dxa"/>
            <w:vAlign w:val="bottom"/>
            <w:gridSpan w:val="5"/>
          </w:tcPr>
          <w:p>
            <w:pPr>
              <w:jc w:val="center"/>
              <w:ind w:right="160"/>
              <w:spacing w:after="0"/>
              <w:rPr>
                <w:sz w:val="20"/>
                <w:szCs w:val="20"/>
                <w:color w:val="auto"/>
              </w:rPr>
            </w:pPr>
            <w:r>
              <w:rPr>
                <w:rFonts w:ascii="Arial" w:cs="Arial" w:eastAsia="Arial" w:hAnsi="Arial"/>
                <w:sz w:val="20"/>
                <w:szCs w:val="20"/>
                <w:color w:val="auto"/>
                <w:w w:val="87"/>
              </w:rPr>
              <w:t>$157,777,777.78</w:t>
            </w: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7.8888888889%</w:t>
            </w:r>
          </w:p>
        </w:tc>
      </w:tr>
      <w:tr>
        <w:trPr>
          <w:trHeight w:val="621"/>
        </w:trPr>
        <w:tc>
          <w:tcPr>
            <w:tcW w:w="4100" w:type="dxa"/>
            <w:vAlign w:val="bottom"/>
            <w:gridSpan w:val="2"/>
          </w:tcPr>
          <w:p>
            <w:pPr>
              <w:spacing w:after="0"/>
              <w:rPr>
                <w:sz w:val="20"/>
                <w:szCs w:val="20"/>
                <w:color w:val="auto"/>
              </w:rPr>
            </w:pPr>
            <w:r>
              <w:rPr>
                <w:rFonts w:ascii="Arial" w:cs="Arial" w:eastAsia="Arial" w:hAnsi="Arial"/>
                <w:sz w:val="22"/>
                <w:szCs w:val="22"/>
                <w:color w:val="auto"/>
              </w:rPr>
              <w:t>Deutsche Bank AG New York Branch</w:t>
            </w:r>
          </w:p>
        </w:tc>
        <w:tc>
          <w:tcPr>
            <w:tcW w:w="1960" w:type="dxa"/>
            <w:vAlign w:val="bottom"/>
            <w:gridSpan w:val="5"/>
          </w:tcPr>
          <w:p>
            <w:pPr>
              <w:jc w:val="center"/>
              <w:ind w:right="160"/>
              <w:spacing w:after="0"/>
              <w:rPr>
                <w:sz w:val="20"/>
                <w:szCs w:val="20"/>
                <w:color w:val="auto"/>
              </w:rPr>
            </w:pPr>
            <w:r>
              <w:rPr>
                <w:rFonts w:ascii="Arial" w:cs="Arial" w:eastAsia="Arial" w:hAnsi="Arial"/>
                <w:sz w:val="20"/>
                <w:szCs w:val="20"/>
                <w:color w:val="auto"/>
                <w:w w:val="87"/>
              </w:rPr>
              <w:t>$157,777,777.78</w:t>
            </w: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7.8888888889%</w:t>
            </w:r>
          </w:p>
        </w:tc>
      </w:tr>
      <w:tr>
        <w:trPr>
          <w:trHeight w:val="590"/>
        </w:trPr>
        <w:tc>
          <w:tcPr>
            <w:tcW w:w="4100" w:type="dxa"/>
            <w:vAlign w:val="bottom"/>
            <w:gridSpan w:val="2"/>
          </w:tcPr>
          <w:p>
            <w:pPr>
              <w:spacing w:after="0"/>
              <w:rPr>
                <w:sz w:val="20"/>
                <w:szCs w:val="20"/>
                <w:color w:val="auto"/>
              </w:rPr>
            </w:pPr>
            <w:r>
              <w:rPr>
                <w:rFonts w:ascii="Arial" w:cs="Arial" w:eastAsia="Arial" w:hAnsi="Arial"/>
                <w:sz w:val="22"/>
                <w:szCs w:val="22"/>
                <w:color w:val="auto"/>
              </w:rPr>
              <w:t>Credit Agricole Corporate and Investment</w:t>
            </w:r>
          </w:p>
        </w:tc>
        <w:tc>
          <w:tcPr>
            <w:tcW w:w="1960" w:type="dxa"/>
            <w:vAlign w:val="bottom"/>
            <w:gridSpan w:val="5"/>
          </w:tcPr>
          <w:p>
            <w:pPr>
              <w:jc w:val="center"/>
              <w:ind w:right="160"/>
              <w:spacing w:after="0"/>
              <w:rPr>
                <w:sz w:val="20"/>
                <w:szCs w:val="20"/>
                <w:color w:val="auto"/>
              </w:rPr>
            </w:pPr>
            <w:r>
              <w:rPr>
                <w:rFonts w:ascii="Arial" w:cs="Arial" w:eastAsia="Arial" w:hAnsi="Arial"/>
                <w:sz w:val="20"/>
                <w:szCs w:val="20"/>
                <w:color w:val="auto"/>
                <w:w w:val="87"/>
              </w:rPr>
              <w:t>$157,777,777.78</w:t>
            </w: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7.8888888889%</w:t>
            </w:r>
          </w:p>
        </w:tc>
      </w:tr>
      <w:tr>
        <w:trPr>
          <w:trHeight w:val="275"/>
        </w:trPr>
        <w:tc>
          <w:tcPr>
            <w:tcW w:w="4100" w:type="dxa"/>
            <w:vAlign w:val="bottom"/>
            <w:gridSpan w:val="2"/>
          </w:tcPr>
          <w:p>
            <w:pPr>
              <w:spacing w:after="0"/>
              <w:rPr>
                <w:sz w:val="20"/>
                <w:szCs w:val="20"/>
                <w:color w:val="auto"/>
              </w:rPr>
            </w:pPr>
            <w:r>
              <w:rPr>
                <w:rFonts w:ascii="Arial" w:cs="Arial" w:eastAsia="Arial" w:hAnsi="Arial"/>
                <w:sz w:val="22"/>
                <w:szCs w:val="22"/>
                <w:color w:val="auto"/>
              </w:rPr>
              <w:t>Bank</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621"/>
        </w:trPr>
        <w:tc>
          <w:tcPr>
            <w:tcW w:w="4100" w:type="dxa"/>
            <w:vAlign w:val="bottom"/>
            <w:gridSpan w:val="2"/>
          </w:tcPr>
          <w:p>
            <w:pPr>
              <w:spacing w:after="0"/>
              <w:rPr>
                <w:sz w:val="20"/>
                <w:szCs w:val="20"/>
                <w:color w:val="auto"/>
              </w:rPr>
            </w:pPr>
            <w:r>
              <w:rPr>
                <w:rFonts w:ascii="Arial" w:cs="Arial" w:eastAsia="Arial" w:hAnsi="Arial"/>
                <w:sz w:val="22"/>
                <w:szCs w:val="22"/>
                <w:color w:val="auto"/>
              </w:rPr>
              <w:t>Morgan Stanley Bank, N.A.</w:t>
            </w:r>
          </w:p>
        </w:tc>
        <w:tc>
          <w:tcPr>
            <w:tcW w:w="1960" w:type="dxa"/>
            <w:vAlign w:val="bottom"/>
            <w:gridSpan w:val="5"/>
          </w:tcPr>
          <w:p>
            <w:pPr>
              <w:jc w:val="center"/>
              <w:ind w:right="160"/>
              <w:spacing w:after="0"/>
              <w:rPr>
                <w:sz w:val="20"/>
                <w:szCs w:val="20"/>
                <w:color w:val="auto"/>
              </w:rPr>
            </w:pPr>
            <w:r>
              <w:rPr>
                <w:rFonts w:ascii="Arial" w:cs="Arial" w:eastAsia="Arial" w:hAnsi="Arial"/>
                <w:sz w:val="20"/>
                <w:szCs w:val="20"/>
                <w:color w:val="auto"/>
                <w:w w:val="87"/>
              </w:rPr>
              <w:t>$157,777,777.78</w:t>
            </w: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7.8888888889%</w:t>
            </w:r>
          </w:p>
        </w:tc>
      </w:tr>
      <w:tr>
        <w:trPr>
          <w:trHeight w:val="621"/>
        </w:trPr>
        <w:tc>
          <w:tcPr>
            <w:tcW w:w="4100" w:type="dxa"/>
            <w:vAlign w:val="bottom"/>
            <w:gridSpan w:val="2"/>
          </w:tcPr>
          <w:p>
            <w:pPr>
              <w:spacing w:after="0"/>
              <w:rPr>
                <w:sz w:val="20"/>
                <w:szCs w:val="20"/>
                <w:color w:val="auto"/>
              </w:rPr>
            </w:pPr>
            <w:r>
              <w:rPr>
                <w:rFonts w:ascii="Arial" w:cs="Arial" w:eastAsia="Arial" w:hAnsi="Arial"/>
                <w:sz w:val="22"/>
                <w:szCs w:val="22"/>
                <w:color w:val="auto"/>
              </w:rPr>
              <w:t>Wells Fargo Bank, National Association</w:t>
            </w:r>
          </w:p>
        </w:tc>
        <w:tc>
          <w:tcPr>
            <w:tcW w:w="1960" w:type="dxa"/>
            <w:vAlign w:val="bottom"/>
            <w:gridSpan w:val="5"/>
          </w:tcPr>
          <w:p>
            <w:pPr>
              <w:jc w:val="center"/>
              <w:ind w:right="160"/>
              <w:spacing w:after="0"/>
              <w:rPr>
                <w:sz w:val="20"/>
                <w:szCs w:val="20"/>
                <w:color w:val="auto"/>
              </w:rPr>
            </w:pPr>
            <w:r>
              <w:rPr>
                <w:rFonts w:ascii="Arial" w:cs="Arial" w:eastAsia="Arial" w:hAnsi="Arial"/>
                <w:sz w:val="20"/>
                <w:szCs w:val="20"/>
                <w:color w:val="auto"/>
                <w:w w:val="87"/>
              </w:rPr>
              <w:t>$157,777,777.78</w:t>
            </w: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7.8888888889%</w:t>
            </w:r>
          </w:p>
        </w:tc>
      </w:tr>
      <w:tr>
        <w:trPr>
          <w:trHeight w:val="621"/>
        </w:trPr>
        <w:tc>
          <w:tcPr>
            <w:tcW w:w="4100" w:type="dxa"/>
            <w:vAlign w:val="bottom"/>
            <w:gridSpan w:val="2"/>
          </w:tcPr>
          <w:p>
            <w:pPr>
              <w:spacing w:after="0"/>
              <w:rPr>
                <w:sz w:val="20"/>
                <w:szCs w:val="20"/>
                <w:color w:val="auto"/>
              </w:rPr>
            </w:pPr>
            <w:r>
              <w:rPr>
                <w:rFonts w:ascii="Arial" w:cs="Arial" w:eastAsia="Arial" w:hAnsi="Arial"/>
                <w:sz w:val="22"/>
                <w:szCs w:val="22"/>
                <w:color w:val="auto"/>
              </w:rPr>
              <w:t>Citibank, N.A.</w:t>
            </w:r>
          </w:p>
        </w:tc>
        <w:tc>
          <w:tcPr>
            <w:tcW w:w="1960" w:type="dxa"/>
            <w:vAlign w:val="bottom"/>
            <w:gridSpan w:val="5"/>
          </w:tcPr>
          <w:p>
            <w:pPr>
              <w:jc w:val="center"/>
              <w:ind w:right="160"/>
              <w:spacing w:after="0"/>
              <w:rPr>
                <w:sz w:val="20"/>
                <w:szCs w:val="20"/>
                <w:color w:val="auto"/>
              </w:rPr>
            </w:pPr>
            <w:r>
              <w:rPr>
                <w:rFonts w:ascii="Arial" w:cs="Arial" w:eastAsia="Arial" w:hAnsi="Arial"/>
                <w:sz w:val="20"/>
                <w:szCs w:val="20"/>
                <w:color w:val="auto"/>
                <w:w w:val="87"/>
              </w:rPr>
              <w:t>$157,777,777.78</w:t>
            </w: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7.8888888889%</w:t>
            </w:r>
          </w:p>
        </w:tc>
      </w:tr>
      <w:tr>
        <w:trPr>
          <w:trHeight w:val="621"/>
        </w:trPr>
        <w:tc>
          <w:tcPr>
            <w:tcW w:w="4100" w:type="dxa"/>
            <w:vAlign w:val="bottom"/>
            <w:gridSpan w:val="2"/>
          </w:tcPr>
          <w:p>
            <w:pPr>
              <w:spacing w:after="0"/>
              <w:rPr>
                <w:sz w:val="20"/>
                <w:szCs w:val="20"/>
                <w:color w:val="auto"/>
              </w:rPr>
            </w:pPr>
            <w:r>
              <w:rPr>
                <w:rFonts w:ascii="Arial" w:cs="Arial" w:eastAsia="Arial" w:hAnsi="Arial"/>
                <w:sz w:val="22"/>
                <w:szCs w:val="22"/>
                <w:color w:val="auto"/>
              </w:rPr>
              <w:t>Royal Bank of Canada</w:t>
            </w:r>
          </w:p>
        </w:tc>
        <w:tc>
          <w:tcPr>
            <w:tcW w:w="1960" w:type="dxa"/>
            <w:vAlign w:val="bottom"/>
            <w:gridSpan w:val="5"/>
          </w:tcPr>
          <w:p>
            <w:pPr>
              <w:jc w:val="center"/>
              <w:ind w:right="160"/>
              <w:spacing w:after="0"/>
              <w:rPr>
                <w:sz w:val="20"/>
                <w:szCs w:val="20"/>
                <w:color w:val="auto"/>
              </w:rPr>
            </w:pPr>
            <w:r>
              <w:rPr>
                <w:rFonts w:ascii="Arial" w:cs="Arial" w:eastAsia="Arial" w:hAnsi="Arial"/>
                <w:sz w:val="20"/>
                <w:szCs w:val="20"/>
                <w:color w:val="auto"/>
                <w:w w:val="87"/>
              </w:rPr>
              <w:t>$157,777,777.78</w:t>
            </w: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7.8888888889%</w:t>
            </w:r>
          </w:p>
        </w:tc>
      </w:tr>
      <w:tr>
        <w:trPr>
          <w:trHeight w:val="621"/>
        </w:trPr>
        <w:tc>
          <w:tcPr>
            <w:tcW w:w="4100" w:type="dxa"/>
            <w:vAlign w:val="bottom"/>
            <w:gridSpan w:val="2"/>
          </w:tcPr>
          <w:p>
            <w:pPr>
              <w:spacing w:after="0"/>
              <w:rPr>
                <w:sz w:val="20"/>
                <w:szCs w:val="20"/>
                <w:color w:val="auto"/>
              </w:rPr>
            </w:pPr>
            <w:r>
              <w:rPr>
                <w:rFonts w:ascii="Arial" w:cs="Arial" w:eastAsia="Arial" w:hAnsi="Arial"/>
                <w:sz w:val="22"/>
                <w:szCs w:val="22"/>
                <w:color w:val="auto"/>
              </w:rPr>
              <w:t>The Bank of Tokyo-Mitsubishi UFJ, Ltd.</w:t>
            </w:r>
          </w:p>
        </w:tc>
        <w:tc>
          <w:tcPr>
            <w:tcW w:w="1960" w:type="dxa"/>
            <w:vAlign w:val="bottom"/>
            <w:gridSpan w:val="5"/>
          </w:tcPr>
          <w:p>
            <w:pPr>
              <w:jc w:val="center"/>
              <w:ind w:right="160"/>
              <w:spacing w:after="0"/>
              <w:rPr>
                <w:sz w:val="20"/>
                <w:szCs w:val="20"/>
                <w:color w:val="auto"/>
              </w:rPr>
            </w:pPr>
            <w:r>
              <w:rPr>
                <w:rFonts w:ascii="Arial" w:cs="Arial" w:eastAsia="Arial" w:hAnsi="Arial"/>
                <w:sz w:val="20"/>
                <w:szCs w:val="20"/>
                <w:color w:val="auto"/>
                <w:w w:val="87"/>
              </w:rPr>
              <w:t>$157,777,777.78</w:t>
            </w: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7.8888888889%</w:t>
            </w:r>
          </w:p>
        </w:tc>
      </w:tr>
      <w:tr>
        <w:trPr>
          <w:trHeight w:val="621"/>
        </w:trPr>
        <w:tc>
          <w:tcPr>
            <w:tcW w:w="4100" w:type="dxa"/>
            <w:vAlign w:val="bottom"/>
            <w:gridSpan w:val="2"/>
          </w:tcPr>
          <w:p>
            <w:pPr>
              <w:spacing w:after="0"/>
              <w:rPr>
                <w:sz w:val="20"/>
                <w:szCs w:val="20"/>
                <w:color w:val="auto"/>
              </w:rPr>
            </w:pPr>
            <w:r>
              <w:rPr>
                <w:rFonts w:ascii="Arial" w:cs="Arial" w:eastAsia="Arial" w:hAnsi="Arial"/>
                <w:sz w:val="22"/>
                <w:szCs w:val="22"/>
                <w:color w:val="auto"/>
              </w:rPr>
              <w:t>Barclays Bank plc</w:t>
            </w:r>
          </w:p>
        </w:tc>
        <w:tc>
          <w:tcPr>
            <w:tcW w:w="1960" w:type="dxa"/>
            <w:vAlign w:val="bottom"/>
            <w:gridSpan w:val="5"/>
          </w:tcPr>
          <w:p>
            <w:pPr>
              <w:jc w:val="center"/>
              <w:ind w:right="160"/>
              <w:spacing w:after="0"/>
              <w:rPr>
                <w:sz w:val="20"/>
                <w:szCs w:val="20"/>
                <w:color w:val="auto"/>
              </w:rPr>
            </w:pPr>
            <w:r>
              <w:rPr>
                <w:rFonts w:ascii="Arial" w:cs="Arial" w:eastAsia="Arial" w:hAnsi="Arial"/>
                <w:sz w:val="20"/>
                <w:szCs w:val="20"/>
                <w:color w:val="auto"/>
                <w:w w:val="85"/>
              </w:rPr>
              <w:t>$111,111,111.11</w:t>
            </w: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5.5555555555%</w:t>
            </w:r>
          </w:p>
        </w:tc>
      </w:tr>
      <w:tr>
        <w:trPr>
          <w:trHeight w:val="621"/>
        </w:trPr>
        <w:tc>
          <w:tcPr>
            <w:tcW w:w="4100" w:type="dxa"/>
            <w:vAlign w:val="bottom"/>
            <w:gridSpan w:val="2"/>
          </w:tcPr>
          <w:p>
            <w:pPr>
              <w:spacing w:after="0"/>
              <w:rPr>
                <w:sz w:val="20"/>
                <w:szCs w:val="20"/>
                <w:color w:val="auto"/>
              </w:rPr>
            </w:pPr>
            <w:r>
              <w:rPr>
                <w:rFonts w:ascii="Arial" w:cs="Arial" w:eastAsia="Arial" w:hAnsi="Arial"/>
                <w:sz w:val="22"/>
                <w:szCs w:val="22"/>
                <w:color w:val="auto"/>
                <w:w w:val="99"/>
              </w:rPr>
              <w:t>Skandinaviska Enskilda Banken AB (publ)</w:t>
            </w:r>
          </w:p>
        </w:tc>
        <w:tc>
          <w:tcPr>
            <w:tcW w:w="1960" w:type="dxa"/>
            <w:vAlign w:val="bottom"/>
            <w:gridSpan w:val="5"/>
          </w:tcPr>
          <w:p>
            <w:pPr>
              <w:jc w:val="center"/>
              <w:ind w:right="160"/>
              <w:spacing w:after="0"/>
              <w:rPr>
                <w:sz w:val="20"/>
                <w:szCs w:val="20"/>
                <w:color w:val="auto"/>
              </w:rPr>
            </w:pPr>
            <w:r>
              <w:rPr>
                <w:rFonts w:ascii="Arial" w:cs="Arial" w:eastAsia="Arial" w:hAnsi="Arial"/>
                <w:sz w:val="20"/>
                <w:szCs w:val="20"/>
                <w:color w:val="auto"/>
                <w:w w:val="85"/>
              </w:rPr>
              <w:t>$111,111,111.11</w:t>
            </w: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5.5555555555%</w:t>
            </w:r>
          </w:p>
        </w:tc>
      </w:tr>
      <w:tr>
        <w:trPr>
          <w:trHeight w:val="621"/>
        </w:trPr>
        <w:tc>
          <w:tcPr>
            <w:tcW w:w="4100" w:type="dxa"/>
            <w:vAlign w:val="bottom"/>
            <w:gridSpan w:val="2"/>
          </w:tcPr>
          <w:p>
            <w:pPr>
              <w:spacing w:after="0"/>
              <w:rPr>
                <w:sz w:val="20"/>
                <w:szCs w:val="20"/>
                <w:color w:val="auto"/>
              </w:rPr>
            </w:pPr>
            <w:r>
              <w:rPr>
                <w:rFonts w:ascii="Arial" w:cs="Arial" w:eastAsia="Arial" w:hAnsi="Arial"/>
                <w:sz w:val="22"/>
                <w:szCs w:val="22"/>
                <w:color w:val="auto"/>
              </w:rPr>
              <w:t>Standard Chartered Bank</w:t>
            </w:r>
          </w:p>
        </w:tc>
        <w:tc>
          <w:tcPr>
            <w:tcW w:w="1960" w:type="dxa"/>
            <w:vAlign w:val="bottom"/>
            <w:gridSpan w:val="5"/>
          </w:tcPr>
          <w:p>
            <w:pPr>
              <w:jc w:val="center"/>
              <w:ind w:right="160"/>
              <w:spacing w:after="0"/>
              <w:rPr>
                <w:sz w:val="20"/>
                <w:szCs w:val="20"/>
                <w:color w:val="auto"/>
              </w:rPr>
            </w:pPr>
            <w:r>
              <w:rPr>
                <w:rFonts w:ascii="Arial" w:cs="Arial" w:eastAsia="Arial" w:hAnsi="Arial"/>
                <w:sz w:val="20"/>
                <w:szCs w:val="20"/>
                <w:color w:val="auto"/>
                <w:w w:val="85"/>
              </w:rPr>
              <w:t>$111,111,111.11</w:t>
            </w: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5.5555555555%</w:t>
            </w:r>
          </w:p>
        </w:tc>
      </w:tr>
      <w:tr>
        <w:trPr>
          <w:trHeight w:val="590"/>
        </w:trPr>
        <w:tc>
          <w:tcPr>
            <w:tcW w:w="4100" w:type="dxa"/>
            <w:vAlign w:val="bottom"/>
            <w:gridSpan w:val="2"/>
          </w:tcPr>
          <w:p>
            <w:pPr>
              <w:spacing w:after="0"/>
              <w:rPr>
                <w:sz w:val="20"/>
                <w:szCs w:val="20"/>
                <w:color w:val="auto"/>
              </w:rPr>
            </w:pPr>
            <w:r>
              <w:rPr>
                <w:rFonts w:ascii="Arial" w:cs="Arial" w:eastAsia="Arial" w:hAnsi="Arial"/>
                <w:sz w:val="22"/>
                <w:szCs w:val="22"/>
                <w:color w:val="auto"/>
              </w:rPr>
              <w:t>The Toronto Dominion Bank, New York</w:t>
            </w:r>
          </w:p>
        </w:tc>
        <w:tc>
          <w:tcPr>
            <w:tcW w:w="1960" w:type="dxa"/>
            <w:vAlign w:val="bottom"/>
            <w:gridSpan w:val="5"/>
          </w:tcPr>
          <w:p>
            <w:pPr>
              <w:jc w:val="center"/>
              <w:ind w:right="160"/>
              <w:spacing w:after="0"/>
              <w:rPr>
                <w:sz w:val="20"/>
                <w:szCs w:val="20"/>
                <w:color w:val="auto"/>
              </w:rPr>
            </w:pPr>
            <w:r>
              <w:rPr>
                <w:rFonts w:ascii="Arial" w:cs="Arial" w:eastAsia="Arial" w:hAnsi="Arial"/>
                <w:sz w:val="20"/>
                <w:szCs w:val="20"/>
                <w:color w:val="auto"/>
                <w:w w:val="85"/>
              </w:rPr>
              <w:t>$111,111,111.11</w:t>
            </w: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5.5555555555%</w:t>
            </w:r>
          </w:p>
        </w:tc>
      </w:tr>
      <w:tr>
        <w:trPr>
          <w:trHeight w:val="275"/>
        </w:trPr>
        <w:tc>
          <w:tcPr>
            <w:tcW w:w="4100" w:type="dxa"/>
            <w:vAlign w:val="bottom"/>
            <w:gridSpan w:val="2"/>
          </w:tcPr>
          <w:p>
            <w:pPr>
              <w:spacing w:after="0"/>
              <w:rPr>
                <w:sz w:val="20"/>
                <w:szCs w:val="20"/>
                <w:color w:val="auto"/>
              </w:rPr>
            </w:pPr>
            <w:r>
              <w:rPr>
                <w:rFonts w:ascii="Arial" w:cs="Arial" w:eastAsia="Arial" w:hAnsi="Arial"/>
                <w:sz w:val="22"/>
                <w:szCs w:val="22"/>
                <w:color w:val="auto"/>
              </w:rPr>
              <w:t>Branch</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621"/>
        </w:trPr>
        <w:tc>
          <w:tcPr>
            <w:tcW w:w="4100" w:type="dxa"/>
            <w:vAlign w:val="bottom"/>
            <w:gridSpan w:val="2"/>
          </w:tcPr>
          <w:p>
            <w:pPr>
              <w:spacing w:after="0"/>
              <w:rPr>
                <w:sz w:val="20"/>
                <w:szCs w:val="20"/>
                <w:color w:val="auto"/>
              </w:rPr>
            </w:pPr>
            <w:r>
              <w:rPr>
                <w:rFonts w:ascii="Arial" w:cs="Arial" w:eastAsia="Arial" w:hAnsi="Arial"/>
                <w:sz w:val="22"/>
                <w:szCs w:val="22"/>
                <w:color w:val="auto"/>
              </w:rPr>
              <w:t>HSBC Bank USA, N.A.</w:t>
            </w:r>
          </w:p>
        </w:tc>
        <w:tc>
          <w:tcPr>
            <w:tcW w:w="1520" w:type="dxa"/>
            <w:vAlign w:val="bottom"/>
            <w:gridSpan w:val="4"/>
          </w:tcPr>
          <w:p>
            <w:pPr>
              <w:jc w:val="center"/>
              <w:ind w:left="181"/>
              <w:spacing w:after="0"/>
              <w:rPr>
                <w:sz w:val="20"/>
                <w:szCs w:val="20"/>
                <w:color w:val="auto"/>
              </w:rPr>
            </w:pPr>
            <w:r>
              <w:rPr>
                <w:rFonts w:ascii="Arial" w:cs="Arial" w:eastAsia="Arial" w:hAnsi="Arial"/>
                <w:sz w:val="20"/>
                <w:szCs w:val="20"/>
                <w:color w:val="auto"/>
                <w:w w:val="86"/>
              </w:rPr>
              <w:t>$71,111,111.11</w:t>
            </w:r>
          </w:p>
        </w:tc>
        <w:tc>
          <w:tcPr>
            <w:tcW w:w="440" w:type="dxa"/>
            <w:vAlign w:val="bottom"/>
          </w:tcPr>
          <w:p>
            <w:pPr>
              <w:spacing w:after="0"/>
              <w:rPr>
                <w:sz w:val="24"/>
                <w:szCs w:val="24"/>
                <w:color w:val="auto"/>
              </w:rPr>
            </w:pP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3.5555555556%</w:t>
            </w:r>
          </w:p>
        </w:tc>
      </w:tr>
      <w:tr>
        <w:trPr>
          <w:trHeight w:val="621"/>
        </w:trPr>
        <w:tc>
          <w:tcPr>
            <w:tcW w:w="4100" w:type="dxa"/>
            <w:vAlign w:val="bottom"/>
            <w:gridSpan w:val="2"/>
          </w:tcPr>
          <w:p>
            <w:pPr>
              <w:spacing w:after="0"/>
              <w:rPr>
                <w:sz w:val="20"/>
                <w:szCs w:val="20"/>
                <w:color w:val="auto"/>
              </w:rPr>
            </w:pPr>
            <w:r>
              <w:rPr>
                <w:rFonts w:ascii="Arial" w:cs="Arial" w:eastAsia="Arial" w:hAnsi="Arial"/>
                <w:sz w:val="22"/>
                <w:szCs w:val="22"/>
                <w:color w:val="auto"/>
              </w:rPr>
              <w:t>Nordea Bank Norge ASA</w:t>
            </w:r>
          </w:p>
        </w:tc>
        <w:tc>
          <w:tcPr>
            <w:tcW w:w="1520" w:type="dxa"/>
            <w:vAlign w:val="bottom"/>
            <w:gridSpan w:val="4"/>
          </w:tcPr>
          <w:p>
            <w:pPr>
              <w:jc w:val="center"/>
              <w:ind w:left="181"/>
              <w:spacing w:after="0"/>
              <w:rPr>
                <w:sz w:val="20"/>
                <w:szCs w:val="20"/>
                <w:color w:val="auto"/>
              </w:rPr>
            </w:pPr>
            <w:r>
              <w:rPr>
                <w:rFonts w:ascii="Arial" w:cs="Arial" w:eastAsia="Arial" w:hAnsi="Arial"/>
                <w:sz w:val="20"/>
                <w:szCs w:val="20"/>
                <w:color w:val="auto"/>
                <w:w w:val="86"/>
              </w:rPr>
              <w:t>$71,111,111.11</w:t>
            </w:r>
          </w:p>
        </w:tc>
        <w:tc>
          <w:tcPr>
            <w:tcW w:w="440" w:type="dxa"/>
            <w:vAlign w:val="bottom"/>
          </w:tcPr>
          <w:p>
            <w:pPr>
              <w:spacing w:after="0"/>
              <w:rPr>
                <w:sz w:val="24"/>
                <w:szCs w:val="24"/>
                <w:color w:val="auto"/>
              </w:rPr>
            </w:pP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3.5555555556%</w:t>
            </w:r>
          </w:p>
        </w:tc>
      </w:tr>
      <w:tr>
        <w:trPr>
          <w:trHeight w:val="621"/>
        </w:trPr>
        <w:tc>
          <w:tcPr>
            <w:tcW w:w="4100" w:type="dxa"/>
            <w:vAlign w:val="bottom"/>
            <w:gridSpan w:val="2"/>
          </w:tcPr>
          <w:p>
            <w:pPr>
              <w:spacing w:after="0"/>
              <w:rPr>
                <w:sz w:val="20"/>
                <w:szCs w:val="20"/>
                <w:color w:val="auto"/>
              </w:rPr>
            </w:pPr>
            <w:r>
              <w:rPr>
                <w:rFonts w:ascii="Arial" w:cs="Arial" w:eastAsia="Arial" w:hAnsi="Arial"/>
                <w:sz w:val="22"/>
                <w:szCs w:val="22"/>
                <w:color w:val="auto"/>
              </w:rPr>
              <w:t>Unicredit Bank AG, New York Branch</w:t>
            </w:r>
          </w:p>
        </w:tc>
        <w:tc>
          <w:tcPr>
            <w:tcW w:w="1520" w:type="dxa"/>
            <w:vAlign w:val="bottom"/>
            <w:gridSpan w:val="4"/>
          </w:tcPr>
          <w:p>
            <w:pPr>
              <w:jc w:val="center"/>
              <w:ind w:left="181"/>
              <w:spacing w:after="0"/>
              <w:rPr>
                <w:sz w:val="20"/>
                <w:szCs w:val="20"/>
                <w:color w:val="auto"/>
              </w:rPr>
            </w:pPr>
            <w:r>
              <w:rPr>
                <w:rFonts w:ascii="Arial" w:cs="Arial" w:eastAsia="Arial" w:hAnsi="Arial"/>
                <w:sz w:val="20"/>
                <w:szCs w:val="20"/>
                <w:color w:val="auto"/>
                <w:w w:val="86"/>
              </w:rPr>
              <w:t>$71,111,111.11</w:t>
            </w:r>
          </w:p>
        </w:tc>
        <w:tc>
          <w:tcPr>
            <w:tcW w:w="440" w:type="dxa"/>
            <w:vAlign w:val="bottom"/>
          </w:tcPr>
          <w:p>
            <w:pPr>
              <w:spacing w:after="0"/>
              <w:rPr>
                <w:sz w:val="24"/>
                <w:szCs w:val="24"/>
                <w:color w:val="auto"/>
              </w:rPr>
            </w:pP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3.5555555556%</w:t>
            </w:r>
          </w:p>
        </w:tc>
      </w:tr>
      <w:tr>
        <w:trPr>
          <w:trHeight w:val="590"/>
        </w:trPr>
        <w:tc>
          <w:tcPr>
            <w:tcW w:w="4100" w:type="dxa"/>
            <w:vAlign w:val="bottom"/>
            <w:gridSpan w:val="2"/>
          </w:tcPr>
          <w:p>
            <w:pPr>
              <w:spacing w:after="0"/>
              <w:rPr>
                <w:sz w:val="20"/>
                <w:szCs w:val="20"/>
                <w:color w:val="auto"/>
              </w:rPr>
            </w:pPr>
            <w:r>
              <w:rPr>
                <w:rFonts w:ascii="Arial" w:cs="Arial" w:eastAsia="Arial" w:hAnsi="Arial"/>
                <w:sz w:val="22"/>
                <w:szCs w:val="22"/>
                <w:color w:val="auto"/>
                <w:w w:val="96"/>
              </w:rPr>
              <w:t>Banco Bilbao Vizcaya Argentaria, S.A. New</w:t>
            </w:r>
          </w:p>
        </w:tc>
        <w:tc>
          <w:tcPr>
            <w:tcW w:w="1520" w:type="dxa"/>
            <w:vAlign w:val="bottom"/>
            <w:gridSpan w:val="4"/>
          </w:tcPr>
          <w:p>
            <w:pPr>
              <w:jc w:val="center"/>
              <w:ind w:left="181"/>
              <w:spacing w:after="0"/>
              <w:rPr>
                <w:sz w:val="20"/>
                <w:szCs w:val="20"/>
                <w:color w:val="auto"/>
              </w:rPr>
            </w:pPr>
            <w:r>
              <w:rPr>
                <w:rFonts w:ascii="Arial" w:cs="Arial" w:eastAsia="Arial" w:hAnsi="Arial"/>
                <w:sz w:val="20"/>
                <w:szCs w:val="20"/>
                <w:color w:val="auto"/>
                <w:w w:val="89"/>
              </w:rPr>
              <w:t>$40,000,000.00</w:t>
            </w:r>
          </w:p>
        </w:tc>
        <w:tc>
          <w:tcPr>
            <w:tcW w:w="440" w:type="dxa"/>
            <w:vAlign w:val="bottom"/>
          </w:tcPr>
          <w:p>
            <w:pPr>
              <w:spacing w:after="0"/>
              <w:rPr>
                <w:sz w:val="24"/>
                <w:szCs w:val="24"/>
                <w:color w:val="auto"/>
              </w:rPr>
            </w:pP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2.0000000000%</w:t>
            </w:r>
          </w:p>
        </w:tc>
      </w:tr>
      <w:tr>
        <w:trPr>
          <w:trHeight w:val="275"/>
        </w:trPr>
        <w:tc>
          <w:tcPr>
            <w:tcW w:w="4100" w:type="dxa"/>
            <w:vAlign w:val="bottom"/>
            <w:gridSpan w:val="2"/>
          </w:tcPr>
          <w:p>
            <w:pPr>
              <w:spacing w:after="0"/>
              <w:rPr>
                <w:sz w:val="20"/>
                <w:szCs w:val="20"/>
                <w:color w:val="auto"/>
              </w:rPr>
            </w:pPr>
            <w:r>
              <w:rPr>
                <w:rFonts w:ascii="Arial" w:cs="Arial" w:eastAsia="Arial" w:hAnsi="Arial"/>
                <w:sz w:val="22"/>
                <w:szCs w:val="22"/>
                <w:color w:val="auto"/>
              </w:rPr>
              <w:t>York Branch</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621"/>
        </w:trPr>
        <w:tc>
          <w:tcPr>
            <w:tcW w:w="4100" w:type="dxa"/>
            <w:vAlign w:val="bottom"/>
            <w:gridSpan w:val="2"/>
          </w:tcPr>
          <w:p>
            <w:pPr>
              <w:spacing w:after="0"/>
              <w:rPr>
                <w:sz w:val="20"/>
                <w:szCs w:val="20"/>
                <w:color w:val="auto"/>
              </w:rPr>
            </w:pPr>
            <w:r>
              <w:rPr>
                <w:rFonts w:ascii="Arial" w:cs="Arial" w:eastAsia="Arial" w:hAnsi="Arial"/>
                <w:sz w:val="22"/>
                <w:szCs w:val="22"/>
                <w:color w:val="auto"/>
                <w:w w:val="98"/>
              </w:rPr>
              <w:t>Arab Banking Corporation, Grand Cayman</w:t>
            </w:r>
          </w:p>
        </w:tc>
        <w:tc>
          <w:tcPr>
            <w:tcW w:w="1520" w:type="dxa"/>
            <w:vAlign w:val="bottom"/>
            <w:gridSpan w:val="4"/>
          </w:tcPr>
          <w:p>
            <w:pPr>
              <w:jc w:val="center"/>
              <w:ind w:left="181"/>
              <w:spacing w:after="0"/>
              <w:rPr>
                <w:sz w:val="20"/>
                <w:szCs w:val="20"/>
                <w:color w:val="auto"/>
              </w:rPr>
            </w:pPr>
            <w:r>
              <w:rPr>
                <w:rFonts w:ascii="Arial" w:cs="Arial" w:eastAsia="Arial" w:hAnsi="Arial"/>
                <w:sz w:val="20"/>
                <w:szCs w:val="20"/>
                <w:color w:val="auto"/>
                <w:w w:val="89"/>
              </w:rPr>
              <w:t>$40,000,000.00</w:t>
            </w:r>
          </w:p>
        </w:tc>
        <w:tc>
          <w:tcPr>
            <w:tcW w:w="440" w:type="dxa"/>
            <w:vAlign w:val="bottom"/>
          </w:tcPr>
          <w:p>
            <w:pPr>
              <w:spacing w:after="0"/>
              <w:rPr>
                <w:sz w:val="24"/>
                <w:szCs w:val="24"/>
                <w:color w:val="auto"/>
              </w:rPr>
            </w:pPr>
          </w:p>
        </w:tc>
        <w:tc>
          <w:tcPr>
            <w:tcW w:w="2080" w:type="dxa"/>
            <w:vAlign w:val="bottom"/>
            <w:gridSpan w:val="3"/>
          </w:tcPr>
          <w:p>
            <w:pPr>
              <w:jc w:val="center"/>
              <w:spacing w:after="0"/>
              <w:rPr>
                <w:sz w:val="20"/>
                <w:szCs w:val="20"/>
                <w:color w:val="auto"/>
              </w:rPr>
            </w:pPr>
            <w:r>
              <w:rPr>
                <w:rFonts w:ascii="Arial" w:cs="Arial" w:eastAsia="Arial" w:hAnsi="Arial"/>
                <w:sz w:val="22"/>
                <w:szCs w:val="22"/>
                <w:color w:val="auto"/>
                <w:w w:val="89"/>
              </w:rPr>
              <w:t>2.0000000000%</w:t>
            </w:r>
          </w:p>
        </w:tc>
      </w:tr>
      <w:tr>
        <w:trPr>
          <w:trHeight w:val="557"/>
        </w:trPr>
        <w:tc>
          <w:tcPr>
            <w:tcW w:w="4100" w:type="dxa"/>
            <w:vAlign w:val="bottom"/>
            <w:gridSpan w:val="2"/>
          </w:tcPr>
          <w:p>
            <w:pPr>
              <w:spacing w:after="0"/>
              <w:rPr>
                <w:sz w:val="20"/>
                <w:szCs w:val="20"/>
                <w:color w:val="auto"/>
              </w:rPr>
            </w:pPr>
            <w:r>
              <w:rPr>
                <w:rFonts w:ascii="Arial" w:cs="Arial" w:eastAsia="Arial" w:hAnsi="Arial"/>
                <w:sz w:val="22"/>
                <w:szCs w:val="22"/>
                <w:b w:val="1"/>
                <w:bCs w:val="1"/>
                <w:color w:val="auto"/>
              </w:rPr>
              <w:t>TOTAL</w:t>
            </w:r>
          </w:p>
        </w:tc>
        <w:tc>
          <w:tcPr>
            <w:tcW w:w="28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Arial" w:cs="Arial" w:eastAsia="Arial" w:hAnsi="Arial"/>
                <w:sz w:val="20"/>
                <w:szCs w:val="20"/>
                <w:b w:val="1"/>
                <w:bCs w:val="1"/>
                <w:u w:val="single" w:color="auto"/>
                <w:color w:val="auto"/>
                <w:w w:val="89"/>
              </w:rPr>
              <w:t>$</w:t>
            </w:r>
            <w:r>
              <w:rPr>
                <w:rFonts w:ascii="Arial" w:cs="Arial" w:eastAsia="Arial" w:hAnsi="Arial"/>
                <w:sz w:val="20"/>
                <w:szCs w:val="20"/>
                <w:b w:val="1"/>
                <w:bCs w:val="1"/>
                <w:color w:val="auto"/>
                <w:w w:val="89"/>
              </w:rPr>
              <w:t>2,000,000,000</w:t>
            </w:r>
          </w:p>
        </w:tc>
        <w:tc>
          <w:tcPr>
            <w:tcW w:w="440" w:type="dxa"/>
            <w:vAlign w:val="bottom"/>
          </w:tcPr>
          <w:p>
            <w:pPr>
              <w:spacing w:after="0"/>
              <w:rPr>
                <w:sz w:val="24"/>
                <w:szCs w:val="24"/>
                <w:color w:val="auto"/>
              </w:rPr>
            </w:pPr>
          </w:p>
        </w:tc>
        <w:tc>
          <w:tcPr>
            <w:tcW w:w="1280" w:type="dxa"/>
            <w:vAlign w:val="bottom"/>
            <w:gridSpan w:val="2"/>
          </w:tcPr>
          <w:p>
            <w:pPr>
              <w:jc w:val="center"/>
              <w:ind w:left="692"/>
              <w:spacing w:after="0"/>
              <w:rPr>
                <w:sz w:val="20"/>
                <w:szCs w:val="20"/>
                <w:color w:val="auto"/>
              </w:rPr>
            </w:pPr>
            <w:r>
              <w:rPr>
                <w:rFonts w:ascii="Arial" w:cs="Arial" w:eastAsia="Arial" w:hAnsi="Arial"/>
                <w:sz w:val="20"/>
                <w:szCs w:val="20"/>
                <w:b w:val="1"/>
                <w:bCs w:val="1"/>
                <w:color w:val="auto"/>
                <w:w w:val="93"/>
              </w:rPr>
              <w:t>100%</w:t>
            </w:r>
          </w:p>
        </w:tc>
        <w:tc>
          <w:tcPr>
            <w:tcW w:w="8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098" w:right="1440" w:bottom="759"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Annex I</w:t>
      </w:r>
    </w:p>
    <w:sectPr>
      <w:pgSz w:w="11900" w:h="16838" w:orient="portrait"/>
      <w:cols w:equalWidth="0" w:num="1">
        <w:col w:w="9019"/>
      </w:cols>
      <w:pgMar w:left="1440" w:top="1098" w:right="1440" w:bottom="7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2"/>
    </w:lvl>
  </w:abstractNum>
  <w:abstractNum w:abstractNumId="4">
    <w:nsid w:val="12200854"/>
    <w:multiLevelType w:val="hybridMultilevel"/>
    <w:lvl w:ilvl="0">
      <w:lvlJc w:val="left"/>
      <w:lvlText w:val="(%1)"/>
      <w:numFmt w:val="lowerLetter"/>
      <w:start w:val="3"/>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Roman"/>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lvl w:ilvl="1">
      <w:lvlJc w:val="left"/>
      <w:lvlText w:val="(%2)"/>
      <w:numFmt w:val="lowerLetter"/>
      <w:start w:val="2"/>
    </w:lvl>
  </w:abstractNum>
  <w:abstractNum w:abstractNumId="11">
    <w:nsid w:val="3352255A"/>
    <w:multiLevelType w:val="hybridMultilevel"/>
    <w:lvl w:ilvl="0">
      <w:lvlJc w:val="left"/>
      <w:lvlText w:val="(%1)"/>
      <w:numFmt w:val="lowerLetter"/>
      <w:start w:val="5"/>
    </w:lvl>
    <w:lvl w:ilvl="1">
      <w:lvlJc w:val="left"/>
      <w:lvlText w:val="%2"/>
      <w:numFmt w:val="lowerLetter"/>
      <w:start w:val="1"/>
    </w:lvl>
  </w:abstractNum>
  <w:abstractNum w:abstractNumId="12">
    <w:nsid w:val="109CF92E"/>
    <w:multiLevelType w:val="hybridMultilevel"/>
    <w:lvl w:ilvl="0">
      <w:lvlJc w:val="left"/>
      <w:lvlText w:val="(%1)"/>
      <w:numFmt w:val="lowerLetter"/>
      <w:start w:val="7"/>
    </w:lvl>
  </w:abstractNum>
  <w:abstractNum w:abstractNumId="13">
    <w:nsid w:val="DED7263"/>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2019-12-09T00:31:03Z</dcterms:created>
  <dcterms:modified xsi:type="dcterms:W3CDTF">2019-12-09T00:31:03Z</dcterms:modified>
</cp:coreProperties>
</file>