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-224155</wp:posOffset>
            </wp:positionV>
            <wp:extent cx="6474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16, 2015</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349250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00" w:space="720"/>
            <w:col w:w="9840"/>
          </w:cols>
          <w:pgMar w:left="240" w:top="742" w:right="299" w:bottom="1440" w:gutter="0" w:footer="0" w:header="0"/>
        </w:sectPr>
      </w:pPr>
    </w:p>
    <w:p>
      <w:pPr>
        <w:spacing w:after="0" w:line="74" w:lineRule="exact"/>
        <w:rPr>
          <w:sz w:val="20"/>
          <w:szCs w:val="20"/>
          <w:color w:val="auto"/>
        </w:rPr>
      </w:pPr>
    </w:p>
    <w:p>
      <w:pPr>
        <w:ind w:right="20" w:firstLine="332"/>
        <w:spacing w:after="0" w:line="288" w:lineRule="auto"/>
        <w:tabs>
          <w:tab w:leader="none" w:pos="739" w:val="left"/>
        </w:tabs>
        <w:numPr>
          <w:ilvl w:val="0"/>
          <w:numId w:val="2"/>
        </w:numPr>
        <w:rPr>
          <w:rFonts w:ascii="Arial" w:cs="Arial" w:eastAsia="Arial" w:hAnsi="Arial"/>
          <w:sz w:val="16"/>
          <w:szCs w:val="16"/>
          <w:color w:val="auto"/>
        </w:rPr>
      </w:pPr>
      <w:r>
        <w:rPr>
          <w:rFonts w:ascii="Arial" w:cs="Arial" w:eastAsia="Arial" w:hAnsi="Arial"/>
          <w:sz w:val="16"/>
          <w:szCs w:val="16"/>
          <w:color w:val="auto"/>
        </w:rPr>
        <w:t>At the 2015 Annual General Meeting of Shareholders (the “Annual Meeting”) of Weatherford International plc (the “Company”) held on June 16, 2015, shareholders approved an amendment (the “Amendment”) to the Company’s 2010 Omnibus Incentive Plan (the “Plan”). The Amendment increases the number of shares available for issuance under the Plan by 15,000,000 shares, bringing the total number of shares authorized for issuance under the Plan from</w:t>
      </w:r>
    </w:p>
    <w:p>
      <w:pPr>
        <w:spacing w:after="0"/>
        <w:rPr>
          <w:rFonts w:ascii="Arial" w:cs="Arial" w:eastAsia="Arial" w:hAnsi="Arial"/>
          <w:sz w:val="16"/>
          <w:szCs w:val="16"/>
          <w:color w:val="auto"/>
        </w:rPr>
      </w:pPr>
      <w:r>
        <w:rPr>
          <w:rFonts w:ascii="Arial" w:cs="Arial" w:eastAsia="Arial" w:hAnsi="Arial"/>
          <w:sz w:val="18"/>
          <w:szCs w:val="18"/>
          <w:color w:val="auto"/>
        </w:rPr>
        <w:t>28,144,000 to 43,144,000. In addition, the Amendment provides for certain other revisions and technical amendments, including:</w:t>
      </w:r>
    </w:p>
    <w:p>
      <w:pPr>
        <w:spacing w:after="0" w:line="156" w:lineRule="exact"/>
        <w:rPr>
          <w:rFonts w:ascii="Arial" w:cs="Arial" w:eastAsia="Arial" w:hAnsi="Arial"/>
          <w:sz w:val="16"/>
          <w:szCs w:val="16"/>
          <w:color w:val="auto"/>
        </w:rPr>
      </w:pPr>
    </w:p>
    <w:p>
      <w:pPr>
        <w:ind w:left="820" w:hanging="326"/>
        <w:spacing w:after="0"/>
        <w:tabs>
          <w:tab w:leader="none" w:pos="8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amending the Plan’s definition of change of control so that it may not be made less restrictive via an award agreement under the Plan;</w:t>
      </w:r>
    </w:p>
    <w:p>
      <w:pPr>
        <w:spacing w:after="0" w:line="182" w:lineRule="exact"/>
        <w:rPr>
          <w:rFonts w:ascii="Arial" w:cs="Arial" w:eastAsia="Arial" w:hAnsi="Arial"/>
          <w:sz w:val="17"/>
          <w:szCs w:val="17"/>
          <w:color w:val="auto"/>
        </w:rPr>
      </w:pPr>
    </w:p>
    <w:p>
      <w:pPr>
        <w:ind w:left="820" w:hanging="326"/>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reducing the number of incumbent board members that would trigger the change of control provision to “at least a majority”;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eliminating an inconsistent provision relating to the granting of awards or their recipients; and</w:t>
      </w:r>
    </w:p>
    <w:p>
      <w:pPr>
        <w:spacing w:after="0" w:line="171" w:lineRule="exact"/>
        <w:rPr>
          <w:rFonts w:ascii="Arial" w:cs="Arial" w:eastAsia="Arial" w:hAnsi="Arial"/>
          <w:sz w:val="18"/>
          <w:szCs w:val="18"/>
          <w:color w:val="auto"/>
        </w:rPr>
      </w:pPr>
    </w:p>
    <w:p>
      <w:pPr>
        <w:ind w:left="820" w:right="160" w:hanging="326"/>
        <w:spacing w:after="0" w:line="277"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prohibiting the cancellation, or “buying out,” of “underwater” stock options or share appreciation rights in exchange for cash or any other award without shareholder approval.</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foregoing description of the Amendment to the Plan is set forth in the Company’s definitive proxy statement filed with the Securities and Exchange Commission on April 29, 2015 (the “Proxy Statement”). The description of the Amendment is qualified in its entirety by reference to the full text of the Plan, as modified by the Amendment, which was included as Annex A to the Proxy Statement and incorporated herein by reference as Exhibit 10.1.</w:t>
      </w:r>
    </w:p>
    <w:p>
      <w:pPr>
        <w:sectPr>
          <w:pgSz w:w="11900" w:h="16838" w:orient="portrait"/>
          <w:cols w:equalWidth="0" w:num="1">
            <w:col w:w="11360"/>
          </w:cols>
          <w:pgMar w:left="240" w:top="742" w:right="299" w:bottom="1440" w:gutter="0" w:footer="0" w:header="0"/>
          <w:type w:val="continuous"/>
        </w:sectPr>
      </w:pPr>
    </w:p>
    <w:bookmarkStart w:id="2" w:name="page3"/>
    <w:bookmarkEnd w:id="2"/>
    <w:p>
      <w:pPr>
        <w:ind w:left="4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are the results of the matters voted upon by the shareholders at the Annual Meeting, each of which is more fully described in the Proxy Statement: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w w:val="97"/>
              </w:rPr>
              <w:t>Agenda Item</w:t>
            </w:r>
          </w:p>
        </w:tc>
        <w:tc>
          <w:tcPr>
            <w:tcW w:w="358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Votes For</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Votes Against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Votes Abstaining</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99"/>
              </w:rPr>
              <w:t>Broker Non-Votes</w:t>
            </w:r>
          </w:p>
        </w:tc>
      </w:tr>
      <w:tr>
        <w:trPr>
          <w:trHeight w:val="27"/>
        </w:trPr>
        <w:tc>
          <w:tcPr>
            <w:tcW w:w="1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Election of the following directors:</w:t>
            </w:r>
          </w:p>
        </w:tc>
        <w:tc>
          <w:tcPr>
            <w:tcW w:w="15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Mohamed A. Awad</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623,960,339</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2,530,963</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662,297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55,108,764</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David J. Butters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584,666,640</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41,856,055</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630,904</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Dr. Bernard J. Duroc-Danner</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612,368,964</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13,213,185</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1,571,450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55,108,764</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John D. Gass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583,153,773</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43,037,823</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962,003</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Sir Emyr Jones Parry</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621,478,701</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5,002,929</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671,969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55,108,764</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Francis S. Kalman</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621,571,098</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4,631,901</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950,600</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William E. Macaulay</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582,623,427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43,855,342</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674,830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55,108,764</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Robert K. Moses, Jr.</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553,770,920</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72,724,842</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657,837</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Dr. Guillermo Ortiz</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580,510,656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45,992,425</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650,518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55,108,764</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Robert A. Rayne</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620,252,145</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6,263,599</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637,855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Ratify the appointment of KPMG LLP as the</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679,992,328</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1,453,207</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816,828</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independent registered public</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accounting firm and auditor for the financial</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year ending December 31, 2015 and to</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authorize the board of directors of the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 acting through the Audit</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Committee, to determine auditor’s</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remuneration.</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 an advisory resolution approving</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571,245,332</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54,260,106</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1,648,161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of the named executive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officers.</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Approve an amendment to the Weatherford</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579,568,063</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46,076,185</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1,509,351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55,108,764</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plc 2010 Omnibus Incentive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Plan.</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5.</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Authorize holding the 2016 annual general</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678,036,652</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2,434,758</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1,790,953</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meeting of shareholders at a location outside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 Ireland as currently required under Irish</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law.</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594"/>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3580" w:type="dxa"/>
            <w:vAlign w:val="bottom"/>
          </w:tcPr>
          <w:p>
            <w:pPr>
              <w:ind w:left="580"/>
              <w:spacing w:after="0"/>
              <w:rPr>
                <w:sz w:val="20"/>
                <w:szCs w:val="20"/>
                <w:color w:val="auto"/>
              </w:rPr>
            </w:pPr>
            <w:r>
              <w:rPr>
                <w:rFonts w:ascii="Arial" w:cs="Arial" w:eastAsia="Arial" w:hAnsi="Arial"/>
                <w:sz w:val="18"/>
                <w:szCs w:val="18"/>
                <w:b w:val="1"/>
                <w:bCs w:val="1"/>
                <w:color w:val="auto"/>
              </w:rPr>
              <w:t>Financial Statements and Exhibits.</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56" w:lineRule="exact"/>
        <w:rPr>
          <w:sz w:val="20"/>
          <w:szCs w:val="20"/>
          <w:color w:val="auto"/>
        </w:rPr>
      </w:pPr>
    </w:p>
    <w:p>
      <w:pPr>
        <w:ind w:left="1640" w:hanging="933"/>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9920" w:type="dxa"/>
            <w:vAlign w:val="bottom"/>
          </w:tcPr>
          <w:p>
            <w:pPr>
              <w:ind w:left="180"/>
              <w:spacing w:after="0"/>
              <w:rPr>
                <w:sz w:val="20"/>
                <w:szCs w:val="20"/>
                <w:color w:val="auto"/>
              </w:rPr>
            </w:pPr>
            <w:r>
              <w:rPr>
                <w:rFonts w:ascii="Arial" w:cs="Arial" w:eastAsia="Arial" w:hAnsi="Arial"/>
                <w:sz w:val="18"/>
                <w:szCs w:val="18"/>
                <w:color w:val="auto"/>
              </w:rPr>
              <w:t>First Amendment to Weatherford International plc 2010 Omnibus Incentive Plan (incorporated by reference to Annex A of</w:t>
            </w:r>
          </w:p>
        </w:tc>
      </w:tr>
      <w:tr>
        <w:trPr>
          <w:trHeight w:val="230"/>
        </w:trPr>
        <w:tc>
          <w:tcPr>
            <w:tcW w:w="144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Weatherford International plc’s Definitive Proxy Statement on Schedule 14A filed on April 29, 2015 (File No. 1-36504)).</w:t>
            </w:r>
          </w:p>
        </w:tc>
      </w:tr>
    </w:tbl>
    <w:p>
      <w:pPr>
        <w:sectPr>
          <w:pgSz w:w="11900" w:h="16838" w:orient="portrait"/>
          <w:cols w:equalWidth="0" w:num="1">
            <w:col w:w="11400"/>
          </w:cols>
          <w:pgMar w:left="240" w:top="742"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16, 2015</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40"/>
          </w:cols>
          <w:pgMar w:left="240" w:top="58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9960" w:type="dxa"/>
            <w:vAlign w:val="bottom"/>
          </w:tcPr>
          <w:p>
            <w:pPr>
              <w:ind w:left="3600"/>
              <w:spacing w:after="0"/>
              <w:rPr>
                <w:sz w:val="20"/>
                <w:szCs w:val="20"/>
                <w:color w:val="auto"/>
              </w:rPr>
            </w:pPr>
            <w:r>
              <w:rPr>
                <w:rFonts w:ascii="Arial" w:cs="Arial" w:eastAsia="Arial" w:hAnsi="Arial"/>
                <w:sz w:val="18"/>
                <w:szCs w:val="18"/>
                <w:color w:val="auto"/>
              </w:rPr>
              <w:t>EXHIBIT INDEX</w:t>
            </w:r>
          </w:p>
        </w:tc>
      </w:tr>
      <w:tr>
        <w:trPr>
          <w:trHeight w:val="635"/>
        </w:trPr>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Exhibit Number</w:t>
            </w:r>
          </w:p>
        </w:tc>
        <w:tc>
          <w:tcPr>
            <w:tcW w:w="996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9960" w:type="dxa"/>
            <w:vAlign w:val="bottom"/>
            <w:tcBorders>
              <w:bottom w:val="single" w:sz="8" w:color="auto"/>
            </w:tcBorders>
          </w:tcPr>
          <w:p>
            <w:pPr>
              <w:spacing w:after="0"/>
              <w:rPr>
                <w:sz w:val="2"/>
                <w:szCs w:val="2"/>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8"/>
                <w:szCs w:val="18"/>
                <w:color w:val="auto"/>
              </w:rPr>
              <w:t>10.1</w:t>
            </w:r>
          </w:p>
        </w:tc>
        <w:tc>
          <w:tcPr>
            <w:tcW w:w="9960" w:type="dxa"/>
            <w:vAlign w:val="bottom"/>
          </w:tcPr>
          <w:p>
            <w:pPr>
              <w:ind w:left="180"/>
              <w:spacing w:after="0"/>
              <w:rPr>
                <w:sz w:val="20"/>
                <w:szCs w:val="20"/>
                <w:color w:val="auto"/>
              </w:rPr>
            </w:pPr>
            <w:r>
              <w:rPr>
                <w:rFonts w:ascii="Arial" w:cs="Arial" w:eastAsia="Arial" w:hAnsi="Arial"/>
                <w:sz w:val="18"/>
                <w:szCs w:val="18"/>
                <w:color w:val="auto"/>
              </w:rPr>
              <w:t>First Amendment to Weatherford International plc 2010 Omnibus Incentive Plan (incorporated by reference to Annex A of</w:t>
            </w:r>
          </w:p>
        </w:tc>
      </w:tr>
      <w:tr>
        <w:trPr>
          <w:trHeight w:val="230"/>
        </w:trPr>
        <w:tc>
          <w:tcPr>
            <w:tcW w:w="146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Weatherford International plc’s Definitive Proxy Statement on Schedule 14A filed on April 29, 2015 (File No. 1-36504)).</w:t>
            </w:r>
          </w:p>
        </w:tc>
      </w:tr>
    </w:tbl>
    <w:p>
      <w:pPr>
        <w:spacing w:after="0" w:line="1" w:lineRule="exact"/>
        <w:rPr>
          <w:sz w:val="20"/>
          <w:szCs w:val="20"/>
          <w:color w:val="auto"/>
        </w:rPr>
      </w:pP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lvl w:ilvl="1">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2019-12-09T03:19:54Z</dcterms:created>
  <dcterms:modified xsi:type="dcterms:W3CDTF">2019-12-09T03:19:54Z</dcterms:modified>
</cp:coreProperties>
</file>