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15,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39"/>
          <w:szCs w:val="39"/>
          <w:b w:val="1"/>
          <w:bCs w:val="1"/>
          <w:color w:val="auto"/>
        </w:rPr>
        <w:t>Weatherford International public limited company</w:t>
      </w:r>
    </w:p>
    <w:p>
      <w:pPr>
        <w:spacing w:after="0" w:line="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60"/>
        <w:spacing w:after="0"/>
        <w:rPr>
          <w:sz w:val="20"/>
          <w:szCs w:val="20"/>
          <w:color w:val="auto"/>
        </w:rPr>
      </w:pPr>
      <w:r>
        <w:rPr>
          <w:rFonts w:ascii="Arial" w:cs="Arial" w:eastAsia="Arial" w:hAnsi="Arial"/>
          <w:sz w:val="17"/>
          <w:szCs w:val="17"/>
          <w:b w:val="1"/>
          <w:bCs w:val="1"/>
          <w:color w:val="auto"/>
        </w:rPr>
        <w:t>Ireland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001-36504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98-0606750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700" w:space="720"/>
            <w:col w:w="2740" w:space="720"/>
            <w:col w:w="2420"/>
          </w:cols>
          <w:pgMar w:left="240" w:top="368" w:right="359" w:bottom="1440" w:gutter="0" w:footer="0" w:header="0"/>
          <w:type w:val="continuous"/>
        </w:sectPr>
      </w:pPr>
    </w:p>
    <w:p>
      <w:pPr>
        <w:spacing w:after="0" w:line="33"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Bahnhofstrasse 1, 6340 Baar, Switzerland</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CH 6340</w:t>
      </w:r>
    </w:p>
    <w:p>
      <w:pPr>
        <w:spacing w:after="0" w:line="50"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+41.22.816.1500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15, 2016, Weatherford International Ltd, a Bermuda exempted company (“Weatherford Bermuda”) and an indirect wholly owned subsidiary of Weatherford International plc, an Irish public limited company (“Weatherford Ireland”), entered into a purchase agreement (the “Purchase Agreement”) with Weatherford Ireland, Weatherford International, LLC, a Delaware limited liability company and an indirect wholly owned subsidiary of Weatherford Ireland and an indirect subsidiary of Weatherford Bermuda (“Weatherford Delaware” and, together with Weatherford Bermuda and Weatherford Ireland, the “Weatherford Parties”), and Morgan Stanley &amp; Co. LLC (“Morgan Stanley”). The Purchase Agreement provides for the offer and sale (the “Notes Offering”) by Weatherford Bermuda, and the purchase by Morgan Stanley, of $540 million aggregate principal amount of Weatherford Bermuda’s 9.875% senior notes due 2024 (the “Notes”).</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Notes Offering closed on November 18, 2016. The sale of the Notes was not registered under the Securities Act of 1933, as amended (the “Securities Act”), and the Notes were sold on a private placement basis in reliance on Section 4(a)(2) of the Securities Act and Rule 144A and Regulation S thereunder. The net proceeds from the Notes Offering will be used to repay amounts outstanding under the Weatherford Parties’ revolving credit facility (the “Credit Facility”).</w:t>
      </w:r>
    </w:p>
    <w:p>
      <w:pPr>
        <w:spacing w:after="0" w:line="18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Purchase Agreement contains customary representations, warranties, covenants and agreements by the Weatherford Parties and Morgan Stanley, including for liabilities under the Securities Act, other obligations of the parties and termination provisions. The representations, warranties and covenants contained in the Purchase Agreement were made only for purposes of such agreement and as of specific dates, were solely for the benefit of the parties to such agreement, and may be subject to limitations agreed upon by the contracting parties.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 affiliate of Morgan Stanley is a lender under the Credit Facility and will receive a portion of the net proceeds from the Notes Offering due to the repayment of borrowings under the Credit Facility. Further, Morgan Stanley and its affiliates have performed commercial banking, investment banking and advisory services for the Weatherford Parties from time to time for which they have received customary fees and reimbursement of expenses. Morgan Stanley or its affiliates may, from time to time, engage in transactions with and perform services for the Weatherford Parties in the ordinary course of their business for which it may receive customary fees and reimbursement of expenses.</w:t>
      </w:r>
    </w:p>
    <w:p>
      <w:pPr>
        <w:spacing w:after="0" w:line="18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 copy of the Purchase Agreement is attached to this Current Report on Form 8-K as Exhibit 1.1 and is incorporated into this Item 1.01. The foregoing is only a description of the material terms of the Purchase Agreement and does not purport to be a complete description of the rights and obligations of the parties thereunder and such description is qualified in its entirety by reference to this Exhibit.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Eleventh Supplemental Indenture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18, 2016, Weatherford Bermuda issued the Notes under an Indenture (as previously supplemented and amended, the “Base Indenture”), dated as of October 1, 2003, among Weatherford Bermuda, as issuer, Weatherford International, Inc., as guarantor, and Deutsche Bank Trustee Company Americas, as trustee (the “Trustee”), as supplemented by the Eleventh Supplemental Indenture, dated as of November 18, 2016, by and among Weatherford Bermuda, as issuer, Weatherford Ireland, as guarantor, Weatherford Delaware, as guarantor, and the Trustee (the “Supplemental Indenture” and, together with the Base Indenture, the “Indenture”).</w:t>
      </w:r>
    </w:p>
    <w:p>
      <w:pPr>
        <w:spacing w:after="0" w:line="188"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Notes will pay interest semi-annually in arrears on February 15 and August 15 of each year, beginning on August 15, 2017. The Notes will mature on February 15, 2024 unless earlier repurchased or redeemed. The Notes will be fully and unconditionally guaranteed, on a senior, unsecured basis, by Weatherford Ireland and by Weatherford Delaware. We also refer to Weatherford Ireland and Weatherford Delaware together as the guarantors.</w:t>
      </w:r>
    </w:p>
    <w:p>
      <w:pPr>
        <w:sectPr>
          <w:pgSz w:w="11900" w:h="16838" w:orient="portrait"/>
          <w:cols w:equalWidth="0" w:num="1">
            <w:col w:w="11380"/>
          </w:cols>
          <w:pgMar w:left="240" w:top="270" w:right="279" w:bottom="1440" w:gutter="0" w:footer="0" w:header="0"/>
        </w:sectPr>
      </w:pPr>
    </w:p>
    <w:bookmarkStart w:id="2" w:name="page3"/>
    <w:bookmarkEnd w:id="2"/>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any time prior to November 15, 2023 (the “Par Call Date”), Weatherford Bermuda may, on any one or more occasions, redeem all or a part of the Notes, at a redemption price equal to 100% of the principal amount of the Notes to be redeemed, plus a “make-whole” amount as of, and accrued and unpaid interest, if any, to, the date of redemption. The Notes may also be redeemed after the Par Call Date at a price of 100% of the principal amount of the Notes to be redeemed, plus accrued and unpaid interest to the redemption date. Additionally, the Notes may be redeemed in limited circumstances in connection with a change in tax law.</w:t>
      </w:r>
    </w:p>
    <w:p>
      <w:pPr>
        <w:spacing w:after="0" w:line="18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If a “Change of Control Triggering Event” (as defined in the Indenture) occurs, then holders may require Weatherford Bermuda to repurchase their Notes at a cash repurchase price equal to 101% of the principal amount of the Notes to be repurchased, plus accrued and unpaid interest to the repurchase date.</w:t>
      </w:r>
    </w:p>
    <w:p>
      <w:pPr>
        <w:spacing w:after="0" w:line="12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Notes and the guarantees will be senior, unsecured obligations of Weatherford Bermuda and the guarantors, respectively, and will be (1) equal in right of payment with existing and future senior, unsecured indebtedness of Weatherford Bermuda and the guarantors, respectively; (2) senior in right of payment to existing and future indebtedness of Weatherford Bermuda and the guarantors, respectively, that is expressly subordinated to the Notes and the guarantees, as applicable; and (3) effectively subordinated to existing and future secured indebtedness of Weatherford Bermuda and the guarantors, respectively, to the extent of the value of the collateral securing that indebtedness. Holders’ right to payment under the Notes and the guarantees is also structurally subordinated to all existing and future indebtedness and other liabilities, including trade payables, and (to the extent Weatherford Bermuda, Weatherford Ireland or Weatherford Delaware, as applicable, is not a holder thereof) preferred equity, if any, of Weatherford Ireland’s subsidiaries, other than Weatherford Bermuda and Weatherford Delaware.</w:t>
      </w:r>
    </w:p>
    <w:p>
      <w:pPr>
        <w:spacing w:after="0" w:line="19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 copy of the Supplemental Indenture is attached to this Current Report on Form 8-K as Exhibit 4.1 and is incorporated into this Item 1.01. The foregoing is only a brief description of the material terms of the Supplemental Indenture and does not purport to be a complete description of the rights and obligations of the parties thereunder and such description is qualified in its entirety by reference to this Exhibit.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November 18, 2016, in connection with the closing of the sale of the Notes, the Weatherford Parties entered into a Registration Rights Agreement (the “Registration Rights Agreement”) with Morgan Stanley. Under the Registration Rights Agreement, Weatherford Bermuda and the guarantors have agreed to file and use commercially reasonable efforts to cause to become effective a registration statement with respect to an offer to exchange the Notes for substantially identical notes that are registered under the Securities Act so as to permit the exchange offer to be consummated no later than the 400th day following the issuance of the Notes. Under specified circumstances, Weatherford Bermuda and the guarantors have also agreed to use commercially reasonable efforts to cause to become effective a shelf registration statement relating to resales of the Notes. Weatherford Bermuda is required to pay additional interest (initially 1.0%, which amount will increase annually) if it fails to comply with the obligations to consummate the exchange offer or to cause a shelf registration statement relating to resales of the Notes to become effective within the time periods specified in the Registration Rights Agreement.</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description of the Registration Rights Agreement is qualified in its entirety by reference to the full text of the Registration Rights Agreement, a copy of which is filed as Exhibit 4.2 hereto and is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Registered Direct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November 16, 2016, Weatherford Ireland agreed to sell 84,500,000 of its ordinary shares, $0.001 par value (the “Shares”), to an institutional investor (the “Purchaser”) in a registered direct offering (the “Equity Offering”). The Shares were sold at a per share price of $5.40 for gross proceeds of approximately $456 million.</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Weatherford Ireland also agreed to issue a warrant (the “Warrant”) to the Purchaser for no additional consideration, which gives the Purchaser the right to purchase up to an aggregate of 84,500,000 Shares (together with the Warrant and the Shares, the “Securities”) which, if exercised at a future date at the exercise price of $6.43 per share, would result in additional proceeds of approximately $543 million (subject to adjustment as described in the Warrant). The Warrant is exercisable, in whole or in part, immediately and at any time prior to May 21, 2019. A copy of the form of Warrant is attached to this Current Report on Form 8-K as Exhibit 4.3 and is incorporated into this Item 1.01. The foregoing is only a description of the material terms of the Warrant and does not purport to be a complete description of the rights and obligations of the parties thereunder and such description is qualified in its entirety by reference to this Exhibit.</w:t>
      </w:r>
    </w:p>
    <w:p>
      <w:pPr>
        <w:sectPr>
          <w:pgSz w:w="11900" w:h="16838" w:orient="portrait"/>
          <w:cols w:equalWidth="0" w:num="1">
            <w:col w:w="11420"/>
          </w:cols>
          <w:pgMar w:left="240" w:top="274" w:right="239" w:bottom="1440" w:gutter="0" w:footer="0" w:header="0"/>
        </w:sectPr>
      </w:pPr>
    </w:p>
    <w:bookmarkStart w:id="3" w:name="page4"/>
    <w:bookmarkEnd w:id="3"/>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Securities have been registered under the Securities Act pursuant to Weatherford Ireland’s Registration Statement on Form S-3 (File No. 333-194431), which became effective immediately upon filing with the U.S. Securities and Exchange Commission (the “SEC”) on March 7, 2014, as amended, and as supplemented by the preliminary prospectus supplement filed with the SEC on November 16, 2016. Weatherford Ireland intends to use the net proceeds from the Equity Offering for general corporate purposes, including the repayment of existing indebtedness. The transaction closed on November 21, 2016.</w:t>
      </w:r>
    </w:p>
    <w:p>
      <w:pPr>
        <w:spacing w:after="0" w:line="15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connection with the Equity Offering, Weatherford Ireland entered into a placement agency agreement dated November 16, 2016 (the “Placement Agency Agreement”) by and between Weatherford Ireland and J.P. Morgan Securities LLC (the “Placement Agent”) to act as Weatherford Ireland’s placement agent in connection with the Equity Offering. The Placement Agency Agreement contains customary representations, warranties, covenants and agreements by Weatherford Ireland, indemnification obligations of Weatherford Ireland and the Placement Agent, including for liabilities under the Securities Act, other obligations of the parties and termination provisions. The representations, warranties and covenants contained in the Placement Agency Agreement were made only for purposes of such agreement and as of specific dates, were solely for the benefit of the parties to such agreement, and may be subject to limitations agreed upon by the contracting parties. A copy of the Placement Agency Agreement is attached to this Current Report on Form 8-K as Exhibit 1.2 and is incorporated into this Item 1.01. The foregoing is only a brief description of the material terms of the Placement Agency Agreement and does not purport to be a complete description of the rights and obligations of the parties thereunder and such description is qualified in its entirety by reference to this Exhibit.</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copy of the legal opinion of Matheson relating to the legality of the issuance and sale of the Shares and Warrant in the Equity Offering is filed herewith as Exhibit 5.1.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more fully described under the caption “Plan of Distribution (Conflicts of Interests)—Conflicts of Interest” in the prospectus supplement related to the Equity Offering, the Placement Agent or its affiliates have performed commercial banking, investment banking and advisory services for Weatherford Ireland and its affiliates from time to time for which they have received customary fees and reimbursement of expenses. The Placement Agent or its affiliates may, from time to time, engage in transactions with and perform services for Weatherford Ireland and its affiliates in the ordinary course of their business for which they may receive customary fees and reimbursement of expenses.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an affiliate of the Placement Agent is a lender under the Credit Facility and Weatherford Bermuda’s term loan agreement (the “Term Loan”) and may receive 5% or more of the net proceeds of the Equity Offering if we repay amounts outstanding under the Credit Facility or the Term Loan with the net proceeds from the Equity Offering, the Placement Agent is deemed to have a “conflict of interest” under the Financial Industry Regulatory Authority Rule 5121. Accordingly, the Equity Offering is being made in compliance with the requirements of Rule 5121. The appointment of a “qualified independent underwriter” is not required in connection with the Equity Offering as a “bona fide public market,” as defined in Rule 5121, exists for the Shares. In accordance with Rule 5121, the Placement Agent will not confirm sales to any account over which it exercises discretionary authority without the specific written approval of the transaction from the account holder.</w:t>
      </w:r>
    </w:p>
    <w:p>
      <w:pPr>
        <w:sectPr>
          <w:pgSz w:w="11900" w:h="16838" w:orient="portrait"/>
          <w:cols w:equalWidth="0" w:num="1">
            <w:col w:w="11400"/>
          </w:cols>
          <w:pgMar w:left="240" w:top="274" w:right="259" w:bottom="1440" w:gutter="0" w:footer="0" w:header="0"/>
        </w:sectPr>
      </w:pPr>
    </w:p>
    <w:bookmarkStart w:id="4" w:name="page5"/>
    <w:bookmarkEnd w:id="4"/>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regarding the Notes and the Indenture set forth in Item 1.01 of this report is incorporated into this Item 2.03.</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3"/>
              </w:rPr>
              <w:t>Purchase Agreement, dated November 15, 2016, by and among Weatherford International plc, Weatherford International Ltd., Weatherford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International, LLC and Morgan Stanley &amp; Co. LLC.</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1.2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4"/>
              </w:rPr>
              <w:t>Placement Agency Agreement, dated November 16, 2016, by and between Weatherford International plc and J.P. Morgan Securities LLC.</w:t>
            </w:r>
          </w:p>
        </w:tc>
        <w:tc>
          <w:tcPr>
            <w:tcW w:w="0" w:type="dxa"/>
            <w:vAlign w:val="bottom"/>
          </w:tcPr>
          <w:p>
            <w:pPr>
              <w:spacing w:after="0"/>
              <w:rPr>
                <w:sz w:val="1"/>
                <w:szCs w:val="1"/>
                <w:color w:val="auto"/>
              </w:rPr>
            </w:pPr>
          </w:p>
        </w:tc>
      </w:tr>
      <w:tr>
        <w:trPr>
          <w:trHeight w:val="310"/>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0"/>
              </w:rPr>
              <w:t>Eleventh Supplemental Indenture, dated November 18, 2016, by and among Weatherford International Ltd., as issuer, Weatherford International</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plc, as guarantor, Weatherford International, LLC, as guarantor, and Deutsche Bank Trustee Company Americas, as trustee.</w:t>
            </w:r>
          </w:p>
        </w:tc>
        <w:tc>
          <w:tcPr>
            <w:tcW w:w="0" w:type="dxa"/>
            <w:vAlign w:val="bottom"/>
          </w:tcPr>
          <w:p>
            <w:pPr>
              <w:spacing w:after="0"/>
              <w:rPr>
                <w:sz w:val="1"/>
                <w:szCs w:val="1"/>
                <w:color w:val="auto"/>
              </w:rPr>
            </w:pPr>
          </w:p>
        </w:tc>
      </w:tr>
      <w:tr>
        <w:trPr>
          <w:trHeight w:val="310"/>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6"/>
              </w:rPr>
              <w:t>Registration Rights Agreement, dated November 18, 2016, by and among Weatherford International plc, Weatherford International Ltd.,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Weatherford International, LLC and Morgan Stanley &amp; Co. LLC.</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4.3</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Form of Warrant.</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5.1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Opinion of Matheson.</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23.1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Consent of Matheson (included in Exhibit 5.1 hereto).</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5" w:name="page6"/>
    <w:bookmarkEnd w:id="5"/>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November 21, 2016</w:t>
      </w:r>
      <w:r>
        <w:rPr>
          <w:sz w:val="20"/>
          <w:szCs w:val="20"/>
          <w:color w:val="auto"/>
        </w:rPr>
        <w:tab/>
      </w: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Krishna Shivram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Executive Officer and Chief Financial Officer</w:t>
      </w:r>
    </w:p>
    <w:p>
      <w:pPr>
        <w:sectPr>
          <w:pgSz w:w="11900" w:h="16838" w:orient="portrait"/>
          <w:cols w:equalWidth="0" w:num="1">
            <w:col w:w="10740"/>
          </w:cols>
          <w:pgMar w:left="240" w:top="270" w:right="9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940" w:type="dxa"/>
            <w:vAlign w:val="bottom"/>
            <w:gridSpan w:val="3"/>
          </w:tcPr>
          <w:p>
            <w:pPr>
              <w:ind w:left="4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3"/>
              </w:rPr>
              <w:t>Purchase Agreement, dated November 15, 2016, by and among Weatherford International plc, Weatherford International Ltd., Weatherford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International, LLC and Morgan Stanley &amp; Co. LLC.</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1.2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4"/>
              </w:rPr>
              <w:t>Placement Agency Agreement, dated November 16, 2016, by and between Weatherford International plc and J.P. Morgan Securities LLC.</w:t>
            </w:r>
          </w:p>
        </w:tc>
        <w:tc>
          <w:tcPr>
            <w:tcW w:w="0" w:type="dxa"/>
            <w:vAlign w:val="bottom"/>
          </w:tcPr>
          <w:p>
            <w:pPr>
              <w:spacing w:after="0"/>
              <w:rPr>
                <w:sz w:val="1"/>
                <w:szCs w:val="1"/>
                <w:color w:val="auto"/>
              </w:rPr>
            </w:pPr>
          </w:p>
        </w:tc>
      </w:tr>
      <w:tr>
        <w:trPr>
          <w:trHeight w:val="310"/>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0"/>
              </w:rPr>
              <w:t>Eleventh Supplemental Indenture, dated November 18, 2016, by and among Weatherford International Ltd., as issuer, Weatherford International</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plc, as guarantor, Weatherford International, LLC, as guarantor, and Deutsche Bank Trustee Company Americas, as trustee.</w:t>
            </w:r>
          </w:p>
        </w:tc>
        <w:tc>
          <w:tcPr>
            <w:tcW w:w="0" w:type="dxa"/>
            <w:vAlign w:val="bottom"/>
          </w:tcPr>
          <w:p>
            <w:pPr>
              <w:spacing w:after="0"/>
              <w:rPr>
                <w:sz w:val="1"/>
                <w:szCs w:val="1"/>
                <w:color w:val="auto"/>
              </w:rPr>
            </w:pPr>
          </w:p>
        </w:tc>
      </w:tr>
      <w:tr>
        <w:trPr>
          <w:trHeight w:val="310"/>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6"/>
              </w:rPr>
              <w:t>Registration Rights Agreement, dated November 18, 2016, by and among Weatherford International plc, Weatherford International Ltd.,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Weatherford International, LLC and Morgan Stanley &amp; Co. LLC.</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4.3</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Form of Warrant.</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5.1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Opinion of Matheson.</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23.1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Consent of Matheson (included in Exhibit 5.1 hereto).</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00"/>
          </w:cols>
          <w:pgMar w:left="240" w:top="270"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Weatherford International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9.875% Senior Notes due 2024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225"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November 15,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Weatherford International Ltd., a Bermuda exempted company (the “</w:t>
      </w:r>
      <w:r>
        <w:rPr>
          <w:rFonts w:ascii="Arial" w:cs="Arial" w:eastAsia="Arial" w:hAnsi="Arial"/>
          <w:sz w:val="18"/>
          <w:szCs w:val="18"/>
          <w:b w:val="1"/>
          <w:bCs w:val="1"/>
          <w:color w:val="auto"/>
        </w:rPr>
        <w:t>Company</w:t>
      </w:r>
      <w:r>
        <w:rPr>
          <w:rFonts w:ascii="Arial" w:cs="Arial" w:eastAsia="Arial" w:hAnsi="Arial"/>
          <w:sz w:val="18"/>
          <w:szCs w:val="18"/>
          <w:color w:val="auto"/>
        </w:rPr>
        <w:t>”), proposes to sell to you (the “</w:t>
      </w:r>
      <w:r>
        <w:rPr>
          <w:rFonts w:ascii="Arial" w:cs="Arial" w:eastAsia="Arial" w:hAnsi="Arial"/>
          <w:sz w:val="18"/>
          <w:szCs w:val="18"/>
          <w:b w:val="1"/>
          <w:bCs w:val="1"/>
          <w:color w:val="auto"/>
        </w:rPr>
        <w:t>Initial Purchaser</w:t>
      </w:r>
      <w:r>
        <w:rPr>
          <w:rFonts w:ascii="Arial" w:cs="Arial" w:eastAsia="Arial" w:hAnsi="Arial"/>
          <w:sz w:val="18"/>
          <w:szCs w:val="18"/>
          <w:color w:val="auto"/>
        </w:rPr>
        <w:t>”)</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$540,000,000 principal amount of its 9.875% senior notes due 2024 (the “</w:t>
      </w:r>
      <w:r>
        <w:rPr>
          <w:rFonts w:ascii="Arial" w:cs="Arial" w:eastAsia="Arial" w:hAnsi="Arial"/>
          <w:sz w:val="17"/>
          <w:szCs w:val="17"/>
          <w:b w:val="1"/>
          <w:bCs w:val="1"/>
          <w:color w:val="auto"/>
        </w:rPr>
        <w:t>Notes</w:t>
      </w:r>
      <w:r>
        <w:rPr>
          <w:rFonts w:ascii="Arial" w:cs="Arial" w:eastAsia="Arial" w:hAnsi="Arial"/>
          <w:sz w:val="17"/>
          <w:szCs w:val="17"/>
          <w:color w:val="auto"/>
        </w:rPr>
        <w:t>”). As used herein, the term “</w:t>
      </w:r>
      <w:r>
        <w:rPr>
          <w:rFonts w:ascii="Arial" w:cs="Arial" w:eastAsia="Arial" w:hAnsi="Arial"/>
          <w:sz w:val="17"/>
          <w:szCs w:val="17"/>
          <w:b w:val="1"/>
          <w:bCs w:val="1"/>
          <w:color w:val="auto"/>
        </w:rPr>
        <w:t>Securities</w:t>
      </w:r>
      <w:r>
        <w:rPr>
          <w:rFonts w:ascii="Arial" w:cs="Arial" w:eastAsia="Arial" w:hAnsi="Arial"/>
          <w:sz w:val="17"/>
          <w:szCs w:val="17"/>
          <w:color w:val="auto"/>
        </w:rPr>
        <w:t>” collectively refers to the Notes and the Guarantees (as defined below). The Securities are to be issued under an Indenture, dated October 1, 2003 (the “</w:t>
      </w:r>
      <w:r>
        <w:rPr>
          <w:rFonts w:ascii="Arial" w:cs="Arial" w:eastAsia="Arial" w:hAnsi="Arial"/>
          <w:sz w:val="17"/>
          <w:szCs w:val="17"/>
          <w:b w:val="1"/>
          <w:bCs w:val="1"/>
          <w:color w:val="auto"/>
        </w:rPr>
        <w:t>Base Indenture</w:t>
      </w:r>
      <w:r>
        <w:rPr>
          <w:rFonts w:ascii="Arial" w:cs="Arial" w:eastAsia="Arial" w:hAnsi="Arial"/>
          <w:sz w:val="17"/>
          <w:szCs w:val="17"/>
          <w:color w:val="auto"/>
        </w:rPr>
        <w:t>”), as heretofore amended and supplemented by the Third, Seventh and Eighth Supplemental Indentures, and as to be amended and supplemented by an Eleventh Supplemental Indenture (the “</w:t>
      </w:r>
      <w:r>
        <w:rPr>
          <w:rFonts w:ascii="Arial" w:cs="Arial" w:eastAsia="Arial" w:hAnsi="Arial"/>
          <w:sz w:val="17"/>
          <w:szCs w:val="17"/>
          <w:b w:val="1"/>
          <w:bCs w:val="1"/>
          <w:color w:val="auto"/>
        </w:rPr>
        <w:t>Supplemental Indenture</w:t>
      </w:r>
      <w:r>
        <w:rPr>
          <w:rFonts w:ascii="Arial" w:cs="Arial" w:eastAsia="Arial" w:hAnsi="Arial"/>
          <w:sz w:val="17"/>
          <w:szCs w:val="17"/>
          <w:color w:val="auto"/>
        </w:rPr>
        <w:t>”), to be dated as of the Closing Date (as defined below), between the Company, the Guarantors (as defined below) and Deutsche Bank Trust Company Americas, as trustee (the “</w:t>
      </w:r>
      <w:r>
        <w:rPr>
          <w:rFonts w:ascii="Arial" w:cs="Arial" w:eastAsia="Arial" w:hAnsi="Arial"/>
          <w:sz w:val="17"/>
          <w:szCs w:val="17"/>
          <w:b w:val="1"/>
          <w:bCs w:val="1"/>
          <w:color w:val="auto"/>
        </w:rPr>
        <w:t>Trustee</w:t>
      </w:r>
      <w:r>
        <w:rPr>
          <w:rFonts w:ascii="Arial" w:cs="Arial" w:eastAsia="Arial" w:hAnsi="Arial"/>
          <w:sz w:val="17"/>
          <w:szCs w:val="17"/>
          <w:color w:val="auto"/>
        </w:rPr>
        <w:t>”) (the Base Indenture, as so amended and supplemented, the “</w:t>
      </w:r>
      <w:r>
        <w:rPr>
          <w:rFonts w:ascii="Arial" w:cs="Arial" w:eastAsia="Arial" w:hAnsi="Arial"/>
          <w:sz w:val="17"/>
          <w:szCs w:val="17"/>
          <w:b w:val="1"/>
          <w:bCs w:val="1"/>
          <w:color w:val="auto"/>
        </w:rPr>
        <w:t>Indenture</w:t>
      </w:r>
      <w:r>
        <w:rPr>
          <w:rFonts w:ascii="Arial" w:cs="Arial" w:eastAsia="Arial" w:hAnsi="Arial"/>
          <w:sz w:val="17"/>
          <w:szCs w:val="17"/>
          <w:color w:val="auto"/>
        </w:rPr>
        <w:t>”), and will be fully and unconditionally guaranteed on a senior unsecured basis (the “</w:t>
      </w:r>
      <w:r>
        <w:rPr>
          <w:rFonts w:ascii="Arial" w:cs="Arial" w:eastAsia="Arial" w:hAnsi="Arial"/>
          <w:sz w:val="17"/>
          <w:szCs w:val="17"/>
          <w:b w:val="1"/>
          <w:bCs w:val="1"/>
          <w:color w:val="auto"/>
        </w:rPr>
        <w:t>Guarantees</w:t>
      </w:r>
      <w:r>
        <w:rPr>
          <w:rFonts w:ascii="Arial" w:cs="Arial" w:eastAsia="Arial" w:hAnsi="Arial"/>
          <w:sz w:val="17"/>
          <w:szCs w:val="17"/>
          <w:color w:val="auto"/>
        </w:rPr>
        <w:t>”) by Weatherford International plc, an Irish public limited company (the “</w:t>
      </w:r>
      <w:r>
        <w:rPr>
          <w:rFonts w:ascii="Arial" w:cs="Arial" w:eastAsia="Arial" w:hAnsi="Arial"/>
          <w:sz w:val="17"/>
          <w:szCs w:val="17"/>
          <w:b w:val="1"/>
          <w:bCs w:val="1"/>
          <w:color w:val="auto"/>
        </w:rPr>
        <w:t>Parent Guarantor</w:t>
      </w:r>
      <w:r>
        <w:rPr>
          <w:rFonts w:ascii="Arial" w:cs="Arial" w:eastAsia="Arial" w:hAnsi="Arial"/>
          <w:sz w:val="17"/>
          <w:szCs w:val="17"/>
          <w:color w:val="auto"/>
        </w:rPr>
        <w:t>”), and Weatherford International, LLC, a Delaware limited liability company (the “</w:t>
      </w:r>
      <w:r>
        <w:rPr>
          <w:rFonts w:ascii="Arial" w:cs="Arial" w:eastAsia="Arial" w:hAnsi="Arial"/>
          <w:sz w:val="17"/>
          <w:szCs w:val="17"/>
          <w:b w:val="1"/>
          <w:bCs w:val="1"/>
          <w:color w:val="auto"/>
        </w:rPr>
        <w:t>Subsidiary Guarantor</w:t>
      </w:r>
      <w:r>
        <w:rPr>
          <w:rFonts w:ascii="Arial" w:cs="Arial" w:eastAsia="Arial" w:hAnsi="Arial"/>
          <w:sz w:val="17"/>
          <w:szCs w:val="17"/>
          <w:color w:val="auto"/>
        </w:rPr>
        <w:t>” and, together with the Parent Guarantor, the “</w:t>
      </w:r>
      <w:r>
        <w:rPr>
          <w:rFonts w:ascii="Arial" w:cs="Arial" w:eastAsia="Arial" w:hAnsi="Arial"/>
          <w:sz w:val="17"/>
          <w:szCs w:val="17"/>
          <w:b w:val="1"/>
          <w:bCs w:val="1"/>
          <w:color w:val="auto"/>
        </w:rPr>
        <w:t>Guarantors</w:t>
      </w:r>
      <w:r>
        <w:rPr>
          <w:rFonts w:ascii="Arial" w:cs="Arial" w:eastAsia="Arial" w:hAnsi="Arial"/>
          <w:sz w:val="17"/>
          <w:szCs w:val="17"/>
          <w:color w:val="auto"/>
        </w:rPr>
        <w:t>”), as set forth in the Indenture.</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holders of the Securities will be entitled to the benefits of a registration rights agreement, to be dated as of the Closing Date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among the Company, the Guarantors and the Initial Purchaser, pursuant to which the Company and the Guarantors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 to file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under the circumstances set forth therein, (i) a registration statement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Act (as defined below) relating to another series of debt securities of the Company with terms substantially identical to the Notes (the “</w:t>
      </w:r>
      <w:r>
        <w:rPr>
          <w:rFonts w:ascii="Arial" w:cs="Arial" w:eastAsia="Arial" w:hAnsi="Arial"/>
          <w:sz w:val="16"/>
          <w:szCs w:val="16"/>
          <w:b w:val="1"/>
          <w:bCs w:val="1"/>
          <w:color w:val="auto"/>
        </w:rPr>
        <w:t>Exchange Notes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be offered in exchange for the Notes (the “</w:t>
      </w:r>
      <w:r>
        <w:rPr>
          <w:rFonts w:ascii="Arial" w:cs="Arial" w:eastAsia="Arial" w:hAnsi="Arial"/>
          <w:sz w:val="17"/>
          <w:szCs w:val="17"/>
          <w:b w:val="1"/>
          <w:bCs w:val="1"/>
          <w:color w:val="auto"/>
        </w:rPr>
        <w:t>Exchange Offer</w:t>
      </w:r>
      <w:r>
        <w:rPr>
          <w:rFonts w:ascii="Arial" w:cs="Arial" w:eastAsia="Arial" w:hAnsi="Arial"/>
          <w:sz w:val="17"/>
          <w:szCs w:val="17"/>
          <w:color w:val="auto"/>
        </w:rPr>
        <w:t>”) and (ii) to the extent required by the Registration Rights Agreement, a shelf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 pursuant to Rule 415 under the Act relating to the resale by certain holders of the Notes, and in each case, to use its best efforts to cause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to be declared effective. The Exchange Notes and the Guarantees attached hereto are herein collectively referred to as the “</w:t>
      </w:r>
      <w:r>
        <w:rPr>
          <w:rFonts w:ascii="Arial" w:cs="Arial" w:eastAsia="Arial" w:hAnsi="Arial"/>
          <w:sz w:val="16"/>
          <w:szCs w:val="16"/>
          <w:b w:val="1"/>
          <w:bCs w:val="1"/>
          <w:color w:val="auto"/>
        </w:rPr>
        <w:t>Exchange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8" w:name="page9"/>
    <w:bookmarkEnd w:id="8"/>
    <w:p>
      <w:pPr>
        <w:ind w:right="60"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understands that the Initial Purchaser proposes to make an offering of the Securities on the terms and in the manner set forth herein and in the Pricing Disclosure Package (as defined below) and agrees that the Initial Purchaser may resell, subject to the conditions set forth herein, all or a portion of the Securities to purchasers (the “</w:t>
      </w:r>
      <w:r>
        <w:rPr>
          <w:rFonts w:ascii="Arial" w:cs="Arial" w:eastAsia="Arial" w:hAnsi="Arial"/>
          <w:sz w:val="17"/>
          <w:szCs w:val="17"/>
          <w:b w:val="1"/>
          <w:bCs w:val="1"/>
          <w:color w:val="auto"/>
        </w:rPr>
        <w:t>Subsequent Purchasers</w:t>
      </w:r>
      <w:r>
        <w:rPr>
          <w:rFonts w:ascii="Arial" w:cs="Arial" w:eastAsia="Arial" w:hAnsi="Arial"/>
          <w:sz w:val="17"/>
          <w:szCs w:val="17"/>
          <w:color w:val="auto"/>
        </w:rPr>
        <w:t>”) on the terms set forth in the Pricing Disclosure Package (the first time when sales of the Securities are made is referred to as the “</w:t>
      </w:r>
      <w:r>
        <w:rPr>
          <w:rFonts w:ascii="Arial" w:cs="Arial" w:eastAsia="Arial" w:hAnsi="Arial"/>
          <w:sz w:val="17"/>
          <w:szCs w:val="17"/>
          <w:b w:val="1"/>
          <w:bCs w:val="1"/>
          <w:color w:val="auto"/>
        </w:rPr>
        <w:t>Time of Sale</w:t>
      </w:r>
      <w:r>
        <w:rPr>
          <w:rFonts w:ascii="Arial" w:cs="Arial" w:eastAsia="Arial" w:hAnsi="Arial"/>
          <w:sz w:val="17"/>
          <w:szCs w:val="17"/>
          <w:color w:val="auto"/>
        </w:rPr>
        <w:t>”). The Securities are to be offered and sold to or through the Initial Purchaser without being registered with the Commission under the Act, in reliance upon exemptions therefrom. Pursuant to the terms of the Securities and the Indenture, investors who acquire the Securities will be deemed to have agreed that the Securities may only be resold or otherwise transferred, after the date hereof, if such Securities are registered for sale under the Act or if an exemption from the registration requirements of the Act is available (including the exemptions afforded by Rule 144A under the Act (“</w:t>
      </w:r>
      <w:r>
        <w:rPr>
          <w:rFonts w:ascii="Arial" w:cs="Arial" w:eastAsia="Arial" w:hAnsi="Arial"/>
          <w:sz w:val="17"/>
          <w:szCs w:val="17"/>
          <w:b w:val="1"/>
          <w:bCs w:val="1"/>
          <w:color w:val="auto"/>
        </w:rPr>
        <w:t>Rule 144A</w:t>
      </w:r>
      <w:r>
        <w:rPr>
          <w:rFonts w:ascii="Arial" w:cs="Arial" w:eastAsia="Arial" w:hAnsi="Arial"/>
          <w:sz w:val="17"/>
          <w:szCs w:val="17"/>
          <w:color w:val="auto"/>
        </w:rPr>
        <w:t>”) or Regulation S under the Act (“</w:t>
      </w:r>
      <w:r>
        <w:rPr>
          <w:rFonts w:ascii="Arial" w:cs="Arial" w:eastAsia="Arial" w:hAnsi="Arial"/>
          <w:sz w:val="17"/>
          <w:szCs w:val="17"/>
          <w:b w:val="1"/>
          <w:bCs w:val="1"/>
          <w:color w:val="auto"/>
        </w:rPr>
        <w:t>Regulation S</w:t>
      </w:r>
      <w:r>
        <w:rPr>
          <w:rFonts w:ascii="Arial" w:cs="Arial" w:eastAsia="Arial" w:hAnsi="Arial"/>
          <w:sz w:val="17"/>
          <w:szCs w:val="17"/>
          <w:color w:val="auto"/>
        </w:rPr>
        <w:t>”)).</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Company has prepared and delivered to the Initial Purchaser a Preliminary Offering Memorandum, dated November 15, 2016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Preliminary Memorandum</w:t>
      </w:r>
      <w:r>
        <w:rPr>
          <w:rFonts w:ascii="Arial" w:cs="Arial" w:eastAsia="Arial" w:hAnsi="Arial"/>
          <w:sz w:val="17"/>
          <w:szCs w:val="17"/>
          <w:color w:val="auto"/>
        </w:rPr>
        <w:t>”), and has prepared and delivered to the Initial Purchaser a Pricing Supplement, dated November 15, 2016 (the “</w:t>
      </w:r>
      <w:r>
        <w:rPr>
          <w:rFonts w:ascii="Arial" w:cs="Arial" w:eastAsia="Arial" w:hAnsi="Arial"/>
          <w:sz w:val="17"/>
          <w:szCs w:val="17"/>
          <w:b w:val="1"/>
          <w:bCs w:val="1"/>
          <w:color w:val="auto"/>
        </w:rPr>
        <w:t>Pricing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w:t>
      </w:r>
      <w:r>
        <w:rPr>
          <w:rFonts w:ascii="Arial" w:cs="Arial" w:eastAsia="Arial" w:hAnsi="Arial"/>
          <w:sz w:val="17"/>
          <w:szCs w:val="17"/>
          <w:color w:val="auto"/>
        </w:rPr>
        <w:t>”), describing the terms of the Securities, each for use by the Initial Purchaser in connection with its solicitation of offers to purchase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The Preliminary Memorandum and the Pricing Supplement are herein referred to as the “</w:t>
      </w:r>
      <w:r>
        <w:rPr>
          <w:rFonts w:ascii="Arial" w:cs="Arial" w:eastAsia="Arial" w:hAnsi="Arial"/>
          <w:sz w:val="17"/>
          <w:szCs w:val="17"/>
          <w:b w:val="1"/>
          <w:bCs w:val="1"/>
          <w:color w:val="auto"/>
        </w:rPr>
        <w:t>Pricing Disclosure Package</w:t>
      </w:r>
      <w:r>
        <w:rPr>
          <w:rFonts w:ascii="Arial" w:cs="Arial" w:eastAsia="Arial" w:hAnsi="Arial"/>
          <w:sz w:val="17"/>
          <w:szCs w:val="17"/>
          <w:color w:val="auto"/>
        </w:rPr>
        <w:t>.” Promptly after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is executed and delivered, the Company will prepare and deliver to the Initial Purchaser a Final Offering Memorandum dated the date hereof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Memorandum</w:t>
      </w:r>
      <w:r>
        <w:rPr>
          <w:rFonts w:ascii="Arial" w:cs="Arial" w:eastAsia="Arial" w:hAnsi="Arial"/>
          <w:sz w:val="18"/>
          <w:szCs w:val="18"/>
          <w:color w:val="auto"/>
        </w:rPr>
        <w: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hereby confirms its agreements with the Initial Purchaser as follows:</w:t>
      </w:r>
    </w:p>
    <w:p>
      <w:pPr>
        <w:spacing w:after="0" w:line="117" w:lineRule="exact"/>
        <w:rPr>
          <w:sz w:val="20"/>
          <w:szCs w:val="20"/>
          <w:color w:val="auto"/>
        </w:rPr>
      </w:pPr>
    </w:p>
    <w:p>
      <w:pPr>
        <w:ind w:right="180" w:firstLine="921"/>
        <w:spacing w:after="0" w:line="259" w:lineRule="auto"/>
        <w:tabs>
          <w:tab w:leader="none" w:pos="1093"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and the Guarantors jointly and severally represent and warrant to, and agree with, the Initial Purchaser as set forth below in this Section 1 (references in this Section 1 to the “</w:t>
      </w:r>
      <w:r>
        <w:rPr>
          <w:rFonts w:ascii="Arial" w:cs="Arial" w:eastAsia="Arial" w:hAnsi="Arial"/>
          <w:sz w:val="18"/>
          <w:szCs w:val="18"/>
          <w:b w:val="1"/>
          <w:bCs w:val="1"/>
          <w:color w:val="auto"/>
        </w:rPr>
        <w:t>Offering Memorandum</w:t>
      </w:r>
      <w:r>
        <w:rPr>
          <w:rFonts w:ascii="Arial" w:cs="Arial" w:eastAsia="Arial" w:hAnsi="Arial"/>
          <w:sz w:val="18"/>
          <w:szCs w:val="18"/>
          <w:color w:val="auto"/>
        </w:rPr>
        <w:t>” are to (x) the Pricing Disclosure Package in the case of representations and warranties made as of the date hereof and (y) the Pricing Disclosure Package and the Final Memorandum in the case of representations and warranties made as of the Closing Date).</w:t>
      </w:r>
    </w:p>
    <w:p>
      <w:pPr>
        <w:spacing w:after="0" w:line="79" w:lineRule="exact"/>
        <w:rPr>
          <w:sz w:val="20"/>
          <w:szCs w:val="20"/>
          <w:color w:val="auto"/>
        </w:rPr>
      </w:pPr>
    </w:p>
    <w:p>
      <w:pPr>
        <w:ind w:left="460" w:firstLine="443"/>
        <w:spacing w:after="0" w:line="257" w:lineRule="auto"/>
        <w:tabs>
          <w:tab w:leader="none" w:pos="1143"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to compliance by the Initial Purchaser with the representations and warranties set forth in Section 2 hereof and with the procedures set forth in Section 8 hereof, it is not necessary in connection with the offer, sale and delivery of the Securities to the Initial Purchaser and to each Subsequent Purchaser in the manner contemplated by this Agreement and the Offering Memorandum to register the Securities under the Act or, until such time as the Exchange Securities are issued pursuant to an effective registration statement, to qualify the Indenture under the Trust Indenture Act (as defined below).</w:t>
      </w:r>
    </w:p>
    <w:p>
      <w:pPr>
        <w:spacing w:after="0" w:line="76"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3"/>
        </w:numPr>
        <w:rPr>
          <w:rFonts w:ascii="Arial" w:cs="Arial" w:eastAsia="Arial" w:hAnsi="Arial"/>
          <w:sz w:val="17"/>
          <w:szCs w:val="17"/>
          <w:color w:val="auto"/>
        </w:rPr>
      </w:pPr>
      <w:r>
        <w:rPr>
          <w:rFonts w:ascii="Arial" w:cs="Arial" w:eastAsia="Arial" w:hAnsi="Arial"/>
          <w:sz w:val="17"/>
          <w:szCs w:val="17"/>
          <w:color w:val="auto"/>
        </w:rPr>
        <w:t>None of the Company, its affiliates (as such term is defined in Rule 501 under the Act) (each, an “</w:t>
      </w:r>
      <w:r>
        <w:rPr>
          <w:rFonts w:ascii="Arial" w:cs="Arial" w:eastAsia="Arial" w:hAnsi="Arial"/>
          <w:sz w:val="17"/>
          <w:szCs w:val="17"/>
          <w:b w:val="1"/>
          <w:bCs w:val="1"/>
          <w:color w:val="auto"/>
        </w:rPr>
        <w:t>Affiliate</w:t>
      </w:r>
      <w:r>
        <w:rPr>
          <w:rFonts w:ascii="Arial" w:cs="Arial" w:eastAsia="Arial" w:hAnsi="Arial"/>
          <w:sz w:val="17"/>
          <w:szCs w:val="17"/>
          <w:color w:val="auto"/>
        </w:rPr>
        <w:t>”), or any person acting on its or any of their behalf (other than the Initial Purchaser, as to whom the Company makes no representation or warranty) has, directly or indirectly, solicited any offer to buy or offered to sell, or will, directly or indirectly, solicit any offer to buy or offer to sell, in the United States or to any United States citizen or resident, any security which is or would be integrated with the sale of the Securities in a manner that would require the Securities to be registered under the Act. None of the Company, its Affiliates, or any person acting on its or any of their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9" w:name="page10"/>
    <w:bookmarkEnd w:id="9"/>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behalf (other than the Initial Purchaser, as to whom the Company makes no representation or warranty) has engaged or will engage, in connection with the offering of the Securities, in any form of general solicitation or general advertising within the meaning of Rule 502 under the Act. With respect to those Securities sold in reliance upon Regulation S, (i) none of the Company, its Affiliates or any person acting on its or their behalf (other than the Initial Purchaser, as to whom the Company makes no representation or warranty) has engaged or will engage in any directed selling efforts within the meaning of Regulation S and (ii) each of the Company and its Affiliates and any person acting on its or their behalf (other than the Initial Purchaser, as to whom the Company makes no representation or warranty) has complied and will comply with the offering restrictions set forth in Regulation S.</w:t>
      </w:r>
    </w:p>
    <w:p>
      <w:pPr>
        <w:spacing w:after="0" w:line="57" w:lineRule="exact"/>
        <w:rPr>
          <w:sz w:val="20"/>
          <w:szCs w:val="20"/>
          <w:color w:val="auto"/>
        </w:rPr>
      </w:pPr>
    </w:p>
    <w:p>
      <w:pPr>
        <w:jc w:val="both"/>
        <w:ind w:right="360" w:firstLine="443"/>
        <w:spacing w:after="0" w:line="264" w:lineRule="auto"/>
        <w:tabs>
          <w:tab w:leader="none" w:pos="683"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Securities are eligible for resale pursuant to Rule 144A and will not be, at the Closing Date, of the same class as securities listed on a national securities exchange registered under Section 6 of the Exchange Act (as defined below) or quoted in a U.S. automated interdealer quotation system.</w:t>
      </w:r>
    </w:p>
    <w:p>
      <w:pPr>
        <w:spacing w:after="0" w:line="73" w:lineRule="exact"/>
        <w:rPr>
          <w:rFonts w:ascii="Arial" w:cs="Arial" w:eastAsia="Arial" w:hAnsi="Arial"/>
          <w:sz w:val="18"/>
          <w:szCs w:val="18"/>
          <w:color w:val="auto"/>
        </w:rPr>
      </w:pPr>
    </w:p>
    <w:p>
      <w:pPr>
        <w:ind w:right="120" w:firstLine="443"/>
        <w:spacing w:after="0" w:line="272" w:lineRule="auto"/>
        <w:tabs>
          <w:tab w:leader="none" w:pos="693" w:val="left"/>
        </w:tabs>
        <w:numPr>
          <w:ilvl w:val="1"/>
          <w:numId w:val="4"/>
        </w:numPr>
        <w:rPr>
          <w:rFonts w:ascii="Arial" w:cs="Arial" w:eastAsia="Arial" w:hAnsi="Arial"/>
          <w:sz w:val="17"/>
          <w:szCs w:val="17"/>
          <w:color w:val="auto"/>
        </w:rPr>
      </w:pPr>
      <w:r>
        <w:rPr>
          <w:rFonts w:ascii="Arial" w:cs="Arial" w:eastAsia="Arial" w:hAnsi="Arial"/>
          <w:sz w:val="17"/>
          <w:szCs w:val="17"/>
          <w:color w:val="auto"/>
        </w:rPr>
        <w:t>Neither the Pricing Disclosure Package, as of the Time of Sale, nor the Final Memorandum, as of its date or (as amended or supplemented in accordance with Section 5(a), as applicable) as of the Closing Date, contains or represents any untrue statement of a material fact or omits to state any material fact necessary in order to make the statements therein, in the light of the circumstances under which they were made, not misleading. The preceding sentence does not apply to statements in or omissions from the Pricing Disclosure Package, the Final Memorandum or any amendment or supplement thereto based upon and in conformity with written information furnished to the Company or the Guarantors by the Initial Purchaser specifically for use therein, it being understood and agreed that the only such information furnished by or on behalf of the Initial Purchaser consists of the information described as such in Section 9 hereof.</w:t>
      </w:r>
    </w:p>
    <w:p>
      <w:pPr>
        <w:spacing w:after="0" w:line="69" w:lineRule="exact"/>
        <w:rPr>
          <w:rFonts w:ascii="Arial" w:cs="Arial" w:eastAsia="Arial" w:hAnsi="Arial"/>
          <w:sz w:val="17"/>
          <w:szCs w:val="17"/>
          <w:color w:val="auto"/>
        </w:rPr>
      </w:pPr>
    </w:p>
    <w:p>
      <w:pPr>
        <w:ind w:right="320" w:firstLine="443"/>
        <w:spacing w:after="0" w:line="291" w:lineRule="auto"/>
        <w:tabs>
          <w:tab w:leader="none" w:pos="683"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Company and the Guarantors have not prepared, made, used, authorized, approved or distributed and will not prepare, make, use, authorize, approve or distribute any written communication that constitutes an offer to sell or solicitation of an offer to buy the Securities other than</w:t>
      </w:r>
    </w:p>
    <w:p>
      <w:pPr>
        <w:ind w:firstLine="4"/>
        <w:spacing w:after="0" w:line="268" w:lineRule="auto"/>
        <w:tabs>
          <w:tab w:leader="none" w:pos="21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Pricing Disclosure Package, (ii) the Final Memorandum and (iii) any electronic road show or other written communications, in each case used in accordance with Section 5(a). Each such communication by the Company, the Guarantors or their agents and representatives pursuant to clause (iii) of the preceding sentence (each, a “</w:t>
      </w:r>
      <w:r>
        <w:rPr>
          <w:rFonts w:ascii="Arial" w:cs="Arial" w:eastAsia="Arial" w:hAnsi="Arial"/>
          <w:sz w:val="17"/>
          <w:szCs w:val="17"/>
          <w:b w:val="1"/>
          <w:bCs w:val="1"/>
          <w:color w:val="auto"/>
        </w:rPr>
        <w:t>Company Additional Written Communication</w:t>
      </w:r>
      <w:r>
        <w:rPr>
          <w:rFonts w:ascii="Arial" w:cs="Arial" w:eastAsia="Arial" w:hAnsi="Arial"/>
          <w:sz w:val="17"/>
          <w:szCs w:val="17"/>
          <w:color w:val="auto"/>
        </w:rPr>
        <w:t>”), when taken together with the Pricing Disclosure Package, did not as of the Time of Sale, and at the Closing Date will not, contain any untrue statement of a material fact or omit to state a material fact necessary in order to make the statements therein, in the light of the circumstances under which they were made, not misleading; provided that this representation, warranty and agreement shall not apply to statements in or omissions from each such Company Additional Written Communication made in reliance upon and in conformity with information furnished to the Company in writing by the Initial Purchaser expressly for use in any Company Additional Written Communication.</w:t>
      </w:r>
    </w:p>
    <w:p>
      <w:pPr>
        <w:spacing w:after="0" w:line="11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74" w:right="239" w:bottom="1440" w:gutter="0" w:footer="0" w:header="0"/>
        </w:sectPr>
      </w:pPr>
    </w:p>
    <w:bookmarkStart w:id="10" w:name="page11"/>
    <w:bookmarkEnd w:id="10"/>
    <w:p>
      <w:pPr>
        <w:ind w:right="100" w:firstLine="443"/>
        <w:spacing w:after="0" w:line="297" w:lineRule="auto"/>
        <w:tabs>
          <w:tab w:leader="none" w:pos="663"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documents incorporated or deemed to be incorporated by reference in the Offering Memorandum, when they became effective or at the time they were or hereafter are filed with the Commission (collectively the “</w:t>
      </w:r>
      <w:r>
        <w:rPr>
          <w:rFonts w:ascii="Arial" w:cs="Arial" w:eastAsia="Arial" w:hAnsi="Arial"/>
          <w:sz w:val="16"/>
          <w:szCs w:val="16"/>
          <w:b w:val="1"/>
          <w:bCs w:val="1"/>
          <w:color w:val="auto"/>
        </w:rPr>
        <w:t>Incorporated Documents</w:t>
      </w:r>
      <w:r>
        <w:rPr>
          <w:rFonts w:ascii="Arial" w:cs="Arial" w:eastAsia="Arial" w:hAnsi="Arial"/>
          <w:sz w:val="16"/>
          <w:szCs w:val="16"/>
          <w:color w:val="auto"/>
        </w:rPr>
        <w:t>”) complied and will comply in all material respects with the requirements of the Exchange Act. Each such Incorporated Document, when taken together with the Pricing Disclosure Package, did not as of the Time of Sale, and at the Closing Date will not, contain any untrue statement of a material fact or omit to state a material fact necessary in order to make the statements therein, in the light of the circumstances under which they were made, not misleading.</w:t>
      </w:r>
    </w:p>
    <w:p>
      <w:pPr>
        <w:spacing w:after="0" w:line="50" w:lineRule="exact"/>
        <w:rPr>
          <w:rFonts w:ascii="Arial" w:cs="Arial" w:eastAsia="Arial" w:hAnsi="Arial"/>
          <w:sz w:val="16"/>
          <w:szCs w:val="16"/>
          <w:color w:val="auto"/>
        </w:rPr>
      </w:pPr>
    </w:p>
    <w:p>
      <w:pPr>
        <w:jc w:val="both"/>
        <w:ind w:right="400" w:firstLine="443"/>
        <w:spacing w:after="0" w:line="264"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interactive data in the eXtensible Business Reporting Language included or incorporated by reference in the Offering Memorandum fairly presents the information called for in all material respects and has been prepared in accordance with the Commission’s rules and guidelines applicable thereto.</w:t>
      </w:r>
    </w:p>
    <w:p>
      <w:pPr>
        <w:spacing w:after="0" w:line="73" w:lineRule="exact"/>
        <w:rPr>
          <w:rFonts w:ascii="Arial" w:cs="Arial" w:eastAsia="Arial" w:hAnsi="Arial"/>
          <w:sz w:val="18"/>
          <w:szCs w:val="18"/>
          <w:color w:val="auto"/>
        </w:rPr>
      </w:pPr>
    </w:p>
    <w:p>
      <w:pPr>
        <w:ind w:right="120" w:firstLine="443"/>
        <w:spacing w:after="0" w:line="264"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accounting firm that certified the financial statements and supporting schedules included or incorporated by reference in the Offering Memorandum of the Company is an independent registered public accounting firm as required by the Act, the Exchange Act and the Public Company Accounting Oversight Board.</w:t>
      </w:r>
    </w:p>
    <w:p>
      <w:pPr>
        <w:spacing w:after="0" w:line="73" w:lineRule="exact"/>
        <w:rPr>
          <w:rFonts w:ascii="Arial" w:cs="Arial" w:eastAsia="Arial" w:hAnsi="Arial"/>
          <w:sz w:val="18"/>
          <w:szCs w:val="18"/>
          <w:color w:val="auto"/>
        </w:rPr>
      </w:pPr>
    </w:p>
    <w:p>
      <w:pPr>
        <w:ind w:firstLine="443"/>
        <w:spacing w:after="0" w:line="269" w:lineRule="auto"/>
        <w:tabs>
          <w:tab w:leader="none" w:pos="653"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consolidated financial statements included or incorporated by reference in the Offering Memorandum present fairly in all material respects the balance sheets of the Parent Guarantor and its consolidated subsidiaries at the dates indicated and the statements of operations, comprehensive income, shareholders’ equity and cash flows of the Parent Guarantor and its consolidated subsidiaries for the periods specified, all prepared in conformity with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(subject, in the case of interim statements, to normal year-end audit adjustments); the consolidated financial statements and the related financial statement schedules included in the Offering Memorandum comply as to form in all material respects with the applicable accounting requirements of the Act and the Exchange Act and the related rules and regulations adopted by the Commission; and neither the Company nor either Guarantor has any material contingent obligation that is not disclosed in such financial statements or in the Offering Memorandum. The supporting schedules, if any, included in the Offering Memorandum present fairly in accordance with GAAP the information required to be stated therein. The capitalization table and the ratio of earnings to fixed charges included in the Final Memorandum and the Pricing Disclosure Package present fairly the information shown therein and have been prepared on a basis consistent with that of the audited financial statements included in the Offering Memorandum.</w:t>
      </w:r>
    </w:p>
    <w:p>
      <w:pPr>
        <w:spacing w:after="0" w:line="74" w:lineRule="exact"/>
        <w:rPr>
          <w:rFonts w:ascii="Arial" w:cs="Arial" w:eastAsia="Arial" w:hAnsi="Arial"/>
          <w:sz w:val="17"/>
          <w:szCs w:val="17"/>
          <w:color w:val="auto"/>
        </w:rPr>
      </w:pPr>
    </w:p>
    <w:p>
      <w:pPr>
        <w:ind w:firstLine="443"/>
        <w:spacing w:after="0" w:line="276" w:lineRule="auto"/>
        <w:tabs>
          <w:tab w:leader="none" w:pos="653" w:val="left"/>
        </w:tabs>
        <w:numPr>
          <w:ilvl w:val="0"/>
          <w:numId w:val="6"/>
        </w:numPr>
        <w:rPr>
          <w:rFonts w:ascii="Arial" w:cs="Arial" w:eastAsia="Arial" w:hAnsi="Arial"/>
          <w:sz w:val="17"/>
          <w:szCs w:val="17"/>
          <w:color w:val="auto"/>
        </w:rPr>
      </w:pPr>
      <w:r>
        <w:rPr>
          <w:rFonts w:ascii="Arial" w:cs="Arial" w:eastAsia="Arial" w:hAnsi="Arial"/>
          <w:sz w:val="17"/>
          <w:szCs w:val="17"/>
          <w:color w:val="auto"/>
        </w:rPr>
        <w:t>Since the respective dates as of which information is given in the Offering Memorandum, except as otherwise stated therein, (i) there has been no material adverse change in the consolidated financial position, shareholders’ equity, prospects, results of operations or business of the Company, the Parent Guarantor and their respective subsidiaries considered as one enterprise, whether or not arising in the ordinary course of business (a “</w:t>
      </w:r>
      <w:r>
        <w:rPr>
          <w:rFonts w:ascii="Arial" w:cs="Arial" w:eastAsia="Arial" w:hAnsi="Arial"/>
          <w:sz w:val="17"/>
          <w:szCs w:val="17"/>
          <w:b w:val="1"/>
          <w:bCs w:val="1"/>
          <w:color w:val="auto"/>
        </w:rPr>
        <w:t>Material</w:t>
      </w:r>
      <w:r>
        <w:rPr>
          <w:rFonts w:ascii="Arial" w:cs="Arial" w:eastAsia="Arial" w:hAnsi="Arial"/>
          <w:sz w:val="17"/>
          <w:szCs w:val="17"/>
          <w:color w:val="auto"/>
        </w:rPr>
        <w:t xml:space="preserve"> </w:t>
      </w:r>
      <w:r>
        <w:rPr>
          <w:rFonts w:ascii="Arial" w:cs="Arial" w:eastAsia="Arial" w:hAnsi="Arial"/>
          <w:sz w:val="17"/>
          <w:szCs w:val="17"/>
          <w:b w:val="1"/>
          <w:bCs w:val="1"/>
          <w:color w:val="auto"/>
        </w:rPr>
        <w:t>Adverse Effect</w:t>
      </w:r>
      <w:r>
        <w:rPr>
          <w:rFonts w:ascii="Arial" w:cs="Arial" w:eastAsia="Arial" w:hAnsi="Arial"/>
          <w:sz w:val="17"/>
          <w:szCs w:val="17"/>
          <w:color w:val="auto"/>
        </w:rPr>
        <w:t>”), (ii) there have been no transactions entered into by the Company, either of the Guarantors or any of their respective subsidiaries,</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those in the ordinary course of business, which are material with respect to the</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74" w:right="279" w:bottom="1440" w:gutter="0" w:footer="0" w:header="0"/>
        </w:sectPr>
      </w:pPr>
    </w:p>
    <w:bookmarkStart w:id="11" w:name="page12"/>
    <w:bookmarkEnd w:id="11"/>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the Parent Guarantor and their respective subsidiaries considered as one enterprise, and (iii) there has been no dividend or distribution of any kind declared, paid or made by either the Company (other than to the Parent Guarantor or its wholly owned subsidiaries) or the Parent Guarantor on any class of its share capital.</w:t>
      </w:r>
    </w:p>
    <w:p>
      <w:pPr>
        <w:spacing w:after="0" w:line="73" w:lineRule="exact"/>
        <w:rPr>
          <w:sz w:val="20"/>
          <w:szCs w:val="20"/>
          <w:color w:val="auto"/>
        </w:rPr>
      </w:pPr>
    </w:p>
    <w:p>
      <w:pPr>
        <w:ind w:firstLine="443"/>
        <w:spacing w:after="0" w:line="285" w:lineRule="auto"/>
        <w:tabs>
          <w:tab w:leader="none" w:pos="69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as an exempted company in good standing under the laws of Bermuda and has corporate power and authority to own, lease and operate its properties and to conduct its business as described in the Offering Memorandum and to enter into and perform its obligations under this Agreement, the Indenture and the Notes; the Parent Guarantor has been duly organized and is validly existing as a public limited company in good standing (to the extent applicable) under the laws of Ireland and has company power and authority to own, lease and operate its properties and to conduct its business as described in the Offering Memorandum and to enter into and perform its obligations under this Agreement, the Indenture and its Guarantee; the Subsidiary Guarantor has been duly organized and is validly existing as a limited liability company in good standing under the laws of the State of Delaware and has limited liability company power and authority to own, lease and operate its properties and to conduct its business as described in the Offering Memorandum and to enter into and perform its obligations under this Agreement, the Indenture and its Guarantee; the Company is duly qualified as a foreign corporation to transact business and is in good standing (to the extent applicable) in each other jurisdiction in which such qualification is required, whether by reason of the ownership or leasing of property or the conduct of business, except where the failure so to qualify or to be in good standing (to the extent applicable) would not result in a Material Adverse Effect; the Parent Guarantor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to be in good standing would not result in a Material Adverse Effect; the Subsidiary Guarantor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to be in good standing would not result in a Material Adverse Effect.</w:t>
      </w:r>
    </w:p>
    <w:p>
      <w:pPr>
        <w:spacing w:after="0" w:line="69" w:lineRule="exact"/>
        <w:rPr>
          <w:rFonts w:ascii="Arial" w:cs="Arial" w:eastAsia="Arial" w:hAnsi="Arial"/>
          <w:sz w:val="16"/>
          <w:szCs w:val="16"/>
          <w:color w:val="auto"/>
        </w:rPr>
      </w:pPr>
    </w:p>
    <w:p>
      <w:pPr>
        <w:ind w:firstLine="443"/>
        <w:spacing w:after="0" w:line="255" w:lineRule="auto"/>
        <w:tabs>
          <w:tab w:leader="none" w:pos="653"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of the subsidiaries (as defined in Rule 405 under the Act) of the Company and the Parent Guarantor have been duly incorporated or formed and are validly existing as corporations, limited liability companies, limited partnerships or other forms of entities, as the case may be, in good standing under the laws of their respective jurisdictions of incorporation or formation (to the extent applicable), have the requisite power and authority to own their respective properties and conduct their respective businesses, are duly qualified to do business and are in good standing as foreign corporations, limited liability companies, limited partnerships or other forms of entities in each jurisdiction in which their respective ownership or lease of property or the conduct of their respective businesses requires such qualification, except to the extent that the failure to be so qualified or be in good standing would not have a Material Adverse Effect.</w:t>
      </w:r>
    </w:p>
    <w:p>
      <w:pPr>
        <w:spacing w:after="0" w:line="12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12" w:name="page13"/>
    <w:bookmarkEnd w:id="12"/>
    <w:p>
      <w:pPr>
        <w:ind w:firstLine="443"/>
        <w:spacing w:after="0" w:line="273" w:lineRule="auto"/>
        <w:tabs>
          <w:tab w:leader="none" w:pos="743" w:val="left"/>
        </w:tabs>
        <w:numPr>
          <w:ilvl w:val="0"/>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Parent Guarantor’s authorized equity capitalization is as set forth in the Offering Memorandum, and all of the issued shares of the Parent Guarantor conform to the description thereof contained in the Offering Memorandum; the issued ordinary shares, par value $0.001 USD per share (the “</w:t>
      </w:r>
      <w:r>
        <w:rPr>
          <w:rFonts w:ascii="Arial" w:cs="Arial" w:eastAsia="Arial" w:hAnsi="Arial"/>
          <w:sz w:val="17"/>
          <w:szCs w:val="17"/>
          <w:b w:val="1"/>
          <w:bCs w:val="1"/>
          <w:color w:val="auto"/>
        </w:rPr>
        <w:t>Ordinary Shares</w:t>
      </w:r>
      <w:r>
        <w:rPr>
          <w:rFonts w:ascii="Arial" w:cs="Arial" w:eastAsia="Arial" w:hAnsi="Arial"/>
          <w:sz w:val="17"/>
          <w:szCs w:val="17"/>
          <w:color w:val="auto"/>
        </w:rPr>
        <w:t>”), of the Parent Guarantor have been duly and validly authorized and issued, are fully paid and non-assessable; and, except as set forth in the Offering Memorandum, no options, warrants or other rights to purchase, agreements or other obligations to issue, or rights to convert any obligations into or exchange any securities for, shares of capital stock of or ownership interests in the Company or the Parent Guarantor are outstanding; the Company is an indirect, wholly owned subsidiary of the Parent Guarantor.</w:t>
      </w:r>
    </w:p>
    <w:p>
      <w:pPr>
        <w:spacing w:after="0" w:line="70" w:lineRule="exact"/>
        <w:rPr>
          <w:rFonts w:ascii="Arial" w:cs="Arial" w:eastAsia="Arial" w:hAnsi="Arial"/>
          <w:sz w:val="17"/>
          <w:szCs w:val="17"/>
          <w:color w:val="auto"/>
        </w:rPr>
      </w:pPr>
    </w:p>
    <w:p>
      <w:pPr>
        <w:ind w:right="20" w:firstLine="443"/>
        <w:spacing w:after="0" w:line="271" w:lineRule="auto"/>
        <w:tabs>
          <w:tab w:leader="none" w:pos="693"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the outstanding shares of capital stock of each subsidiary of each of the Company and the Parent Guarantor have been duly and validly authorized and issued and are fully paid and non-assessable and, except as otherwise set forth in the Offering Memorandum and other than the equity interests in joint ventures that are held by third parties, all outstanding shares of capital stock of each subsidiary of each of the Company and the Parent Guarantor are owned by the Company or the Parent Guarantor, as the case may be, either directly or through wholly owned subsidiaries, free and clear of all liens, encumbrances, equities or claims except for liens, encumbrances, equities or claims permitted or arising under or in connection with that certain Term Loan Agreement, dated May 4, 2016, by and among the Company, as borrower, the Parent Guarantor, as guarantor, the lenders party thereto and J.P. Morgan Chase Bank, N.A., as administrative agent and lender; and the Ordinary Shares are duly listed, and admitted and authorized for trading on the New York Stock Exchange.</w:t>
      </w:r>
    </w:p>
    <w:p>
      <w:pPr>
        <w:spacing w:after="0" w:line="70" w:lineRule="exact"/>
        <w:rPr>
          <w:rFonts w:ascii="Arial" w:cs="Arial" w:eastAsia="Arial" w:hAnsi="Arial"/>
          <w:sz w:val="17"/>
          <w:szCs w:val="17"/>
          <w:color w:val="auto"/>
        </w:rPr>
      </w:pPr>
    </w:p>
    <w:p>
      <w:pPr>
        <w:ind w:left="700" w:hanging="257"/>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the Guarantors.</w:t>
      </w:r>
    </w:p>
    <w:p>
      <w:pPr>
        <w:spacing w:after="0" w:line="117" w:lineRule="exact"/>
        <w:rPr>
          <w:rFonts w:ascii="Arial" w:cs="Arial" w:eastAsia="Arial" w:hAnsi="Arial"/>
          <w:sz w:val="18"/>
          <w:szCs w:val="18"/>
          <w:color w:val="auto"/>
        </w:rPr>
      </w:pPr>
    </w:p>
    <w:p>
      <w:pPr>
        <w:ind w:firstLine="443"/>
        <w:spacing w:after="0" w:line="257" w:lineRule="auto"/>
        <w:tabs>
          <w:tab w:leader="none" w:pos="69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Registration Rights Agreement has been duly authorized and, on the Closing Date, will have been duly executed and delivered by, and will constitute a valid and binding agreement of, the Company and the Guarantors, enforceable against the Company and the Guarantors in accordance with its terms, except as the enforcement thereof may be limited by bankruptcy, insolvency, reorganization, moratorium or other similar laws relating to or affecting the rights and remedies of creditors or by general equitable principles and except as rights to indemnification may be limited by applicable law.</w:t>
      </w:r>
    </w:p>
    <w:p>
      <w:pPr>
        <w:spacing w:after="0" w:line="80" w:lineRule="exact"/>
        <w:rPr>
          <w:rFonts w:ascii="Arial" w:cs="Arial" w:eastAsia="Arial" w:hAnsi="Arial"/>
          <w:sz w:val="18"/>
          <w:szCs w:val="18"/>
          <w:color w:val="auto"/>
        </w:rPr>
      </w:pPr>
    </w:p>
    <w:p>
      <w:pPr>
        <w:ind w:right="40" w:firstLine="443"/>
        <w:spacing w:after="0" w:line="297" w:lineRule="auto"/>
        <w:tabs>
          <w:tab w:leader="none" w:pos="69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Indenture has been duly authorized by the Company and the Guarantors, and duly executed and delivered by the Company and the Guarantors. The Indenture constitutes a valid and binding agreement of the Company and the Guarantors, enforceable against the Company and the Guarantors in accordance with its terms, except as the enforcement thereof may be limited by bankruptcy, insolvency (including, without limitation, all laws relating to fraudulent transfers), reorganization, moratorium or similar laws affecting enforcement of creditors’ rights generally and except as enforcement thereof is subject to general principles of equity (regardless of whether enforcement is considered in a proceeding in equity or at law).</w:t>
      </w:r>
    </w:p>
    <w:p>
      <w:pPr>
        <w:spacing w:after="0" w:line="9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700" w:top="274" w:right="279" w:bottom="1440" w:gutter="0" w:footer="0" w:header="0"/>
        </w:sectPr>
      </w:pPr>
    </w:p>
    <w:bookmarkStart w:id="13" w:name="page14"/>
    <w:bookmarkEnd w:id="13"/>
    <w:p>
      <w:pPr>
        <w:ind w:right="60" w:firstLine="443"/>
        <w:spacing w:after="0" w:line="290" w:lineRule="auto"/>
        <w:tabs>
          <w:tab w:leader="none" w:pos="663" w:val="left"/>
        </w:tabs>
        <w:numPr>
          <w:ilvl w:val="1"/>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Securities have been duly authorized and, at the Closing Date, will have been duly executed by the Company and each of the Guarantors, as the case may be, for issuance and sale pursuant to this Agreement. The Securities, when authenticated, issued and delivered in the manner provided for in the Indenture and delivered against payment of the purchase price therefor as provided in this Agreement, will have been duly executed, authenticated, issued and delivered and will constitute valid and binding obligations of the Company and the Guarantors, enforceable against the Company and each Guarantor, as the case may be, in accordance with their terms, except as the enforcement thereof may be limited by bankruptcy, insolvency (including, without limitation, all laws relating to fraudulent transfers), reorganization, moratorium or similar laws affecting enforcement of creditors’ rights generally and except as enforcement thereof is subject to general principles of equity (regardless of whether enforcement is considered in a proceeding in equity or at law), and will be in the form contemplated by, and entitled to the benefits of, the Indenture.</w:t>
      </w:r>
    </w:p>
    <w:p>
      <w:pPr>
        <w:spacing w:after="0" w:line="58" w:lineRule="exact"/>
        <w:rPr>
          <w:rFonts w:ascii="Arial" w:cs="Arial" w:eastAsia="Arial" w:hAnsi="Arial"/>
          <w:sz w:val="16"/>
          <w:szCs w:val="16"/>
          <w:color w:val="auto"/>
        </w:rPr>
      </w:pPr>
    </w:p>
    <w:p>
      <w:pPr>
        <w:ind w:right="440" w:firstLine="443"/>
        <w:spacing w:after="0" w:line="277" w:lineRule="auto"/>
        <w:tabs>
          <w:tab w:leader="none" w:pos="673"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Securities, the Registration Rights Agreement, the Exchange Securities and the Indenture will conform in all material respects to the respective statements relating thereto contained in the Offering Memorandum.</w:t>
      </w:r>
    </w:p>
    <w:p>
      <w:pPr>
        <w:spacing w:after="0" w:line="62" w:lineRule="exact"/>
        <w:rPr>
          <w:rFonts w:ascii="Arial" w:cs="Arial" w:eastAsia="Arial" w:hAnsi="Arial"/>
          <w:sz w:val="18"/>
          <w:szCs w:val="18"/>
          <w:color w:val="auto"/>
        </w:rPr>
      </w:pPr>
    </w:p>
    <w:p>
      <w:pPr>
        <w:ind w:left="660" w:hanging="217"/>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Neither the Company, either of the Guarantors nor any of their respective subsidiaries is (i) in violation of its charter, constitution,</w:t>
      </w:r>
    </w:p>
    <w:p>
      <w:pPr>
        <w:spacing w:after="0" w:line="23" w:lineRule="exact"/>
        <w:rPr>
          <w:rFonts w:ascii="Arial" w:cs="Arial" w:eastAsia="Arial" w:hAnsi="Arial"/>
          <w:sz w:val="18"/>
          <w:szCs w:val="18"/>
          <w:color w:val="auto"/>
        </w:rPr>
      </w:pPr>
    </w:p>
    <w:p>
      <w:pPr>
        <w:spacing w:after="0" w:line="281" w:lineRule="auto"/>
        <w:rPr>
          <w:rFonts w:ascii="Arial" w:cs="Arial" w:eastAsia="Arial" w:hAnsi="Arial"/>
          <w:sz w:val="18"/>
          <w:szCs w:val="18"/>
          <w:color w:val="auto"/>
        </w:rPr>
      </w:pPr>
      <w:r>
        <w:rPr>
          <w:rFonts w:ascii="Arial" w:cs="Arial" w:eastAsia="Arial" w:hAnsi="Arial"/>
          <w:sz w:val="16"/>
          <w:szCs w:val="16"/>
          <w:color w:val="auto"/>
        </w:rPr>
        <w:t>memorandum and articles of association or bye-laws or similar governing document, as applicable, (ii) in default, and no event has occurred which, with notice or lapse of time or both, would constitute such a default, in the due performance or observance of any term, obligation, agreement, covenant or condition contained in any contract, indenture, mortgage, deed of trust, loan or credit agreement, lease or other agreement or instrument to which it is a party or by which it is bound or which any of its properties or assets may be subject (collectively, “</w:t>
      </w:r>
      <w:r>
        <w:rPr>
          <w:rFonts w:ascii="Arial" w:cs="Arial" w:eastAsia="Arial" w:hAnsi="Arial"/>
          <w:sz w:val="16"/>
          <w:szCs w:val="16"/>
          <w:b w:val="1"/>
          <w:bCs w:val="1"/>
          <w:color w:val="auto"/>
        </w:rPr>
        <w:t>Agreements and Instruments</w:t>
      </w:r>
      <w:r>
        <w:rPr>
          <w:rFonts w:ascii="Arial" w:cs="Arial" w:eastAsia="Arial" w:hAnsi="Arial"/>
          <w:sz w:val="16"/>
          <w:szCs w:val="16"/>
          <w:color w:val="auto"/>
        </w:rPr>
        <w:t>”) or (iii) in violation of any law, ordinance, governmental rule, regulation or court decree to which it or its property or assets may be subject, except with respect to</w:t>
      </w:r>
    </w:p>
    <w:p>
      <w:pPr>
        <w:spacing w:after="0" w:line="3" w:lineRule="exact"/>
        <w:rPr>
          <w:rFonts w:ascii="Arial" w:cs="Arial" w:eastAsia="Arial" w:hAnsi="Arial"/>
          <w:sz w:val="18"/>
          <w:szCs w:val="18"/>
          <w:color w:val="auto"/>
        </w:rPr>
      </w:pPr>
    </w:p>
    <w:p>
      <w:pPr>
        <w:ind w:right="60" w:firstLine="4"/>
        <w:spacing w:after="0" w:line="286" w:lineRule="auto"/>
        <w:tabs>
          <w:tab w:leader="none" w:pos="265" w:val="left"/>
        </w:tabs>
        <w:numPr>
          <w:ilvl w:val="0"/>
          <w:numId w:val="10"/>
        </w:numPr>
        <w:rPr>
          <w:rFonts w:ascii="Arial" w:cs="Arial" w:eastAsia="Arial" w:hAnsi="Arial"/>
          <w:sz w:val="16"/>
          <w:szCs w:val="16"/>
          <w:color w:val="auto"/>
        </w:rPr>
      </w:pPr>
      <w:r>
        <w:rPr>
          <w:rFonts w:ascii="Arial" w:cs="Arial" w:eastAsia="Arial" w:hAnsi="Arial"/>
          <w:sz w:val="16"/>
          <w:szCs w:val="16"/>
          <w:color w:val="auto"/>
        </w:rPr>
        <w:t>or (iii), for any such violations or defaults that would not be reasonably likely, singly or in the aggregate, to have a Material Adverse Effect; and the execution, delivery and performance of this Agreement, the Indenture, the Registration Rights Agreement and the Securities and the consummation of the transactions contemplated herein and in the Offering Memorandum (including the issuance and sale of the Securities and the use of the proceeds from the sale of the Securities as described in the Offering Memorandum under the caption “Use of Proceeds”) and compliance by the Company and the Guarantors with their respective obligations hereunder and under the Indenture, the Registration Rights Agreement and the Securities and the fulfillment of the terms hereof or thereof, have been duly authorized by all necessary corporate action and do not and will not, whether with or without the giving of notice or passage of time or both, (i) conflict with or result in a breach or violation of any of the terms or provisions of, or constitute a default or Repayment Event (as defined below) under, or result in the creation or imposition of any lien, charge or encumbrance upon any property or assets of the Company or either of the Guarantors or any of their respective subsidiaries pursuant to, the Agreements and Instruments, (ii) result in any violation of the provisions of the charter, articles or memorandum of association, organizational regulations or bye-laws (or similar governing</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4" w:name="page15"/>
    <w:bookmarkEnd w:id="1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document) of the Company or either Guarantor or any of their respective subsidiaries or (iii) result in any violation of any applicable law, statute, rule, regulation, judgment, order, writ or decree of any government, government instrumentality or court, domestic or foreign, having jurisdiction over the Company or the Guarantors or any of their respective subsidiaries or any of their assets, properties or operations; except for such conflict, breach, violation or default which would, for purposes of clauses (i) and (iii) above, either individually or in the aggregate, not have a Material Adverse Effect or materially and adversely affect the consummation of the transactions contemplated in this Agreement or the performance by the Company and each Guarantor of their respective obligations hereunder. As used herein, a “</w:t>
      </w:r>
      <w:r>
        <w:rPr>
          <w:rFonts w:ascii="Arial" w:cs="Arial" w:eastAsia="Arial" w:hAnsi="Arial"/>
          <w:sz w:val="16"/>
          <w:szCs w:val="16"/>
          <w:b w:val="1"/>
          <w:bCs w:val="1"/>
          <w:color w:val="auto"/>
        </w:rPr>
        <w:t>Repayment Event</w:t>
      </w:r>
      <w:r>
        <w:rPr>
          <w:rFonts w:ascii="Arial" w:cs="Arial" w:eastAsia="Arial" w:hAnsi="Arial"/>
          <w:sz w:val="16"/>
          <w:szCs w:val="16"/>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either Guarantor or any of their respective subsidiaries.</w:t>
      </w:r>
    </w:p>
    <w:p>
      <w:pPr>
        <w:spacing w:after="0" w:line="54" w:lineRule="exact"/>
        <w:rPr>
          <w:sz w:val="20"/>
          <w:szCs w:val="20"/>
          <w:color w:val="auto"/>
        </w:rPr>
      </w:pPr>
    </w:p>
    <w:p>
      <w:pPr>
        <w:ind w:right="40" w:firstLine="443"/>
        <w:spacing w:after="0" w:line="270" w:lineRule="auto"/>
        <w:tabs>
          <w:tab w:leader="none" w:pos="693"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 respect to the ordinary share options (the “</w:t>
      </w:r>
      <w:r>
        <w:rPr>
          <w:rFonts w:ascii="Arial" w:cs="Arial" w:eastAsia="Arial" w:hAnsi="Arial"/>
          <w:sz w:val="17"/>
          <w:szCs w:val="17"/>
          <w:b w:val="1"/>
          <w:bCs w:val="1"/>
          <w:color w:val="auto"/>
        </w:rPr>
        <w:t>Ordinary Share Options</w:t>
      </w:r>
      <w:r>
        <w:rPr>
          <w:rFonts w:ascii="Arial" w:cs="Arial" w:eastAsia="Arial" w:hAnsi="Arial"/>
          <w:sz w:val="17"/>
          <w:szCs w:val="17"/>
          <w:color w:val="auto"/>
        </w:rPr>
        <w:t>”) granted pursuant to the ordinary share-based compensation plans of the Parent Guarantor and its subsidiaries (the “</w:t>
      </w:r>
      <w:r>
        <w:rPr>
          <w:rFonts w:ascii="Arial" w:cs="Arial" w:eastAsia="Arial" w:hAnsi="Arial"/>
          <w:sz w:val="17"/>
          <w:szCs w:val="17"/>
          <w:b w:val="1"/>
          <w:bCs w:val="1"/>
          <w:color w:val="auto"/>
        </w:rPr>
        <w:t>Parent Ordinary Share Plans</w:t>
      </w:r>
      <w:r>
        <w:rPr>
          <w:rFonts w:ascii="Arial" w:cs="Arial" w:eastAsia="Arial" w:hAnsi="Arial"/>
          <w:sz w:val="17"/>
          <w:szCs w:val="17"/>
          <w:color w:val="auto"/>
        </w:rPr>
        <w:t>”), (i) each grant of an Ordinary Share Option was duly authorized no later than the date on which the grant of such Ordinary Share Option was by its terms to be effective by all necessary corporate action, including, as applicable, approval by the board of directors of the Parent Guarantor (or a duly constituted and authorized committee thereof) and any required shareholder approval by the necessary number of votes or written consents, and the award agreement governing such grant (if any) was duly executed and delivered by each party thereto, and (ii) each such grant was made in accordance with the terms of the Parent Ordinary Share Plans, the Act, the Exchange Act and all other applicable laws and regulatory rules or requirements. The Parent Guarantor has not knowingly granted, and there is no and has been no policy or practice of the Parent Guarantor of granting, Ordinary Share Options prior to, or otherwise coordinating the grant of Ordinary Share Options with, the release or other public announcement of material information regarding the Parent Guarantor or its subsidiaries or their results of operations or prospects.</w:t>
      </w:r>
    </w:p>
    <w:p>
      <w:pPr>
        <w:spacing w:after="0" w:line="73" w:lineRule="exact"/>
        <w:rPr>
          <w:rFonts w:ascii="Arial" w:cs="Arial" w:eastAsia="Arial" w:hAnsi="Arial"/>
          <w:sz w:val="17"/>
          <w:szCs w:val="17"/>
          <w:color w:val="auto"/>
        </w:rPr>
      </w:pPr>
    </w:p>
    <w:p>
      <w:pPr>
        <w:ind w:right="220" w:firstLine="443"/>
        <w:spacing w:after="0" w:line="259" w:lineRule="auto"/>
        <w:tabs>
          <w:tab w:leader="none" w:pos="6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labor dispute with the employees of the Company, either Guarantor or any of their respective subsidiaries exists or, to the knowledge of the Company or either Guarantor, is imminent, which would reasonably be expected to have a Material Adverse Effect; and there are no significant unfair labor practice complaints pending against the Company, either Guarantor or any of their respective subsidiaries or, to the knowledge of the Company or either Guarantor, threatened against any of them.</w:t>
      </w:r>
    </w:p>
    <w:p>
      <w:pPr>
        <w:spacing w:after="0" w:line="78" w:lineRule="exact"/>
        <w:rPr>
          <w:rFonts w:ascii="Arial" w:cs="Arial" w:eastAsia="Arial" w:hAnsi="Arial"/>
          <w:sz w:val="18"/>
          <w:szCs w:val="18"/>
          <w:color w:val="auto"/>
        </w:rPr>
      </w:pPr>
    </w:p>
    <w:p>
      <w:pPr>
        <w:ind w:firstLine="443"/>
        <w:spacing w:after="0" w:line="276" w:lineRule="auto"/>
        <w:tabs>
          <w:tab w:leader="none" w:pos="733"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Except as described in the Offering Memorandum, there is no action, suit, proceeding, inquiry or investigation before or brought by any court or governmental agency or body, domestic or foreign, now pending, or, to the knowledge of the Company or either Guarantor, threatened, against or affecting the Company, either Guarantor or any of their respective subsidiaries, which would reasonably be expected to result in a Material Adverse Effect, or which would reasonably be expected to materially and adversely affect the consummation of the transactions contemplated in this Agreement or the performance by the Company and the Guarantors of their respective obligations</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15" w:name="page16"/>
    <w:bookmarkEnd w:id="15"/>
    <w:p>
      <w:pPr>
        <w:jc w:val="both"/>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hereunder; the aggregate of all pending legal or governmental proceedings to which the Company, the Guarantors or any of their respective subsidiaries is a party or of which any of their respective property or assets is the subject which are not described in the Offering Memorandum, including ordinary routine litigation incidental to the business, would not reasonably be expected to result in a Material Adverse Effect.</w:t>
      </w:r>
    </w:p>
    <w:p>
      <w:pPr>
        <w:spacing w:after="0" w:line="57" w:lineRule="exact"/>
        <w:rPr>
          <w:sz w:val="20"/>
          <w:szCs w:val="20"/>
          <w:color w:val="auto"/>
        </w:rPr>
      </w:pPr>
    </w:p>
    <w:p>
      <w:pPr>
        <w:ind w:right="60" w:firstLine="443"/>
        <w:spacing w:after="0" w:line="302" w:lineRule="auto"/>
        <w:tabs>
          <w:tab w:leader="none" w:pos="69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the Guarantors and their respective subsidiaries own or possess adequate rights to use all material patents, patent applications, trademarks, service marks, trade names, trademark registrations, service mark registrations, copyrights and licenses necessary for the conduct of their respective businesses and have no reason to believe that the conduct of their respective businesses will conflict with, and have not received any notice of any claim of conflict with, any such rights of others, except where such conflict could not reasonably be expected to have a Material Adverse Effect.</w:t>
      </w:r>
    </w:p>
    <w:p>
      <w:pPr>
        <w:spacing w:after="0" w:line="46" w:lineRule="exact"/>
        <w:rPr>
          <w:rFonts w:ascii="Arial" w:cs="Arial" w:eastAsia="Arial" w:hAnsi="Arial"/>
          <w:sz w:val="16"/>
          <w:szCs w:val="16"/>
          <w:color w:val="auto"/>
        </w:rPr>
      </w:pPr>
    </w:p>
    <w:p>
      <w:pPr>
        <w:ind w:right="120" w:firstLine="443"/>
        <w:spacing w:after="0" w:line="286" w:lineRule="auto"/>
        <w:tabs>
          <w:tab w:leader="none" w:pos="693"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None of the Company, the Guarantors or any of their affiliates has taken, nor will the Company, the Guarantors or any of their affiliates take, directly or indirectly, any action which is designed to or which has constituted or which would be expected to cause or result in stabilization or manipulation of the price of any security of the Company or either Guarantor to facilitate the sale or resale of the Securities.</w:t>
      </w:r>
    </w:p>
    <w:p>
      <w:pPr>
        <w:spacing w:after="0" w:line="57" w:lineRule="exact"/>
        <w:rPr>
          <w:rFonts w:ascii="Arial" w:cs="Arial" w:eastAsia="Arial" w:hAnsi="Arial"/>
          <w:sz w:val="17"/>
          <w:szCs w:val="17"/>
          <w:color w:val="auto"/>
        </w:rPr>
      </w:pPr>
    </w:p>
    <w:p>
      <w:pPr>
        <w:ind w:firstLine="443"/>
        <w:spacing w:after="0" w:line="271" w:lineRule="auto"/>
        <w:tabs>
          <w:tab w:leader="none" w:pos="683"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filing with, or authorization, approval, consent, license, order, registration, qualification or decree of, any court or governmental authority or agency is necessary or required for the performance by the Company and the Guarantors of their respective obligations hereunder, in connection with the offering, issuance or sale of the Securities hereunder or the consummation of the transactions contemplated by this Agreement, or for the due execution, delivery or performance of the Indenture by the Company and each Guarantor, except (i) as may be required under the Act or state or securities laws and the Companies Act 1981 of Bermuda or (ii) as have already been made, obtained or rendered, as applicable, and except where the failure to so make, obtain or render, singly or in the aggregate, would not reasonably be expected to result in a Material Adverse Effect or (iii) for the order of the Commission declaring effective the Exchange Offer Registration Statement or, if required, the Shelf Registration Statement (each as defined in the Registration Rights Agreement).</w:t>
      </w:r>
    </w:p>
    <w:p>
      <w:pPr>
        <w:spacing w:after="0" w:line="71" w:lineRule="exact"/>
        <w:rPr>
          <w:sz w:val="20"/>
          <w:szCs w:val="20"/>
          <w:color w:val="auto"/>
        </w:rPr>
      </w:pPr>
    </w:p>
    <w:p>
      <w:pPr>
        <w:ind w:right="180" w:firstLine="443"/>
        <w:spacing w:after="0" w:line="291" w:lineRule="auto"/>
        <w:tabs>
          <w:tab w:leader="none" w:pos="76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the Guarantors and their respective subsidiaries possess such permits, licenses, approvals, consents and other authorizations (collectively, “</w:t>
      </w:r>
      <w:r>
        <w:rPr>
          <w:rFonts w:ascii="Arial" w:cs="Arial" w:eastAsia="Arial" w:hAnsi="Arial"/>
          <w:sz w:val="16"/>
          <w:szCs w:val="16"/>
          <w:b w:val="1"/>
          <w:bCs w:val="1"/>
          <w:color w:val="auto"/>
        </w:rPr>
        <w:t>Governmental Licenses</w:t>
      </w:r>
      <w:r>
        <w:rPr>
          <w:rFonts w:ascii="Arial" w:cs="Arial" w:eastAsia="Arial" w:hAnsi="Arial"/>
          <w:sz w:val="16"/>
          <w:szCs w:val="16"/>
          <w:color w:val="auto"/>
        </w:rPr>
        <w:t>”) issued by the appropriate federal, state, local or foreign regulatory agencies or bodies necessary to conduct the business now operated by them, except where the failure so to possess would not, singly or in the aggregate, reasonably be expected to result in a Material Adverse Effect; the Company, the Guarantors and their respective subsidiaries are in compliance with the terms and conditions of all such Governmental Licenses, except where the failure so to comply would not, singly or in the aggregate, reasonably be expected to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reasonably be expected to result in</w:t>
      </w:r>
    </w:p>
    <w:p>
      <w:pPr>
        <w:spacing w:after="0" w:line="10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16" w:name="page17"/>
    <w:bookmarkEnd w:id="16"/>
    <w:p>
      <w:pPr>
        <w:ind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Material Adverse Effect; and neither the Company, the Guarantors nor any of their respective subsidiaries has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73" w:lineRule="exact"/>
        <w:rPr>
          <w:sz w:val="20"/>
          <w:szCs w:val="20"/>
          <w:color w:val="auto"/>
        </w:rPr>
      </w:pPr>
    </w:p>
    <w:p>
      <w:pPr>
        <w:ind w:firstLine="443"/>
        <w:spacing w:after="0" w:line="269" w:lineRule="auto"/>
        <w:tabs>
          <w:tab w:leader="none" w:pos="783"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Company, the Guarantors and their respective subsidiaries have good and indefeasible title in fee simple to all real property owned by the Company, the Guarantors or their respective subsidiaries, as applicable, and good and valid title to all other properties owned by them, in each case, free and clear of all mortgages, pledges, liens, security interests, claims, restrictions or encumbrances of any kind except such as (i) are described in the Offering Memorandum or (ii) would not, singly or in the aggregate, reasonably be expected to result in a Material Adverse Effect; and all of the leases and subleases material to the business of the Company, the Guarantors and their respective subsidiaries, and under which the Company, the Guarantors or any of their respective subsidiaries holds properties described in the Offering Memorandum, are in full force and effect, and neither the Company, the Guarantors nor any of their respective subsidiaries has any notice of any claim of any sort that has been asserted by anyone adverse to the rights of the Company, the Guarantors or any of their respective subsidiaries under any of the leases or subleases mentioned above, or affecting or questioning the rights of the Company, the Guarantors or any such subsidiary to the continued possession of the leased or subleased premises under any such lease or sublease except such as (i) are described in the Offering Memorandum or (ii) would not, singly or in the aggregate, reasonably be expected to result in a Material Adverse Effect.</w:t>
      </w:r>
    </w:p>
    <w:p>
      <w:pPr>
        <w:spacing w:after="0" w:line="74" w:lineRule="exact"/>
        <w:rPr>
          <w:rFonts w:ascii="Arial" w:cs="Arial" w:eastAsia="Arial" w:hAnsi="Arial"/>
          <w:sz w:val="17"/>
          <w:szCs w:val="17"/>
          <w:color w:val="auto"/>
        </w:rPr>
      </w:pPr>
    </w:p>
    <w:p>
      <w:pPr>
        <w:jc w:val="both"/>
        <w:ind w:right="240" w:firstLine="443"/>
        <w:spacing w:after="0" w:line="312" w:lineRule="auto"/>
        <w:tabs>
          <w:tab w:leader="none" w:pos="763" w:val="left"/>
        </w:tabs>
        <w:numPr>
          <w:ilvl w:val="1"/>
          <w:numId w:val="14"/>
        </w:numPr>
        <w:rPr>
          <w:rFonts w:ascii="Arial" w:cs="Arial" w:eastAsia="Arial" w:hAnsi="Arial"/>
          <w:sz w:val="16"/>
          <w:szCs w:val="16"/>
          <w:color w:val="auto"/>
        </w:rPr>
      </w:pPr>
      <w:r>
        <w:rPr>
          <w:rFonts w:ascii="Arial" w:cs="Arial" w:eastAsia="Arial" w:hAnsi="Arial"/>
          <w:sz w:val="16"/>
          <w:szCs w:val="16"/>
          <w:color w:val="auto"/>
        </w:rPr>
        <w:t>Except as described in the Offering Memorandum, there are no stock or transfer taxes, stamp duties or other similar fees or charges under Federal law or the laws of Bermuda, Ireland or Switzerland or any political subdivision thereof, required to be paid in connection with the execution and delivery of this Agreement or the issuance, sale or delivery by the Company and the Guarantors of the Securities.</w:t>
      </w:r>
    </w:p>
    <w:p>
      <w:pPr>
        <w:spacing w:after="0" w:line="38" w:lineRule="exact"/>
        <w:rPr>
          <w:rFonts w:ascii="Arial" w:cs="Arial" w:eastAsia="Arial" w:hAnsi="Arial"/>
          <w:sz w:val="16"/>
          <w:szCs w:val="16"/>
          <w:color w:val="auto"/>
        </w:rPr>
      </w:pPr>
    </w:p>
    <w:p>
      <w:pPr>
        <w:ind w:right="80" w:firstLine="443"/>
        <w:spacing w:after="0" w:line="264" w:lineRule="auto"/>
        <w:tabs>
          <w:tab w:leader="none" w:pos="783" w:val="left"/>
        </w:tabs>
        <w:numPr>
          <w:ilvl w:val="1"/>
          <w:numId w:val="14"/>
        </w:numPr>
        <w:rPr>
          <w:rFonts w:ascii="Arial" w:cs="Arial" w:eastAsia="Arial" w:hAnsi="Arial"/>
          <w:sz w:val="18"/>
          <w:szCs w:val="18"/>
          <w:color w:val="auto"/>
        </w:rPr>
      </w:pPr>
      <w:r>
        <w:rPr>
          <w:rFonts w:ascii="Arial" w:cs="Arial" w:eastAsia="Arial" w:hAnsi="Arial"/>
          <w:sz w:val="18"/>
          <w:szCs w:val="18"/>
          <w:color w:val="auto"/>
        </w:rPr>
        <w:t>Neither the Company nor either Guarantor is, and upon the issuance and sale of the Securities as herein contemplated and the application of the net proceeds therefrom as described in the Offering Memorandum, will be, an “investment company” or an entity “controlled” by an “investment company,” as such terms are defined in the U.S. Investment Company Act of 1940, as amended.</w:t>
      </w:r>
    </w:p>
    <w:p>
      <w:pPr>
        <w:spacing w:after="0" w:line="73" w:lineRule="exact"/>
        <w:rPr>
          <w:rFonts w:ascii="Arial" w:cs="Arial" w:eastAsia="Arial" w:hAnsi="Arial"/>
          <w:sz w:val="18"/>
          <w:szCs w:val="18"/>
          <w:color w:val="auto"/>
        </w:rPr>
      </w:pPr>
    </w:p>
    <w:p>
      <w:pPr>
        <w:ind w:left="760" w:hanging="317"/>
        <w:spacing w:after="0"/>
        <w:tabs>
          <w:tab w:leader="none" w:pos="7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Except as described in the Offering Memorandum and except as would not, singly or in the aggregate, result in a Material Adverse Effect,</w:t>
      </w:r>
    </w:p>
    <w:p>
      <w:pPr>
        <w:spacing w:after="0" w:line="46" w:lineRule="exact"/>
        <w:rPr>
          <w:rFonts w:ascii="Arial" w:cs="Arial" w:eastAsia="Arial" w:hAnsi="Arial"/>
          <w:sz w:val="16"/>
          <w:szCs w:val="16"/>
          <w:color w:val="auto"/>
        </w:rPr>
      </w:pPr>
    </w:p>
    <w:p>
      <w:pPr>
        <w:ind w:right="40" w:firstLine="4"/>
        <w:spacing w:after="0" w:line="292" w:lineRule="auto"/>
        <w:tabs>
          <w:tab w:leader="none" w:pos="2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neither the Company, the Guarantors nor any of their respective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w:t>
      </w:r>
    </w:p>
    <w:p>
      <w:pPr>
        <w:spacing w:after="0" w:line="9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74" w:right="279" w:bottom="1440" w:gutter="0" w:footer="0" w:header="0"/>
        </w:sectPr>
      </w:pPr>
    </w:p>
    <w:bookmarkStart w:id="17" w:name="page18"/>
    <w:bookmarkEnd w:id="17"/>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petroleum or petroleum products, asbestos-containing materials or mold (collectively, “</w:t>
      </w:r>
      <w:r>
        <w:rPr>
          <w:rFonts w:ascii="Arial" w:cs="Arial" w:eastAsia="Arial" w:hAnsi="Arial"/>
          <w:sz w:val="17"/>
          <w:szCs w:val="17"/>
          <w:b w:val="1"/>
          <w:bCs w:val="1"/>
          <w:color w:val="auto"/>
        </w:rPr>
        <w:t>Hazardous 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(ii) the Company, the Guarantors and their respective subsidiaries have all permits, authorizations and approvals required under any applicable Environmental Laws and are each in compliance with their requirements, (iii) there are no pending or, to the knowledge of the Company or the Guarantors, threatened administrative, regulatory or judicial actions, suits, demands, demand letters, claims, liens, notices of noncompliance or violation, investigation or proceedings relating to any Environmental Law against the Company, the Guarantors or any of their respective subsidiaries and (iv) there are no events or circumstances that would reasonably be expected to form the basis of an order for clean-up or remediation, or an action, suit or proceeding by any private party or governmental body or agency, against or affecting the Company, the Guarantors or any of their respective subsidiaries relating to Hazardous Materials or any Environmental Laws.</w:t>
      </w:r>
    </w:p>
    <w:p>
      <w:pPr>
        <w:spacing w:after="0" w:line="70" w:lineRule="exact"/>
        <w:rPr>
          <w:sz w:val="20"/>
          <w:szCs w:val="20"/>
          <w:color w:val="auto"/>
        </w:rPr>
      </w:pPr>
    </w:p>
    <w:p>
      <w:pPr>
        <w:ind w:right="20" w:firstLine="443"/>
        <w:spacing w:after="0" w:line="279"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material tax returns required to be filed by the Company or the Guarantors have been timely filed or are in the process of being filed, and all material taxes and other assessments of a similar nature (whether imposed directly or through withholding) including any interest, additions to tax or penalties applicable thereto due or claimed to be due from the Company or the Guarantors have been timely paid, other than such tax returns, taxes or other assessments (i) being contested in good faith or (ii) for which adequate reserves have been provided.</w:t>
      </w:r>
    </w:p>
    <w:p>
      <w:pPr>
        <w:spacing w:after="0" w:line="63" w:lineRule="exact"/>
        <w:rPr>
          <w:rFonts w:ascii="Arial" w:cs="Arial" w:eastAsia="Arial" w:hAnsi="Arial"/>
          <w:sz w:val="17"/>
          <w:szCs w:val="17"/>
          <w:color w:val="auto"/>
        </w:rPr>
      </w:pPr>
    </w:p>
    <w:p>
      <w:pPr>
        <w:ind w:right="200" w:firstLine="443"/>
        <w:spacing w:after="0" w:line="272" w:lineRule="auto"/>
        <w:tabs>
          <w:tab w:leader="none" w:pos="783"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Neither the Company, the Guarantors nor any of their respective subsidiaries has sustained, since the date of the latest audited financial statements included in the Offering Memorandum, any material loss or interference with its business from fire, explosion, flood or other calamity, whether or not covered by insurance, or from any labor dispute or court or governmental action, order or decree, otherwise than as set forth or contemplated in the Offering Memorandum; and, since such date, there has not been any material change in the share capital or long-term debt of the Company, the Guarantors or any of their respective subsidiaries, or any material adverse change or any development involving a prospective material adverse change in the condition, financial or otherwise, or in the earnings or business of the Company, the Guarantors or their respective subsidiaries, otherwise than as set forth or contemplated in the Offering Memorandum.</w:t>
      </w:r>
    </w:p>
    <w:p>
      <w:pPr>
        <w:spacing w:after="0" w:line="69" w:lineRule="exact"/>
        <w:rPr>
          <w:rFonts w:ascii="Arial" w:cs="Arial" w:eastAsia="Arial" w:hAnsi="Arial"/>
          <w:sz w:val="17"/>
          <w:szCs w:val="17"/>
          <w:color w:val="auto"/>
        </w:rPr>
      </w:pPr>
    </w:p>
    <w:p>
      <w:pPr>
        <w:ind w:firstLine="443"/>
        <w:spacing w:after="0" w:line="312" w:lineRule="auto"/>
        <w:tabs>
          <w:tab w:leader="none" w:pos="7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the Guarantors and each of their respective subsidiaries carry, or are covered by, insurance in such amounts and covering such risks as they reasonably deem sufficient for the conduct of their respective businesses and the value of their respective properties, and neither the Company, the Guarantors nor any of their respective subsidiaries has received notice of cancellation or non-renewal of such insurance.</w:t>
      </w:r>
    </w:p>
    <w:p>
      <w:pPr>
        <w:spacing w:after="0" w:line="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70" w:right="239" w:bottom="1440" w:gutter="0" w:footer="0" w:header="0"/>
        </w:sectPr>
      </w:pPr>
    </w:p>
    <w:bookmarkStart w:id="18" w:name="page19"/>
    <w:bookmarkEnd w:id="18"/>
    <w:p>
      <w:pPr>
        <w:ind w:firstLine="443"/>
        <w:spacing w:after="0" w:line="297" w:lineRule="auto"/>
        <w:tabs>
          <w:tab w:leader="none" w:pos="703"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Company, the Guarantors and their respective subsidiaries (i) makes and keeps books and records, which accurately reflect transactions and dispositions of its assets, and (ii) maintains internal accounting controls which provide reasonable assurance that (A) transactions are executed in accordance with management’s general and specific authorization, (B) transactions are recorded as necessary to permit preparation of its financial statements and to maintain accountability for its assets, (C) access to its assets is permitted only in accordance with management’s general and specific authorization and (D) the recorded accountability for its assets is compared with existing assets at reasonable intervals.</w:t>
      </w:r>
    </w:p>
    <w:p>
      <w:pPr>
        <w:spacing w:after="0" w:line="50" w:lineRule="exact"/>
        <w:rPr>
          <w:rFonts w:ascii="Arial" w:cs="Arial" w:eastAsia="Arial" w:hAnsi="Arial"/>
          <w:sz w:val="16"/>
          <w:szCs w:val="16"/>
          <w:color w:val="auto"/>
        </w:rPr>
      </w:pPr>
    </w:p>
    <w:p>
      <w:pPr>
        <w:ind w:right="40" w:firstLine="443"/>
        <w:spacing w:after="0" w:line="290" w:lineRule="auto"/>
        <w:tabs>
          <w:tab w:leader="none" w:pos="703"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Neither the Company, the Guarantors nor any of their respective subsidiaries nor, to the knowledge of the Company or the Guarantors, any director, officer, agent, employee, affiliate or other person acting on behalf of the Company, the Guarantors or any of their respective subsidiaries is aware of or has taken any action, directly or indirectly, that could result in a violation or a sanction for violation by such persons of the Foreign Corrupt Practices Act of 1977 (the “</w:t>
      </w:r>
      <w:r>
        <w:rPr>
          <w:rFonts w:ascii="Arial" w:cs="Arial" w:eastAsia="Arial" w:hAnsi="Arial"/>
          <w:sz w:val="16"/>
          <w:szCs w:val="16"/>
          <w:b w:val="1"/>
          <w:bCs w:val="1"/>
          <w:color w:val="auto"/>
        </w:rPr>
        <w:t>FCPA</w:t>
      </w:r>
      <w:r>
        <w:rPr>
          <w:rFonts w:ascii="Arial" w:cs="Arial" w:eastAsia="Arial" w:hAnsi="Arial"/>
          <w:sz w:val="16"/>
          <w:szCs w:val="16"/>
          <w:color w:val="auto"/>
        </w:rPr>
        <w:t>”) or the U.K. Bribery Act 2010, each as may be amended, or similar law of any other relevant jurisdiction, or the rules or regulations thereunder; and the Company, the Guarantors and their respective subsidiaries and, to the knowledge of the Company and the Guarantors, their respective affiliates, have conducted their business in compliance with the FCPA and have instituted and maintain policies and procedures to ensure compliance therewith. No part of the proceeds of the offering will be used, directly or indirectly, in violation of the FCPA or the U.K. Bribery Act 2010, each as may be amended, or similar law of any other relevant jurisdiction, or the rules or regulations thereunder.</w:t>
      </w:r>
    </w:p>
    <w:p>
      <w:pPr>
        <w:spacing w:after="0" w:line="58" w:lineRule="exact"/>
        <w:rPr>
          <w:rFonts w:ascii="Arial" w:cs="Arial" w:eastAsia="Arial" w:hAnsi="Arial"/>
          <w:sz w:val="16"/>
          <w:szCs w:val="16"/>
          <w:color w:val="auto"/>
        </w:rPr>
      </w:pPr>
    </w:p>
    <w:p>
      <w:pPr>
        <w:ind w:firstLine="443"/>
        <w:spacing w:after="0" w:line="273" w:lineRule="auto"/>
        <w:tabs>
          <w:tab w:leader="none" w:pos="78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operations of the Company, the Guarantors and their respective subsidiaries are and have been conducted at all times in compliance with applicable financial recordkeeping and reporting requirements and the money laundering statutes of all applicable jurisdictions and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the Guarantors or any of their respective subsidiaries with respect to the Money Laundering Laws is pending or, to the best knowledge of the Company or the Guarantors, threatened.</w:t>
      </w:r>
    </w:p>
    <w:p>
      <w:pPr>
        <w:spacing w:after="0" w:line="70" w:lineRule="exact"/>
        <w:rPr>
          <w:rFonts w:ascii="Arial" w:cs="Arial" w:eastAsia="Arial" w:hAnsi="Arial"/>
          <w:sz w:val="17"/>
          <w:szCs w:val="17"/>
          <w:color w:val="auto"/>
        </w:rPr>
      </w:pPr>
    </w:p>
    <w:p>
      <w:pPr>
        <w:ind w:right="20" w:firstLine="443"/>
        <w:spacing w:after="0" w:line="253" w:lineRule="auto"/>
        <w:tabs>
          <w:tab w:leader="none" w:pos="703"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the Company, the Guarantors nor any of their respective subsidiaries nor, to the knowledge of the Company or the Guarantors, any director, officer, agent, employee or affiliate of the Company, the Guarantors or any of their respective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and each such person, a “</w:t>
      </w:r>
      <w:r>
        <w:rPr>
          <w:rFonts w:ascii="Arial" w:cs="Arial" w:eastAsia="Arial" w:hAnsi="Arial"/>
          <w:sz w:val="18"/>
          <w:szCs w:val="18"/>
          <w:b w:val="1"/>
          <w:bCs w:val="1"/>
          <w:color w:val="auto"/>
        </w:rPr>
        <w:t>Sanctioned Person</w:t>
      </w:r>
      <w:r>
        <w:rPr>
          <w:rFonts w:ascii="Arial" w:cs="Arial" w:eastAsia="Arial" w:hAnsi="Arial"/>
          <w:sz w:val="18"/>
          <w:szCs w:val="18"/>
          <w:color w:val="auto"/>
        </w:rPr>
        <w:t>”), (ii) is located, organized or resident in a country or territory that is, or whose government is, the subject of Sanctions that broadly prohibit dealings with that country or territory</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19" w:name="page20"/>
    <w:bookmarkEnd w:id="19"/>
    <w:p>
      <w:pPr>
        <w:ind w:right="8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(collectively, “</w:t>
      </w:r>
      <w:r>
        <w:rPr>
          <w:rFonts w:ascii="Arial" w:cs="Arial" w:eastAsia="Arial" w:hAnsi="Arial"/>
          <w:sz w:val="18"/>
          <w:szCs w:val="18"/>
          <w:b w:val="1"/>
          <w:bCs w:val="1"/>
          <w:color w:val="auto"/>
        </w:rPr>
        <w:t>Sanctioned Countries</w:t>
      </w:r>
      <w:r>
        <w:rPr>
          <w:rFonts w:ascii="Arial" w:cs="Arial" w:eastAsia="Arial" w:hAnsi="Arial"/>
          <w:sz w:val="18"/>
          <w:szCs w:val="18"/>
          <w:color w:val="auto"/>
        </w:rPr>
        <w:t>” and each, a “</w:t>
      </w:r>
      <w:r>
        <w:rPr>
          <w:rFonts w:ascii="Arial" w:cs="Arial" w:eastAsia="Arial" w:hAnsi="Arial"/>
          <w:sz w:val="18"/>
          <w:szCs w:val="18"/>
          <w:b w:val="1"/>
          <w:bCs w:val="1"/>
          <w:color w:val="auto"/>
        </w:rPr>
        <w:t>Sanctioned Country</w:t>
      </w:r>
      <w:r>
        <w:rPr>
          <w:rFonts w:ascii="Arial" w:cs="Arial" w:eastAsia="Arial" w:hAnsi="Arial"/>
          <w:sz w:val="18"/>
          <w:szCs w:val="18"/>
          <w:color w:val="auto"/>
        </w:rPr>
        <w:t>”)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76" w:lineRule="exact"/>
        <w:rPr>
          <w:sz w:val="20"/>
          <w:szCs w:val="20"/>
          <w:color w:val="auto"/>
        </w:rPr>
      </w:pPr>
    </w:p>
    <w:p>
      <w:pPr>
        <w:jc w:val="both"/>
        <w:ind w:right="240" w:firstLine="443"/>
        <w:spacing w:after="0" w:line="257" w:lineRule="auto"/>
        <w:tabs>
          <w:tab w:leader="none" w:pos="88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the Guarantors and their respective Affiliates and all persons acting on their behalf (other than the Initial Purchaser, as to whom the Company and the Guarantors make no representation) have complied with and will comply with the offering restrictions requirements of Regulation S in connection with the offering of the Securities outside the United States and, in connection therewith, the Offering Memorandum will contain the disclosure required by Rule 902 under Regulation S. Each of the Company and the Guarantors is a “reporting issuer”, as defined in Rule 902 under Regulation S.</w:t>
      </w:r>
    </w:p>
    <w:p>
      <w:pPr>
        <w:spacing w:after="0" w:line="80" w:lineRule="exact"/>
        <w:rPr>
          <w:rFonts w:ascii="Arial" w:cs="Arial" w:eastAsia="Arial" w:hAnsi="Arial"/>
          <w:sz w:val="18"/>
          <w:szCs w:val="18"/>
          <w:color w:val="auto"/>
        </w:rPr>
      </w:pPr>
    </w:p>
    <w:p>
      <w:pPr>
        <w:ind w:right="180" w:firstLine="443"/>
        <w:spacing w:after="0" w:line="259" w:lineRule="auto"/>
        <w:tabs>
          <w:tab w:leader="none" w:pos="783"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the Company, the Guarantors nor any of their respective subsidiaries has engaged in any dealings or transactions with or for the benefit of a Sanctioned Person, or with or in a Sanctioned Country, in the preceding three years, nor does the Company, the Guarantors or any of their respective subsidiaries have any plans to engage in dealings or transactions with or for the benefit of a Sanctioned Person, or with or in a Sanctioned Country.</w:t>
      </w:r>
    </w:p>
    <w:p>
      <w:pPr>
        <w:spacing w:after="0" w:line="78" w:lineRule="exact"/>
        <w:rPr>
          <w:rFonts w:ascii="Arial" w:cs="Arial" w:eastAsia="Arial" w:hAnsi="Arial"/>
          <w:sz w:val="18"/>
          <w:szCs w:val="18"/>
          <w:color w:val="auto"/>
        </w:rPr>
      </w:pPr>
    </w:p>
    <w:p>
      <w:pPr>
        <w:ind w:right="60" w:firstLine="443"/>
        <w:spacing w:after="0" w:line="264" w:lineRule="auto"/>
        <w:tabs>
          <w:tab w:leader="none" w:pos="783"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the Company, the Guarantors nor any of their respective subsidiaries has taken, or will take, any action that might cause this Agreement or the issuance or sale of the Securities to violate Regulation T (12 C.F.R. Part 220), Regulation U (12 C.F.R. Part 221) or Regulation X (12 C.F.R. Part 224) of the Board of Governors of the Federal Reserve System.</w:t>
      </w:r>
    </w:p>
    <w:p>
      <w:pPr>
        <w:spacing w:after="0" w:line="73" w:lineRule="exact"/>
        <w:rPr>
          <w:rFonts w:ascii="Arial" w:cs="Arial" w:eastAsia="Arial" w:hAnsi="Arial"/>
          <w:sz w:val="18"/>
          <w:szCs w:val="18"/>
          <w:color w:val="auto"/>
        </w:rPr>
      </w:pPr>
    </w:p>
    <w:p>
      <w:pPr>
        <w:ind w:firstLine="443"/>
        <w:spacing w:after="0" w:line="254" w:lineRule="auto"/>
        <w:tabs>
          <w:tab w:leader="none" w:pos="783"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The Company and each Guarantor has established and maintains disclosure controls and procedures (as such term is defined in Rules 13a-15(e) and 15d-15(e) under the Exchange Act); (ii) such disclosure controls and procedures are designed to ensure that information required to be disclosed by the Company or the Guarantors, as applicable, in the reports it files or submits under the Exchange Act is accumulated and communicated to its management, including its principal executive officer and its principal financial officer, as appropriate to allow timely decisions regarding required disclosure; and (iii) such disclosure controls and procedures are effective in all material respects to perform the functions for which they were established. Since the date of the most recent evaluation of such disclosure controls and procedures, there have been no significant changes in internal controls or in other factors that could significantly affect internal controls, including any corrective actions with regard to significant deficiencies and material weaknesses.</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70" w:right="239" w:bottom="1440" w:gutter="0" w:footer="0" w:header="0"/>
        </w:sectPr>
      </w:pPr>
    </w:p>
    <w:bookmarkStart w:id="20" w:name="page21"/>
    <w:bookmarkEnd w:id="20"/>
    <w:p>
      <w:pPr>
        <w:ind w:left="460" w:firstLine="443"/>
        <w:spacing w:after="0" w:line="283" w:lineRule="auto"/>
        <w:tabs>
          <w:tab w:leader="none" w:pos="1243" w:val="left"/>
        </w:tabs>
        <w:numPr>
          <w:ilvl w:val="1"/>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 the date of the latest audited financial statements included or incorporated by reference in the Offering Memorandum, there has not been (i) any significant deficiency in the design or operation of internal controls which could adversely affect the ability of the Parent Guarantor to record, process, summarize and report financial data nor any material weaknesses in internal controls; or (ii) any fraud, whether or not material, that involves management or other employees who have a significant role in the internal controls of the Parent Guarantor. Since the date of the latest audited financial statements included or incorporated by reference in the Offering Memorandum, there have been no significant changes in internal controls or in other factors that could significantly affect internal controls, including any corrective actions with regard to significant deficiencies and material weaknesses. The Parent Guarantor has designed and maintains internal control over financial reporting (as such term is defined in Rules 13a-15(f) and Rules 15d-15(f) under the Exchange Act, referred to herein as “</w:t>
      </w:r>
      <w:r>
        <w:rPr>
          <w:rFonts w:ascii="Arial" w:cs="Arial" w:eastAsia="Arial" w:hAnsi="Arial"/>
          <w:sz w:val="16"/>
          <w:szCs w:val="16"/>
          <w:b w:val="1"/>
          <w:bCs w:val="1"/>
          <w:color w:val="auto"/>
        </w:rPr>
        <w:t>Reporting Controls</w:t>
      </w:r>
      <w:r>
        <w:rPr>
          <w:rFonts w:ascii="Arial" w:cs="Arial" w:eastAsia="Arial" w:hAnsi="Arial"/>
          <w:sz w:val="16"/>
          <w:szCs w:val="16"/>
          <w:color w:val="auto"/>
        </w:rPr>
        <w:t>”), and the Reporting Controls are (i) designed to, and sufficient to, provide reasonable assurance (A) that transactions are executed in accordance with management’s general or specific authorizations; (B) that transactions are recorded as necessary to permit preparation of financial statements in conformity with GAAP and to maintain asset accountability;</w:t>
      </w:r>
    </w:p>
    <w:p>
      <w:pPr>
        <w:spacing w:after="0" w:line="5" w:lineRule="exact"/>
        <w:rPr>
          <w:rFonts w:ascii="Arial" w:cs="Arial" w:eastAsia="Arial" w:hAnsi="Arial"/>
          <w:sz w:val="16"/>
          <w:szCs w:val="16"/>
          <w:color w:val="auto"/>
        </w:rPr>
      </w:pPr>
    </w:p>
    <w:p>
      <w:pPr>
        <w:ind w:left="460" w:right="120" w:firstLine="4"/>
        <w:spacing w:after="0" w:line="253" w:lineRule="auto"/>
        <w:tabs>
          <w:tab w:leader="none" w:pos="7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access to assets is permitted only in accordance with management’s general or specific authorization; (D) that the recorded accountability for assets is compared with the existing assets at reasonable intervals and appropriate action is taken with respect to any differences; and (E) regarding the reliability of financial reporting and the preparation of financial statements for external purposes in accordance with GAAP and include, without limitation, those processes specifically referred to in Rule 13a-15(f) and Rule 15d-15(f) and (ii) to the knowledge of the Company or the Parent Guarantor, effective to perform the functions for which they are maintained.</w:t>
      </w:r>
    </w:p>
    <w:p>
      <w:pPr>
        <w:spacing w:after="0" w:line="83" w:lineRule="exact"/>
        <w:rPr>
          <w:rFonts w:ascii="Arial" w:cs="Arial" w:eastAsia="Arial" w:hAnsi="Arial"/>
          <w:sz w:val="18"/>
          <w:szCs w:val="18"/>
          <w:color w:val="auto"/>
        </w:rPr>
      </w:pPr>
    </w:p>
    <w:p>
      <w:pPr>
        <w:jc w:val="both"/>
        <w:ind w:left="460" w:right="260" w:firstLine="443"/>
        <w:spacing w:after="0" w:line="302" w:lineRule="auto"/>
        <w:tabs>
          <w:tab w:leader="none" w:pos="1183" w:val="left"/>
        </w:tabs>
        <w:numPr>
          <w:ilvl w:val="1"/>
          <w:numId w:val="20"/>
        </w:numPr>
        <w:rPr>
          <w:rFonts w:ascii="Arial" w:cs="Arial" w:eastAsia="Arial" w:hAnsi="Arial"/>
          <w:sz w:val="16"/>
          <w:szCs w:val="16"/>
          <w:color w:val="auto"/>
        </w:rPr>
      </w:pPr>
      <w:r>
        <w:rPr>
          <w:rFonts w:ascii="Arial" w:cs="Arial" w:eastAsia="Arial" w:hAnsi="Arial"/>
          <w:sz w:val="16"/>
          <w:szCs w:val="16"/>
          <w:color w:val="auto"/>
        </w:rPr>
        <w:t>Under the current laws and regulations of Ireland and any political subdivision thereof or therein having the power to tax, payments on the Notes shall be paid free and clear, and without any deduction or withholding for or on account of, any current or future taxes, levies, imposts, duties, charges or other deductions or withholdings levied in Ireland or any political subdivision thereof or therein having the power to tax and without the necessity of obtaining any governmental authorization in Ireland or any political subdivision thereof or therein having the power to tax.</w:t>
      </w:r>
    </w:p>
    <w:p>
      <w:pPr>
        <w:spacing w:after="0" w:line="154"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Any certificate signed by any officer of the Company or either Guarantor and delivered to the Initial Purchaser or counsel for the Initial Purchaser in connection with the offering of the Securities shall be deemed a representation and warranty by the Company or such Guarantor, as the case may be, as to matters covered thereby, to the Initial Purchaser.</w:t>
      </w:r>
    </w:p>
    <w:p>
      <w:pPr>
        <w:spacing w:after="0" w:line="73" w:lineRule="exact"/>
        <w:rPr>
          <w:sz w:val="20"/>
          <w:szCs w:val="20"/>
          <w:color w:val="auto"/>
        </w:rPr>
      </w:pPr>
    </w:p>
    <w:p>
      <w:pPr>
        <w:jc w:val="both"/>
        <w:ind w:right="180" w:firstLine="921"/>
        <w:spacing w:after="0" w:line="264" w:lineRule="auto"/>
        <w:tabs>
          <w:tab w:leader="none" w:pos="109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Subject to the terms and conditions and in reliance upon the representations and warranties herein set forth, the Company and the Guarantors agree to sell to the Initial Purchaser, and the Initial Purchaser agrees to purchase from the Company and the Guarantors, the Securities at the purchase price of 98.0% of the principal amount of the Notes, payable on the Closing Date.</w:t>
      </w:r>
    </w:p>
    <w:p>
      <w:pPr>
        <w:spacing w:after="0" w:line="73" w:lineRule="exact"/>
        <w:rPr>
          <w:rFonts w:ascii="Arial" w:cs="Arial" w:eastAsia="Arial" w:hAnsi="Arial"/>
          <w:sz w:val="18"/>
          <w:szCs w:val="18"/>
          <w:color w:val="auto"/>
        </w:rPr>
      </w:pPr>
    </w:p>
    <w:p>
      <w:pPr>
        <w:jc w:val="both"/>
        <w:ind w:right="20" w:firstLine="921"/>
        <w:spacing w:after="0" w:line="264" w:lineRule="auto"/>
        <w:tabs>
          <w:tab w:leader="none" w:pos="109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Delivery and Payment</w:t>
      </w:r>
      <w:r>
        <w:rPr>
          <w:rFonts w:ascii="Arial" w:cs="Arial" w:eastAsia="Arial" w:hAnsi="Arial"/>
          <w:sz w:val="18"/>
          <w:szCs w:val="18"/>
          <w:color w:val="auto"/>
        </w:rPr>
        <w:t>. Delivery of and payment for the Securities shall be made on the date and at the time specified in Schedule I hereto or at such time on such later date not more than three Business Days (as defined below) after the foregoing date as the Initial Purchaser shall designate, which date and time may be postponed by agreement between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1" w:name="page22"/>
    <w:bookmarkEnd w:id="21"/>
    <w:p>
      <w:pPr>
        <w:ind w:right="20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Initial Purchaser and the Company (such date and time of delivery and payment for the Securities being herein called the “</w:t>
      </w:r>
      <w:r>
        <w:rPr>
          <w:rFonts w:ascii="Arial" w:cs="Arial" w:eastAsia="Arial" w:hAnsi="Arial"/>
          <w:sz w:val="18"/>
          <w:szCs w:val="18"/>
          <w:b w:val="1"/>
          <w:bCs w:val="1"/>
          <w:color w:val="auto"/>
        </w:rPr>
        <w:t>Closing Date</w:t>
      </w:r>
      <w:r>
        <w:rPr>
          <w:rFonts w:ascii="Arial" w:cs="Arial" w:eastAsia="Arial" w:hAnsi="Arial"/>
          <w:sz w:val="18"/>
          <w:szCs w:val="18"/>
          <w:color w:val="auto"/>
        </w:rPr>
        <w:t>”). Delivery of the Securities shall be made to the Initial Purchaser against payment by the Initial Purchaser of the purchase price therefor to or upon the order of the Company by wire transfer payable in same-day funds to an account specified by the Company. Delivery of the Securities shall be made through the facilities of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unless the Initial Purchaser shall otherwise instruct.</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4. </w:t>
      </w:r>
      <w:r>
        <w:rPr>
          <w:rFonts w:ascii="Arial" w:cs="Arial" w:eastAsia="Arial" w:hAnsi="Arial"/>
          <w:sz w:val="17"/>
          <w:szCs w:val="17"/>
          <w:u w:val="single" w:color="auto"/>
          <w:color w:val="auto"/>
        </w:rPr>
        <w:t>Initial Purchaser as Qualified Institutional Buyer</w:t>
      </w:r>
      <w:r>
        <w:rPr>
          <w:rFonts w:ascii="Arial" w:cs="Arial" w:eastAsia="Arial" w:hAnsi="Arial"/>
          <w:sz w:val="17"/>
          <w:szCs w:val="17"/>
          <w:color w:val="auto"/>
        </w:rPr>
        <w:t>. The Initial Purchaser represents and warrants to, and agrees with, the Company that:</w:t>
      </w:r>
    </w:p>
    <w:p>
      <w:pPr>
        <w:spacing w:after="0" w:line="129" w:lineRule="exact"/>
        <w:rPr>
          <w:sz w:val="20"/>
          <w:szCs w:val="20"/>
          <w:color w:val="auto"/>
        </w:rPr>
      </w:pPr>
    </w:p>
    <w:p>
      <w:pPr>
        <w:ind w:left="460" w:right="140" w:firstLine="443"/>
        <w:spacing w:after="0" w:line="264" w:lineRule="auto"/>
        <w:tabs>
          <w:tab w:leader="none" w:pos="11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will offer and sell Securities only to (A) persons who it reasonably believes are “qualified institutional buyers” within the meaning of Rule 144A (“</w:t>
      </w:r>
      <w:r>
        <w:rPr>
          <w:rFonts w:ascii="Arial" w:cs="Arial" w:eastAsia="Arial" w:hAnsi="Arial"/>
          <w:sz w:val="18"/>
          <w:szCs w:val="18"/>
          <w:b w:val="1"/>
          <w:bCs w:val="1"/>
          <w:color w:val="auto"/>
        </w:rPr>
        <w:t>Qualified Institutional Buyers</w:t>
      </w:r>
      <w:r>
        <w:rPr>
          <w:rFonts w:ascii="Arial" w:cs="Arial" w:eastAsia="Arial" w:hAnsi="Arial"/>
          <w:sz w:val="18"/>
          <w:szCs w:val="18"/>
          <w:color w:val="auto"/>
        </w:rPr>
        <w:t xml:space="preserve">”) in transactions meeting the requirements of Rule 144A or (B) upon the terms and conditions set forth in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to this Agreement;</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is an institutional “accredited investor” within the meaning of Rule 501(a)(1), (2), (3) or (7) under the Act;</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1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will not offer or sell Securities by any form of general solicitation or general advertising, including but not limited to the methods described in Rule 502(c) under the Act; and</w:t>
      </w:r>
    </w:p>
    <w:p>
      <w:pPr>
        <w:spacing w:after="0" w:line="62" w:lineRule="exact"/>
        <w:rPr>
          <w:rFonts w:ascii="Arial" w:cs="Arial" w:eastAsia="Arial" w:hAnsi="Arial"/>
          <w:sz w:val="18"/>
          <w:szCs w:val="18"/>
          <w:color w:val="auto"/>
        </w:rPr>
      </w:pPr>
    </w:p>
    <w:p>
      <w:pPr>
        <w:ind w:left="460" w:firstLine="443"/>
        <w:spacing w:after="0" w:line="259"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will not offer or sell Securities in the European Economic Area in circumstances which would require the publication of a prospectus pursuant to the Prospectus Directive or otherwise. “Prospectus Directive” means Directive 2003/71/EC and amendments thereto, including the 2010 PD Amending Directive and includes any relevant implementing measure in any member state of the European Economic Area. “2010 PD Amending Directive” means Directive 2010/73/EU.</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Agreements</w:t>
      </w:r>
      <w:r>
        <w:rPr>
          <w:rFonts w:ascii="Arial" w:cs="Arial" w:eastAsia="Arial" w:hAnsi="Arial"/>
          <w:sz w:val="18"/>
          <w:szCs w:val="18"/>
          <w:color w:val="auto"/>
        </w:rPr>
        <w:t>. The Company and the Guarantors jointly and severally agree with the Initial Purchaser that:</w:t>
      </w:r>
    </w:p>
    <w:p>
      <w:pPr>
        <w:spacing w:after="0" w:line="117" w:lineRule="exact"/>
        <w:rPr>
          <w:sz w:val="20"/>
          <w:szCs w:val="20"/>
          <w:color w:val="auto"/>
        </w:rPr>
      </w:pPr>
    </w:p>
    <w:p>
      <w:pPr>
        <w:ind w:left="460" w:right="20" w:firstLine="443"/>
        <w:spacing w:after="0" w:line="290" w:lineRule="auto"/>
        <w:tabs>
          <w:tab w:leader="none" w:pos="1143"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promptly as practicable following the Time of Sale and in any event not later than the second Business Day following the date hereof, the Company will prepare and deliver to the Initial Purchaser the Final Memorandum, which shall consist of the Preliminary Memorandum as modified only by the information contained in the Pricing Supplement. The Company will not amend or supplement the Preliminary Memorandum or the Pricing Supplement. The Company will not amend or supplement the Final Memorandum prior to the Closing Date unless the Initial Purchaser shall previously have been furnished a copy of the proposed amendment or supplement at least two Business Days prior to the proposed use or filing, and shall not have objected to such amendment or supplement. Before making, preparing, using, authorizing, approving or distributing any Company Additional Written Communication, the Company will furnish to the Initial Purchaser a copy of such written communication for review and will not make, prepare, use, authorize, approve or distribute any such written communication to which the Initial Purchaser reasonably objects.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22" w:name="page23"/>
    <w:bookmarkEnd w:id="22"/>
    <w:p>
      <w:pPr>
        <w:ind w:left="460" w:firstLine="443"/>
        <w:spacing w:after="0" w:line="286" w:lineRule="auto"/>
        <w:tabs>
          <w:tab w:leader="none" w:pos="1153"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at any time prior to the Closing Date (i) any event shall occur or condition shall exist as a result of which any of the Pricing Disclosure Package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any of the Pricing Disclosure Package to comply with law, the Company and the Guarantors will immediately notify the Initial Purchaser thereof and forthwith prepare and (subject to Section 5(a) hereof) furnish to the Initial Purchaser such amendments or supplements to any of the Pricing Disclosure Package as may be necessary so that the statements in any of the Pricing Disclosure Package as so amended or supplemented will not, in the light of the circumstances under which they were made, be misleading or so that any of the Pricing Disclosure Package will comply with all applicable law. If, prior to the completion of the placement of the Securities by the Initial Purchaser with the Subsequent Purchasers, any event shall occur or condition exist as a result of which it is necessary to amend or supplement the Final Memorandum, as then amended or supplemented, in order to make the statements therein, in the light of the circumstances when the Final Memorandum is delivered to a Subsequent Purchaser, not misleading, or if in the judgment of the Initial Purchaser or counsel for the Initial Purchaser it is otherwise necessary to amend or supplement the Final Memorandum to comply with law, the Company and the Guarantors agree to promptly prepare (subject to Section 5 hereof) and furnish at its own expense to the Initial Purchaser, amendments or supplements to the Final Memorandum so that the statements in the Final Memorandum as so amended or supplemented will not, in the light of the circumstances at the Closing Date and at the time of sale of Securities, be misleading or so that the Final Memorandum, as amended or supplemented, will comply with all applicable law.</w:t>
      </w:r>
    </w:p>
    <w:p>
      <w:pPr>
        <w:spacing w:after="0" w:line="169"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Following the consummation of the Exchange Offer or the effectiveness of an applicable shelf registration statement and for so long as the Securities are outstanding, if, in the judgment of the Initial Purchaser or any of its affiliates (as such term is defined in the Act) are required to deliver a prospectus in connection with sales of, or market making activities with respect to, the Securities, the Company and the Guarantors agree to periodically amend the applicable registration statement so that the information contained therein complies with the requirements of Section 10 of the Act, to amend the applicable registration statement or supplement the related prospectus or the documents incorporated therein when necessary to reflect any material changes in the information provided therein so that the registration statement and the prospectus will not contain any untrue statement of a material fact or omit to state any material fact necessary in order to make the statements therein, in the light of the circumstances existing as of the date the prospectus is so delivered, not misleading and to provide the Initial Purchaser with copies of each amendment or supplement filed and such other documents as the Initial Purchaser may reasonably request.</w:t>
      </w:r>
    </w:p>
    <w:p>
      <w:pPr>
        <w:spacing w:after="0" w:line="182"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Company hereby expressly acknowledges that the indemnification and contribution provisions of Section 9 hereof are specifically applicable and relate to each offering memorandum, registration statement, prospectus, amendment or supplement referred to in this Section 5.</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3" w:name="page24"/>
    <w:bookmarkEnd w:id="23"/>
    <w:p>
      <w:pPr>
        <w:ind w:right="320" w:firstLine="443"/>
        <w:spacing w:after="0" w:line="277" w:lineRule="auto"/>
        <w:tabs>
          <w:tab w:leader="none" w:pos="683"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the Guarantors will use the net proceeds received by them from the sale of the Securities in the manner specified in the Final Memorandum under “Use of Proceeds.”</w:t>
      </w:r>
    </w:p>
    <w:p>
      <w:pPr>
        <w:spacing w:after="0" w:line="62" w:lineRule="exact"/>
        <w:rPr>
          <w:rFonts w:ascii="Arial" w:cs="Arial" w:eastAsia="Arial" w:hAnsi="Arial"/>
          <w:sz w:val="18"/>
          <w:szCs w:val="18"/>
          <w:color w:val="auto"/>
        </w:rPr>
      </w:pPr>
    </w:p>
    <w:p>
      <w:pPr>
        <w:ind w:right="660" w:firstLine="443"/>
        <w:spacing w:after="0" w:line="277" w:lineRule="auto"/>
        <w:tabs>
          <w:tab w:leader="none" w:pos="6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agrees to furnish the Initial Purchaser, without charge, as many copies of the Pricing Disclosure Package and the Final Memorandum and any amendments and supplements thereto as they shall reasonably request.</w:t>
      </w:r>
    </w:p>
    <w:p>
      <w:pPr>
        <w:spacing w:after="0" w:line="62" w:lineRule="exact"/>
        <w:rPr>
          <w:rFonts w:ascii="Arial" w:cs="Arial" w:eastAsia="Arial" w:hAnsi="Arial"/>
          <w:sz w:val="18"/>
          <w:szCs w:val="18"/>
          <w:color w:val="auto"/>
        </w:rPr>
      </w:pPr>
    </w:p>
    <w:p>
      <w:pPr>
        <w:ind w:right="60" w:firstLine="443"/>
        <w:spacing w:after="0" w:line="273" w:lineRule="auto"/>
        <w:tabs>
          <w:tab w:leader="none" w:pos="68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 and the Guarantors will arrange, if necessary, for the qualification of the Securities for sale under the laws of such jurisdictions as the Initial Purchaser may reasonably request and will maintain such qualifications in effect so long as required for the distribution of the Securities; provided that in no event shall the Company and the Guarantors be obligated to (i) qualify to do business in any jurisdiction where they are not now so qualified, (ii) to take any action that would subject them to service of process in suits, other than those arising out of the offering or sale of the Securities, in any jurisdiction where they are not now so subject, (iii) take any action that could subject them to taxation in any such jurisdiction if they are not otherwise so subject, or (iv) publish a prospectus pursuant to the Prospectus Directive or otherwise.</w:t>
      </w:r>
    </w:p>
    <w:p>
      <w:pPr>
        <w:spacing w:after="0" w:line="70" w:lineRule="exact"/>
        <w:rPr>
          <w:rFonts w:ascii="Arial" w:cs="Arial" w:eastAsia="Arial" w:hAnsi="Arial"/>
          <w:sz w:val="17"/>
          <w:szCs w:val="17"/>
          <w:color w:val="auto"/>
        </w:rPr>
      </w:pPr>
    </w:p>
    <w:p>
      <w:pPr>
        <w:ind w:right="20" w:firstLine="443"/>
        <w:spacing w:after="0" w:line="270" w:lineRule="auto"/>
        <w:tabs>
          <w:tab w:leader="none" w:pos="66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 and the Guarantors will not, without the prior written consent of the Initial Purchaser,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the Guarantors or any Affiliate of the Company or the Guarantors or any person in privity with the Company or the Guarantors or any Affiliate of the Company or the Guarantors),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bank borrowings, overdrafts, working capital borrowing and facilities, short term loans and cash management requirements (and guarantees thereof)) issued or guaranteed by the Company (other than the Notes) or publicly announce an intention to effect any such transaction, until the Business Day set forth on Schedule I hereto.</w:t>
      </w:r>
    </w:p>
    <w:p>
      <w:pPr>
        <w:spacing w:after="0" w:line="73" w:lineRule="exact"/>
        <w:rPr>
          <w:rFonts w:ascii="Arial" w:cs="Arial" w:eastAsia="Arial" w:hAnsi="Arial"/>
          <w:sz w:val="17"/>
          <w:szCs w:val="17"/>
          <w:color w:val="auto"/>
        </w:rPr>
      </w:pPr>
    </w:p>
    <w:p>
      <w:pPr>
        <w:jc w:val="both"/>
        <w:ind w:firstLine="443"/>
        <w:spacing w:after="0" w:line="257" w:lineRule="auto"/>
        <w:tabs>
          <w:tab w:leader="none" w:pos="6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agrees that it will not and will cause its Affiliates not to make any offer or sale of securities of the Company of any class if, as a result of the doctrine of “integration” referred to in Rule 502 under the Act, such offer or sale would render invalid (for the purpose of (i) the sale of the Securities by the Company to the Initial Purchaser, (ii) the resale of the Securities by the Initial Purchaser to Subsequent Purchasers or (iii) the resale of the Securities by such Subsequent Purchasers to others) the exemption from the registration requirements of the Act provided by Section 4(a)(2) thereof or by Rule 144A or by Regulation S thereunder or otherwise.</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74" w:right="259" w:bottom="1440" w:gutter="0" w:footer="0" w:header="0"/>
        </w:sectPr>
      </w:pPr>
    </w:p>
    <w:bookmarkStart w:id="24" w:name="page25"/>
    <w:bookmarkEnd w:id="24"/>
    <w:p>
      <w:pPr>
        <w:ind w:right="160" w:firstLine="443"/>
        <w:spacing w:after="0" w:line="297" w:lineRule="auto"/>
        <w:tabs>
          <w:tab w:leader="none" w:pos="693"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agrees that it will not and will not permit any of its Affiliates or any other person acting on its or their behalf (other than the Initial Purchasers, as to which no covenant is given) to (i) solicit offers for, or offer or sell, the Securities by means of any form of general solicitation or general advertising within the meaning of Rule 502(c) of Regulation D or in any manner involving a public offering within the meaning of Section 4(a)(2) of the Act or (ii) engage in any directed selling efforts with respect to the Securities within the meaning of Regulation S, and the Company will and will cause all such persons to comply with the offering restrictions requirement of Regulation S with respect to the Securities.</w:t>
      </w:r>
    </w:p>
    <w:p>
      <w:pPr>
        <w:spacing w:after="0" w:line="50" w:lineRule="exact"/>
        <w:rPr>
          <w:rFonts w:ascii="Arial" w:cs="Arial" w:eastAsia="Arial" w:hAnsi="Arial"/>
          <w:sz w:val="16"/>
          <w:szCs w:val="16"/>
          <w:color w:val="auto"/>
        </w:rPr>
      </w:pPr>
    </w:p>
    <w:p>
      <w:pPr>
        <w:ind w:right="60" w:firstLine="443"/>
        <w:spacing w:after="0" w:line="277" w:lineRule="auto"/>
        <w:tabs>
          <w:tab w:leader="none" w:pos="6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affiliates (as defined in Rule 144 under the Act) to resell any of the Notes that have been reacquired by any of them.</w:t>
      </w:r>
    </w:p>
    <w:p>
      <w:pPr>
        <w:spacing w:after="0" w:line="62" w:lineRule="exact"/>
        <w:rPr>
          <w:rFonts w:ascii="Arial" w:cs="Arial" w:eastAsia="Arial" w:hAnsi="Arial"/>
          <w:sz w:val="18"/>
          <w:szCs w:val="18"/>
          <w:color w:val="auto"/>
        </w:rPr>
      </w:pPr>
    </w:p>
    <w:p>
      <w:pPr>
        <w:ind w:right="80" w:firstLine="443"/>
        <w:spacing w:after="0" w:line="264" w:lineRule="auto"/>
        <w:tabs>
          <w:tab w:leader="none" w:pos="6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and the Guarantors will not take, directly or indirectly, any action designed to or that would constitute or that might reasonably be expected to cause or result in, under the Exchange Act or otherwise, stabilization or manipulation of the price of any security of the Company, the Guarantors or their respective subsidiaries to facilitate the sale or resale of the Securities.</w:t>
      </w:r>
    </w:p>
    <w:p>
      <w:pPr>
        <w:spacing w:after="0" w:line="73" w:lineRule="exact"/>
        <w:rPr>
          <w:rFonts w:ascii="Arial" w:cs="Arial" w:eastAsia="Arial" w:hAnsi="Arial"/>
          <w:sz w:val="18"/>
          <w:szCs w:val="18"/>
          <w:color w:val="auto"/>
        </w:rPr>
      </w:pPr>
    </w:p>
    <w:p>
      <w:pPr>
        <w:ind w:firstLine="443"/>
        <w:spacing w:after="0" w:line="267" w:lineRule="auto"/>
        <w:tabs>
          <w:tab w:leader="none" w:pos="693" w:val="left"/>
        </w:tabs>
        <w:numPr>
          <w:ilvl w:val="0"/>
          <w:numId w:val="26"/>
        </w:numPr>
        <w:rPr>
          <w:rFonts w:ascii="Arial" w:cs="Arial" w:eastAsia="Arial" w:hAnsi="Arial"/>
          <w:sz w:val="17"/>
          <w:szCs w:val="17"/>
          <w:color w:val="auto"/>
        </w:rPr>
      </w:pPr>
      <w:r>
        <w:rPr>
          <w:rFonts w:ascii="Arial" w:cs="Arial" w:eastAsia="Arial" w:hAnsi="Arial"/>
          <w:sz w:val="17"/>
          <w:szCs w:val="17"/>
          <w:color w:val="auto"/>
        </w:rPr>
        <w:t>Each of the Company and the Guarantors agrees, jointly and severally, to pay all costs, fees and expenses incurred in connection with the performance of its obligations hereunder and in connection with the transactions contemplated hereby, including, without limitation, (i) all expenses incident to the issuance and delivery of the Securities (including all printing and engraving costs), (ii) all necessary issue, transfer and other stamp taxes in connection with the issuance and sale of the Securities to the Initial Purchaser, (iii) all fees and expenses of the Company’s and the Guarantors’ counsel, independent public or certified public accountants and other advisors, (iv) all costs and expenses incurred in connection with the preparation, printing, filing, shipping and distribution of the Pricing Disclosure Package and the Final Memorandum (including financial statements and exhibits), and all amendments and supplements thereto, this Agreement, the Registration Rights Agreement, the Securities, the Exchange Securities and the Indenture, (v) all filing fees, attorneys’ fees and expenses incurred by the Company, the Guarantors or the Initial Purchaser in connection with qualifying or registering (or obtaining exemptions from the qualification or registration of) all or any part of the Securities for offer and sale under the securities laws of the several states of the United States, the provinces of Canada or other jurisdictions designated by the Initial Purchaser (including, without limitation, the cost of preparing, printing and mailing preliminary and final blue sky or legal investment memoranda and any related supplements to the Pricing Disclosure Package or the Final Memorandum), (vi) the fees and expenses of the Trustee, including the fees and disbursements of counsel for the Trustee in connection with the Indenture, the Securities and the Exchange Securities, (vii) any fees payable in connection with the rating of the Securities or the Exchange Securities with the ratings agencies, (viii) any filing fees incident to, and any reasonable fees and disbursements of counsel to the Initial Purchaser in connection with the review by FINRA, if any, of the terms of the sale of the Securities or the Exchange Securities, (ix) all fees and expenses (including reasonable fees and expenses of counsel) of the Company and the Guarantors in connection with approval of the Securities by DTC for “book-entry” transfer, and the performance by the Company and the Guarantors of their respective other obligations under this Agreement and (x) all expenses incident to the</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700" w:top="274" w:right="259" w:bottom="1440" w:gutter="0" w:footer="0" w:header="0"/>
        </w:sectPr>
      </w:pPr>
    </w:p>
    <w:bookmarkStart w:id="25" w:name="page26"/>
    <w:bookmarkEnd w:id="25"/>
    <w:p>
      <w:pPr>
        <w:ind w:left="400"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“road show” for the offering of the Securities, including travel expenses; provided, however, that Initial Purchaser will pay 50% of the cost of any chartered airplane. Except as provided in this Section 5 and Sections 6 and 9 hereof, the Initial Purchaser shall pay their own expenses, including the fees and disbursements of their counsel.</w:t>
      </w:r>
    </w:p>
    <w:p>
      <w:pPr>
        <w:spacing w:after="0" w:line="73" w:lineRule="exact"/>
        <w:rPr>
          <w:sz w:val="20"/>
          <w:szCs w:val="20"/>
          <w:color w:val="auto"/>
        </w:rPr>
      </w:pPr>
    </w:p>
    <w:p>
      <w:pPr>
        <w:ind w:left="400" w:right="40" w:firstLine="443"/>
        <w:spacing w:after="0" w:line="277" w:lineRule="auto"/>
        <w:tabs>
          <w:tab w:leader="none" w:pos="10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and the Guarantors will cooperate with the Initial Purchaser and use commercially reasonable efforts to permit the Securities to be eligible for clearance and settlement through the facilities of DTC.</w:t>
      </w:r>
    </w:p>
    <w:p>
      <w:pPr>
        <w:spacing w:after="0" w:line="62" w:lineRule="exact"/>
        <w:rPr>
          <w:sz w:val="20"/>
          <w:szCs w:val="20"/>
          <w:color w:val="auto"/>
        </w:rPr>
      </w:pPr>
    </w:p>
    <w:p>
      <w:pPr>
        <w:ind w:left="-60" w:right="60" w:firstLine="921"/>
        <w:spacing w:after="0" w:line="302" w:lineRule="auto"/>
        <w:tabs>
          <w:tab w:leader="none" w:pos="103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Conditions to the Obligations of the Initial Purchaser</w:t>
      </w:r>
      <w:r>
        <w:rPr>
          <w:rFonts w:ascii="Arial" w:cs="Arial" w:eastAsia="Arial" w:hAnsi="Arial"/>
          <w:sz w:val="16"/>
          <w:szCs w:val="16"/>
          <w:color w:val="auto"/>
        </w:rPr>
        <w:t>. The obligations of the Initial Purchaser to purchase the Securities shall be subject to the accuracy of the representations and warranties on the part of the Company contained herein as of the Execution Time (as defined below), the Closing Date pursuant to Section 3 hereof, to the accuracy of the statements of the Company and the Guarantors made in any certificates pursuant to the provisions hereof, to the performance by the Company and the Guarantors of their respective obligations hereunder and to the following additional conditions:</w:t>
      </w:r>
    </w:p>
    <w:p>
      <w:pPr>
        <w:spacing w:after="0" w:line="46" w:lineRule="exact"/>
        <w:rPr>
          <w:sz w:val="20"/>
          <w:szCs w:val="20"/>
          <w:color w:val="auto"/>
        </w:rPr>
      </w:pPr>
    </w:p>
    <w:p>
      <w:pPr>
        <w:ind w:left="400" w:right="80" w:firstLine="443"/>
        <w:spacing w:after="0" w:line="264" w:lineRule="auto"/>
        <w:tabs>
          <w:tab w:leader="none" w:pos="10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and the Guarantors shall have requested and caused Latham &amp; Watkins LLP, counsel for the Company and the Guarantors, to have furnished to the Initial Purchaser their opinion and negative assurance letters, each dated the Closing Date, and addressed to the Initial Purchaser, to the effect set forth in Annex A-1 and Annex A-2, respectively.</w:t>
      </w:r>
    </w:p>
    <w:p>
      <w:pPr>
        <w:spacing w:after="0" w:line="73" w:lineRule="exact"/>
        <w:rPr>
          <w:rFonts w:ascii="Arial" w:cs="Arial" w:eastAsia="Arial" w:hAnsi="Arial"/>
          <w:sz w:val="18"/>
          <w:szCs w:val="18"/>
          <w:color w:val="auto"/>
        </w:rPr>
      </w:pPr>
    </w:p>
    <w:p>
      <w:pPr>
        <w:ind w:left="400" w:right="100" w:firstLine="443"/>
        <w:spacing w:after="0" w:line="264" w:lineRule="auto"/>
        <w:tabs>
          <w:tab w:leader="none" w:pos="10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and the Guarantors shall have requested and caused the Executive Vice President, General Counsel &amp; Corporate Secretary of the Company and the Guarantors, to have furnished to the Initial Purchaser her opinion, dated the Closing Date, and addressed to the Initial Purchaser, to the effect set forth in Annex B.</w:t>
      </w:r>
    </w:p>
    <w:p>
      <w:pPr>
        <w:spacing w:after="0" w:line="73" w:lineRule="exact"/>
        <w:rPr>
          <w:rFonts w:ascii="Arial" w:cs="Arial" w:eastAsia="Arial" w:hAnsi="Arial"/>
          <w:sz w:val="18"/>
          <w:szCs w:val="18"/>
          <w:color w:val="auto"/>
        </w:rPr>
      </w:pPr>
    </w:p>
    <w:p>
      <w:pPr>
        <w:ind w:left="400" w:right="140" w:firstLine="443"/>
        <w:spacing w:after="0" w:line="264" w:lineRule="auto"/>
        <w:tabs>
          <w:tab w:leader="none" w:pos="10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and the Guarantors shall have requested and caused Conyers Dill &amp; Pearman Limited, special Bermuda counsel for the Company, to have furnished to the Initial Purchaser their opinion, dated the Closing Date, and addressed to the Initial Purchaser, to the effect set forth in Annex C.</w:t>
      </w:r>
    </w:p>
    <w:p>
      <w:pPr>
        <w:spacing w:after="0" w:line="73" w:lineRule="exact"/>
        <w:rPr>
          <w:rFonts w:ascii="Arial" w:cs="Arial" w:eastAsia="Arial" w:hAnsi="Arial"/>
          <w:sz w:val="18"/>
          <w:szCs w:val="18"/>
          <w:color w:val="auto"/>
        </w:rPr>
      </w:pPr>
    </w:p>
    <w:p>
      <w:pPr>
        <w:jc w:val="both"/>
        <w:ind w:left="400" w:right="540" w:firstLine="443"/>
        <w:spacing w:after="0" w:line="342" w:lineRule="auto"/>
        <w:tabs>
          <w:tab w:leader="none" w:pos="109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and the Guarantors shall have requested and caused Matheson, special Ireland counsel for the Parent Guarantor, to have furnished to the Initial Purchaser their opinion, dated the Closing Date, and addressed to the Initial Purchaser, to the effect set forth in Annex D.</w:t>
      </w:r>
    </w:p>
    <w:p>
      <w:pPr>
        <w:spacing w:after="0" w:line="15" w:lineRule="exact"/>
        <w:rPr>
          <w:rFonts w:ascii="Arial" w:cs="Arial" w:eastAsia="Arial" w:hAnsi="Arial"/>
          <w:sz w:val="16"/>
          <w:szCs w:val="16"/>
          <w:color w:val="auto"/>
        </w:rPr>
      </w:pPr>
    </w:p>
    <w:p>
      <w:pPr>
        <w:jc w:val="both"/>
        <w:ind w:left="400" w:right="580" w:firstLine="443"/>
        <w:spacing w:after="0" w:line="342" w:lineRule="auto"/>
        <w:tabs>
          <w:tab w:leader="none" w:pos="10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and the Guarantors shall have requested and caused PwC Switzerland, special advisor for the Parent Guarantor to have furnished to the Initial Purchaser their opinion, dated the Closing Date, and addressed to the Initial Purchaser, to the effect set forth in Annex E.</w:t>
      </w:r>
    </w:p>
    <w:p>
      <w:pPr>
        <w:spacing w:after="0" w:line="15" w:lineRule="exact"/>
        <w:rPr>
          <w:rFonts w:ascii="Arial" w:cs="Arial" w:eastAsia="Arial" w:hAnsi="Arial"/>
          <w:sz w:val="16"/>
          <w:szCs w:val="16"/>
          <w:color w:val="auto"/>
        </w:rPr>
      </w:pPr>
    </w:p>
    <w:p>
      <w:pPr>
        <w:ind w:left="400" w:firstLine="443"/>
        <w:spacing w:after="0" w:line="312" w:lineRule="auto"/>
        <w:tabs>
          <w:tab w:leader="none" w:pos="106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Initial Purchaser shall have received from Vinson &amp; Elkins L.L.P., counsel for the Initial Purchaser, such opinion or opinions, dated the Closing Date, and addressed to the Initial Purchaser, with respect to such matters as the Initial Purchaser may reasonably require, and the Company and the Guarantors shall have furnished to such counsel such documents as they request for the purpose of enabling them to pass upon such matters.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300" w:top="274" w:right="279" w:bottom="1440" w:gutter="0" w:footer="0" w:header="0"/>
        </w:sectPr>
      </w:pPr>
    </w:p>
    <w:bookmarkStart w:id="26" w:name="page27"/>
    <w:bookmarkEnd w:id="26"/>
    <w:p>
      <w:pPr>
        <w:ind w:right="140" w:firstLine="443"/>
        <w:spacing w:after="0" w:line="257" w:lineRule="auto"/>
        <w:tabs>
          <w:tab w:leader="none" w:pos="693"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Initial Purchaser shall have received from Appleby (Bermuda) Limited, special Bermuda counsel for the Initial Purchaser, such opinion or opinions, dated the Closing Date, and addressed to the Initial Purchaser, with respect to the issuance and sale of the Securities, the Indenture, the Pricing Disclosure Package, the Final Memorandum (together with any supplement thereto) and other related matters as the Initial Purchaser may reasonably require, and the Company and the Guarantors shall have furnished to such counsel such documents as they request for the purpose of enabling them to pass upon such matters.</w:t>
      </w:r>
    </w:p>
    <w:p>
      <w:pPr>
        <w:spacing w:after="0" w:line="80" w:lineRule="exact"/>
        <w:rPr>
          <w:rFonts w:ascii="Arial" w:cs="Arial" w:eastAsia="Arial" w:hAnsi="Arial"/>
          <w:sz w:val="18"/>
          <w:szCs w:val="18"/>
          <w:color w:val="auto"/>
        </w:rPr>
      </w:pPr>
    </w:p>
    <w:p>
      <w:pPr>
        <w:ind w:right="80" w:firstLine="443"/>
        <w:spacing w:after="0" w:line="257" w:lineRule="auto"/>
        <w:tabs>
          <w:tab w:leader="none" w:pos="6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Initial Purchaser shall have received from A&amp;L Goodbody, special Ireland counsel for the Initial Purchaser such opinion or opinions, dated the Closing Date, and addressed to the Initial Purchaser, with respect to the issuance and sale of the Securities, the Indenture, the Pricing Disclosure Package, the Final Memorandum (together with any supplement thereto) and other related matters as the Initial Purchaser may reasonably require, and the Company and the Guarantors shall have furnished to such counsel such documents as they request for the purpose of enabling them to pass upon such matters.</w:t>
      </w:r>
    </w:p>
    <w:p>
      <w:pPr>
        <w:spacing w:after="0" w:line="80" w:lineRule="exact"/>
        <w:rPr>
          <w:rFonts w:ascii="Arial" w:cs="Arial" w:eastAsia="Arial" w:hAnsi="Arial"/>
          <w:sz w:val="18"/>
          <w:szCs w:val="18"/>
          <w:color w:val="auto"/>
        </w:rPr>
      </w:pPr>
    </w:p>
    <w:p>
      <w:pPr>
        <w:ind w:firstLine="443"/>
        <w:spacing w:after="0" w:line="257" w:lineRule="auto"/>
        <w:tabs>
          <w:tab w:leader="none" w:pos="6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and the Guarantors shall have furnished to the Initial Purchaser a certificate of the Company and the Guarantors, signed by the Executive Vice President and Chief Financial Officer of the Company and by the Chairman of the Board or the President and the principal financial or accounting officer of the Guarantors, dated the Closing Date, to the effect that the signers of such certificate have carefully examined the Pricing Disclosure Package, the Final Memorandum and any supplements or amendments thereto, as well as each electronic road show used in connection with the offering of the Securities, and this Agreement and that:</w:t>
      </w:r>
    </w:p>
    <w:p>
      <w:pPr>
        <w:spacing w:after="0" w:line="80" w:lineRule="exact"/>
        <w:rPr>
          <w:rFonts w:ascii="Arial" w:cs="Arial" w:eastAsia="Arial" w:hAnsi="Arial"/>
          <w:sz w:val="18"/>
          <w:szCs w:val="18"/>
          <w:color w:val="auto"/>
        </w:rPr>
      </w:pPr>
    </w:p>
    <w:p>
      <w:pPr>
        <w:ind w:left="460" w:right="180" w:firstLine="421"/>
        <w:spacing w:after="0" w:line="286" w:lineRule="auto"/>
        <w:tabs>
          <w:tab w:leader="none" w:pos="1095"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and the Guarantors in this Agreement are true and correct on and as of the Closing Date with the same effect as if made on the Closing Date and that the Company and each Guarantor has materially complied with all the agreements and satisfied all the conditions on its part to be performed or satisfied at or prior to the Closing Date; and</w:t>
      </w:r>
    </w:p>
    <w:p>
      <w:pPr>
        <w:spacing w:after="0" w:line="57" w:lineRule="exact"/>
        <w:rPr>
          <w:rFonts w:ascii="Arial" w:cs="Arial" w:eastAsia="Arial" w:hAnsi="Arial"/>
          <w:sz w:val="17"/>
          <w:szCs w:val="17"/>
          <w:color w:val="auto"/>
        </w:rPr>
      </w:pPr>
    </w:p>
    <w:p>
      <w:pPr>
        <w:ind w:left="460" w:firstLine="421"/>
        <w:spacing w:after="0" w:line="257" w:lineRule="auto"/>
        <w:tabs>
          <w:tab w:leader="none" w:pos="1145" w:val="left"/>
        </w:tabs>
        <w:numPr>
          <w:ilvl w:val="1"/>
          <w:numId w:val="30"/>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in the Pricing Disclosure Package and the Final Memorandum (exclusive of any supplement thereto), there has been no material adverse effect on the condition (financial or otherwise), prospects, earnings, business or properties of the Company, the Guarantors and their respective subsidiaries, taken as a whole, whether or not arising from transactions in the ordinary course of business, except as set forth in or contemplated in the Pricing Disclosure Package and the Final Memorandum (exclusive of any supplement thereto).</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700" w:top="274" w:right="279" w:bottom="1440" w:gutter="0" w:footer="0" w:header="0"/>
        </w:sectPr>
      </w:pPr>
    </w:p>
    <w:bookmarkStart w:id="27" w:name="page28"/>
    <w:bookmarkEnd w:id="27"/>
    <w:p>
      <w:pPr>
        <w:ind w:right="100" w:firstLine="443"/>
        <w:spacing w:after="0" w:line="302" w:lineRule="auto"/>
        <w:tabs>
          <w:tab w:leader="none" w:pos="653"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Immediately following the Execution Time, the Initial Purchaser shall receive from KPMG LLP a letter, dated as of the date of this Agreement, and addressed to the Initial Purchaser, in form and substance satisfactory to the Initial Purchaser, containing statements and information of the type ordinarily included in accountants’ “comfort letters” to Initial Purchaser with respect to the financial statements and certain financial information relating to the Parent Guarantor and its subsidiaries contained in the Pricing Disclosure Package and other customary matters.</w:t>
      </w:r>
    </w:p>
    <w:p>
      <w:pPr>
        <w:spacing w:after="0" w:line="46" w:lineRule="exact"/>
        <w:rPr>
          <w:rFonts w:ascii="Arial" w:cs="Arial" w:eastAsia="Arial" w:hAnsi="Arial"/>
          <w:sz w:val="16"/>
          <w:szCs w:val="16"/>
          <w:color w:val="auto"/>
        </w:rPr>
      </w:pPr>
    </w:p>
    <w:p>
      <w:pPr>
        <w:ind w:firstLine="443"/>
        <w:spacing w:after="0" w:line="276" w:lineRule="auto"/>
        <w:tabs>
          <w:tab w:leader="none" w:pos="693"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the Closing Date, the Initial Purchaser shall have received from KPMG LLP a letter, dated as of the Closing Date, and addressed to the Initial Purchaser, to the effect that they reaffirm the statements made in the letter furnished pursuant to subsection (j) of this Section, except that the cut-off date for certain procedures performed by them shall be a date not more than two Business Days prior to the Closing Date, and providing information of the type ordinarily included in accountants’ “comfort letters” to underwriters with respect to the financial statements and certain financial information relating to the Parent Guarantor and its subsidiaries contained in the Final Memorandum.</w:t>
      </w:r>
    </w:p>
    <w:p>
      <w:pPr>
        <w:spacing w:after="0" w:line="64" w:lineRule="exact"/>
        <w:rPr>
          <w:rFonts w:ascii="Arial" w:cs="Arial" w:eastAsia="Arial" w:hAnsi="Arial"/>
          <w:sz w:val="17"/>
          <w:szCs w:val="17"/>
          <w:color w:val="auto"/>
        </w:rPr>
      </w:pPr>
    </w:p>
    <w:p>
      <w:pPr>
        <w:ind w:right="20" w:firstLine="443"/>
        <w:spacing w:after="0" w:line="255" w:lineRule="auto"/>
        <w:tabs>
          <w:tab w:leader="none" w:pos="6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shall have received and provided to the Initial Purchaser an assurance from the Minister of Finance under the Exempted Undertakings Tax Protection Act, 1966 that, in the event of there being enacted in Bermuda any legislation imposing tax computed on profits or income or computed on any capital asset, gain or appreciation, or any tax in the nature of estate duty or inheritance tax, then the imposition of any such tax shall not until 31 March 2035 be applicable to the Company or any of its operations or its shares, debentures or other obligations, except insofar as such tax applies to persons ordinarily resident in Bermuda or to tax payable in accordance with the provisions of the Land Tax Act 1967 or otherwise payable in relation to any land leased to the Company.</w:t>
      </w:r>
    </w:p>
    <w:p>
      <w:pPr>
        <w:spacing w:after="0" w:line="85" w:lineRule="exact"/>
        <w:rPr>
          <w:rFonts w:ascii="Arial" w:cs="Arial" w:eastAsia="Arial" w:hAnsi="Arial"/>
          <w:sz w:val="18"/>
          <w:szCs w:val="18"/>
          <w:color w:val="auto"/>
        </w:rPr>
      </w:pPr>
    </w:p>
    <w:p>
      <w:pPr>
        <w:ind w:right="40" w:firstLine="443"/>
        <w:spacing w:after="0" w:line="290" w:lineRule="auto"/>
        <w:tabs>
          <w:tab w:leader="none" w:pos="743"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Subsequent to the Execution Time or, if earlier, the dates as of which information is given in the Pricing Disclosure Package and the Final Memorandum (exclusive of any amendment or supplement thereto), there shall not have been (i) any change or decrease specified in the letter or letters referred to in paragraph (j) of this Section 6, or (ii) any change, or any development involving a prospective change, in or affecting the condition (financial or otherwise), earnings, business or properties of the Company, the Guarantors and their respective subsidiaries taken as a whole, whether or not arising from transactions in the ordinary course of business, except as set forth in or contemplated in the Pricing Disclosure Package and the Final Memorandum (exclusive of any amendment or supplement thereto) the effect of which, in any case referred to in clause (i) or (ii) above, is, in the sole judgment of the Initial Purchaser, so material and adverse as to make it impractical or inadvisable to proceed with the offering or delivery of the Securities as contemplated by the Pricing Disclosure Package and the Final Memorandum (exclusive of any amendment or supplement thereto).</w:t>
      </w:r>
    </w:p>
    <w:p>
      <w:pPr>
        <w:spacing w:after="0" w:line="58" w:lineRule="exact"/>
        <w:rPr>
          <w:rFonts w:ascii="Arial" w:cs="Arial" w:eastAsia="Arial" w:hAnsi="Arial"/>
          <w:sz w:val="16"/>
          <w:szCs w:val="16"/>
          <w:color w:val="auto"/>
        </w:rPr>
      </w:pPr>
    </w:p>
    <w:p>
      <w:pPr>
        <w:ind w:left="700" w:hanging="257"/>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74" w:right="239" w:bottom="1440" w:gutter="0" w:footer="0" w:header="0"/>
        </w:sectPr>
      </w:pPr>
    </w:p>
    <w:bookmarkStart w:id="28" w:name="page29"/>
    <w:bookmarkEnd w:id="28"/>
    <w:p>
      <w:pPr>
        <w:jc w:val="both"/>
        <w:ind w:left="460" w:right="340" w:firstLine="443"/>
        <w:spacing w:after="0" w:line="264" w:lineRule="auto"/>
        <w:tabs>
          <w:tab w:leader="none" w:pos="1153"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 of effecting delivery of the Securities in book-entry form, the Company agrees to issue, in the name of Cede &amp; Co., such Securities being issued to the Initial Purchaser and to instruct Cede &amp; Co. to deliver the book-entry interest in such Securities to broker accounts as directed by the Initial Purchaser.</w:t>
      </w:r>
    </w:p>
    <w:p>
      <w:pPr>
        <w:spacing w:after="0" w:line="73" w:lineRule="exact"/>
        <w:rPr>
          <w:rFonts w:ascii="Arial" w:cs="Arial" w:eastAsia="Arial" w:hAnsi="Arial"/>
          <w:sz w:val="18"/>
          <w:szCs w:val="18"/>
          <w:color w:val="auto"/>
        </w:rPr>
      </w:pPr>
    </w:p>
    <w:p>
      <w:pPr>
        <w:ind w:left="460" w:right="40" w:firstLine="443"/>
        <w:spacing w:after="0" w:line="259" w:lineRule="auto"/>
        <w:tabs>
          <w:tab w:leader="none" w:pos="11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and the Guarantors shall have executed and delivered the Indenture, in form and substance reasonably satisfactory to the Initial Purchaser, and the Initial Purchaser shall have received such executed counterparts. The Company and the Guarantors shall have executed and delivered the Registration Rights Agreement, in form and substance reasonably satisfactory to the Initial Purchaser, and the Initial Purchaser shall have received such executed counterparts.</w:t>
      </w:r>
    </w:p>
    <w:p>
      <w:pPr>
        <w:spacing w:after="0" w:line="78" w:lineRule="exact"/>
        <w:rPr>
          <w:rFonts w:ascii="Arial" w:cs="Arial" w:eastAsia="Arial" w:hAnsi="Arial"/>
          <w:sz w:val="18"/>
          <w:szCs w:val="18"/>
          <w:color w:val="auto"/>
        </w:rPr>
      </w:pPr>
    </w:p>
    <w:p>
      <w:pPr>
        <w:ind w:left="460" w:right="120" w:firstLine="443"/>
        <w:spacing w:after="0" w:line="277" w:lineRule="auto"/>
        <w:tabs>
          <w:tab w:leader="none" w:pos="11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 to the Closing Date, the Company and the Guarantors shall have furnished to the Initial Purchaser such further information, certificates and documents as the Initial Purchaser may reasonably request.</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Initial Purchaser and counsel for the Initial Purchaser, this Agreement and all obligations of the Initial Purchaser hereunder may be canceled on, or at any time prior to, the Closing Date by the Initial Purchaser. Notice of such cancellation shall be given to the Company and the Guarantors in writing or by telephone or facsimile confirmed in writing.</w:t>
      </w:r>
    </w:p>
    <w:p>
      <w:pPr>
        <w:spacing w:after="0" w:line="188"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The documents required to be delivered by this Section 6 shall be delivered at the office of Latham &amp; Watkins LLP, special counsel to the Company and the Guarantors, at 811 Main Street, Suite 3700, Houston, Texas 77002, on the Closing Date.</w:t>
      </w:r>
    </w:p>
    <w:p>
      <w:pPr>
        <w:spacing w:after="0" w:line="62" w:lineRule="exact"/>
        <w:rPr>
          <w:sz w:val="20"/>
          <w:szCs w:val="20"/>
          <w:color w:val="auto"/>
        </w:rPr>
      </w:pPr>
    </w:p>
    <w:p>
      <w:pPr>
        <w:ind w:right="40" w:firstLine="921"/>
        <w:spacing w:after="0" w:line="255" w:lineRule="auto"/>
        <w:tabs>
          <w:tab w:leader="none" w:pos="1093"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Reimbursement of the Initial Purchaser’s Expenses</w:t>
      </w:r>
      <w:r>
        <w:rPr>
          <w:rFonts w:ascii="Arial" w:cs="Arial" w:eastAsia="Arial" w:hAnsi="Arial"/>
          <w:sz w:val="18"/>
          <w:szCs w:val="18"/>
          <w:color w:val="auto"/>
        </w:rPr>
        <w:t>. If the sale of the Securities provided for herein is not consummated because any condition to the obligations of the Initial Purchaser set forth in Section 6 hereof is not satisfied, because of any termination pursuant to Section 10 hereof (other than Sections 10(i)(B), (ii), (iii) or (iv)) or because of any refusal, inability or failure on the part of the Company or the Guarantors to perform any agreement herein or comply with any provision hereof other than by reason of a default by Initial Purchaser, the Company and Guarantors will reimburse the Initial Purchaser for all reasonable documented out-of-pocket expenses (including reasonable fees and disbursements of counsel) that shall have been incurred by it in connection with the proposed purchase and sale of the Securities.</w:t>
      </w:r>
    </w:p>
    <w:p>
      <w:pPr>
        <w:spacing w:after="0" w:line="85" w:lineRule="exact"/>
        <w:rPr>
          <w:rFonts w:ascii="Arial" w:cs="Arial" w:eastAsia="Arial" w:hAnsi="Arial"/>
          <w:sz w:val="18"/>
          <w:szCs w:val="18"/>
          <w:color w:val="auto"/>
        </w:rPr>
      </w:pPr>
    </w:p>
    <w:p>
      <w:pPr>
        <w:ind w:right="280" w:firstLine="921"/>
        <w:spacing w:after="0" w:line="277" w:lineRule="auto"/>
        <w:tabs>
          <w:tab w:leader="none" w:pos="1093"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Offer, Sale and Resale Procedures</w:t>
      </w:r>
      <w:r>
        <w:rPr>
          <w:rFonts w:ascii="Arial" w:cs="Arial" w:eastAsia="Arial" w:hAnsi="Arial"/>
          <w:sz w:val="18"/>
          <w:szCs w:val="18"/>
          <w:color w:val="auto"/>
        </w:rPr>
        <w:t>. The Initial Purchaser, on the one hand, and the Company and each of the Guarantors, on the other hand, hereby agree to observe the following procedures in connection with the offer and sale of the Securities:</w:t>
      </w:r>
    </w:p>
    <w:p>
      <w:pPr>
        <w:spacing w:after="0" w:line="62" w:lineRule="exact"/>
        <w:rPr>
          <w:sz w:val="20"/>
          <w:szCs w:val="20"/>
          <w:color w:val="auto"/>
        </w:rPr>
      </w:pPr>
    </w:p>
    <w:p>
      <w:pPr>
        <w:ind w:left="460" w:firstLine="443"/>
        <w:spacing w:after="0" w:line="273" w:lineRule="auto"/>
        <w:tabs>
          <w:tab w:leader="none" w:pos="1143" w:val="left"/>
        </w:tabs>
        <w:numPr>
          <w:ilvl w:val="0"/>
          <w:numId w:val="34"/>
        </w:numPr>
        <w:rPr>
          <w:rFonts w:ascii="Arial" w:cs="Arial" w:eastAsia="Arial" w:hAnsi="Arial"/>
          <w:sz w:val="17"/>
          <w:szCs w:val="17"/>
          <w:color w:val="auto"/>
        </w:rPr>
      </w:pPr>
      <w:r>
        <w:rPr>
          <w:rFonts w:ascii="Arial" w:cs="Arial" w:eastAsia="Arial" w:hAnsi="Arial"/>
          <w:sz w:val="17"/>
          <w:szCs w:val="17"/>
          <w:color w:val="auto"/>
        </w:rPr>
        <w:t>Offers and sales of the Securities will be made only by the Initial Purchaser or Affiliates thereof qualified to do so in the jurisdictions in which such offers or sales are made. Each such offer or sale shall only be made to persons whom the offeror or seller reasonably believes to be Qualified Institutional Buyers or non-U.S. persons outside the United States to whom the offeror or seller reasonably believes offers and sales of the Securities may be made in reliance upon Regulation S upon the terms and conditions set forth in Annex I hereto, which Annex I is hereby expressly made a part hereof. Offers and sales of the Securities will not be made in the European Economic Area in circumstances which would require the publication of a prospectus pursuant to the Prospectus Directive or otherwise.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9" w:name="page30"/>
    <w:bookmarkEnd w:id="29"/>
    <w:p>
      <w:pPr>
        <w:ind w:left="460" w:right="140" w:firstLine="443"/>
        <w:spacing w:after="0" w:line="277" w:lineRule="auto"/>
        <w:tabs>
          <w:tab w:leader="none" w:pos="1153"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general solicitation or general advertising (within the meaning of Rule 502 under the Act) will be used in the United States in connection with the offering of the Securities.</w:t>
      </w:r>
    </w:p>
    <w:p>
      <w:pPr>
        <w:spacing w:after="0" w:line="62" w:lineRule="exact"/>
        <w:rPr>
          <w:rFonts w:ascii="Arial" w:cs="Arial" w:eastAsia="Arial" w:hAnsi="Arial"/>
          <w:sz w:val="18"/>
          <w:szCs w:val="18"/>
          <w:color w:val="auto"/>
        </w:rPr>
      </w:pPr>
    </w:p>
    <w:p>
      <w:pPr>
        <w:jc w:val="both"/>
        <w:ind w:left="460" w:right="220" w:firstLine="443"/>
        <w:spacing w:after="0" w:line="264" w:lineRule="auto"/>
        <w:tabs>
          <w:tab w:leader="none" w:pos="11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original issuance by the Company, and until such time as the same is no longer required under the applicable requirements of the Act, the Notes (and all securities issued in exchange therefor or in substitution thereof, other than the Exchange Notes) shall bear a legend in substantially the form set forth under “Transfer Restrictions” in the Preliminary Memorandum.</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Following the sale of the Securities by the Initial Purchaser to Subsequent Purchasers pursuant to the terms hereof, the Initial Purchaser shall not be liable or responsible to the Company for any losses, damages or liabilities suffered or incurred by the Company, including any losses, damages or liabilities under the Act, arising from or relating to any resale or transfer of any Security.</w:t>
      </w:r>
    </w:p>
    <w:p>
      <w:pPr>
        <w:spacing w:after="0" w:line="73" w:lineRule="exact"/>
        <w:rPr>
          <w:sz w:val="20"/>
          <w:szCs w:val="20"/>
          <w:color w:val="auto"/>
        </w:rPr>
      </w:pPr>
    </w:p>
    <w:p>
      <w:pPr>
        <w:ind w:left="1100" w:hanging="179"/>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left="460" w:right="20" w:firstLine="443"/>
        <w:spacing w:after="0" w:line="286" w:lineRule="auto"/>
        <w:tabs>
          <w:tab w:leader="none" w:pos="11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Each of the Company and the Guarantors agrees to indemnify and hold harmless the Initial Purchaser, its Affiliates, directors, officers and employees, and each person who controls the Initial Purchaser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Preliminary Memorandum, the Pricing Supplement, any Company Additional Written Communication or the Final Memorandum,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of the Company and the Guarantors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and the Guarantors by or on behalf of the Initial Purchaser specifically for inclusion therein, it being understood and agreed that the only such information furnished by or on behalf of the Initial Purchaser consists of the information described as such in Section 9(b) hereof. This indemnity agreement will be in addition to any liability which the Company or the Guarantors may otherwise have.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0" w:name="page31"/>
    <w:bookmarkEnd w:id="30"/>
    <w:p>
      <w:pPr>
        <w:ind w:right="80" w:firstLine="443"/>
        <w:spacing w:after="0" w:line="289" w:lineRule="auto"/>
        <w:tabs>
          <w:tab w:leader="none" w:pos="693"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Initial Purchaser agrees to indemnify and hold harmless the Company and the Guarantors, each of their respective directors or members and each person who controls the Company or the Guarantors within the meaning of either the Act or the Exchange Act, to the same extent as the foregoing indemnity from the Company and the Guarantors to the Initial Purchaser, but only with reference to written information relating to the Initial Purchaser furnished to the Company and the Guarantors by or on behalf of the Initial Purchaser specifically for inclusion in the documents referred to in the foregoing indemnity. This indemnity agreement will be in addition to any liability which the Initial Purchaser may otherwise have. Each of the Company and the Guarantors acknowledges that the statements set forth (i) in the last paragraph of the cover page regarding delivery of the Securities and (ii) under the heading “Plan of Distribution,” in the last three paragraphs before the heading “—Other Relationships” in the Preliminary Memorandum and the Final Memorandum constitute the only information furnished in writing by the Initial Purchaser for inclusion in the Preliminary Memorandum, the Pricing Supplement, any Company Additional Written Communication or the Final Memorandum.</w:t>
      </w:r>
    </w:p>
    <w:p>
      <w:pPr>
        <w:spacing w:after="0" w:line="58" w:lineRule="exact"/>
        <w:rPr>
          <w:rFonts w:ascii="Arial" w:cs="Arial" w:eastAsia="Arial" w:hAnsi="Arial"/>
          <w:sz w:val="16"/>
          <w:szCs w:val="16"/>
          <w:color w:val="auto"/>
        </w:rPr>
      </w:pPr>
    </w:p>
    <w:p>
      <w:pPr>
        <w:ind w:firstLine="443"/>
        <w:spacing w:after="0" w:line="267" w:lineRule="auto"/>
        <w:tabs>
          <w:tab w:leader="none" w:pos="683"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provided, however, that an indemnifying party shall not be liable for the fees and expenses of more than one such</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74" w:right="239" w:bottom="1440" w:gutter="0" w:footer="0" w:header="0"/>
        </w:sectPr>
      </w:pPr>
    </w:p>
    <w:bookmarkStart w:id="31" w:name="page32"/>
    <w:bookmarkEnd w:id="3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separate counsel (in addition to local counsel) in connection with any proceeding or related proceeding in the same jurisdiction. An indemnifying party shall not be liable for any settlement of any proceeding effected without its consent (which consent shall not be unreasonably withheld). Notwithstanding the foregoing sentence, if at any time an indemnified party shall have requested an indemnifying party to reimburse the indemnified party for fees and expenses of counsel as contemplated by Section 9(a) or (b) hereof, the indemnifying party agrees that it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30 days before such settlement is entered into and (iii) such indemnifying party shall not have reimbursed the indemnified party in accordance with such request or disputed in good faith the indemnified party’s entitlement to such reimbursement prior to the date of such settlement. An indemnifying party will not, without the prior written consent (which consent shall not be unreasonably withheld)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an admission of fault by or on behalf of any indemnified party.</w:t>
      </w:r>
    </w:p>
    <w:p>
      <w:pPr>
        <w:spacing w:after="0" w:line="80" w:lineRule="exact"/>
        <w:rPr>
          <w:sz w:val="20"/>
          <w:szCs w:val="20"/>
          <w:color w:val="auto"/>
        </w:rPr>
      </w:pPr>
    </w:p>
    <w:p>
      <w:pPr>
        <w:ind w:right="40" w:firstLine="443"/>
        <w:spacing w:after="0" w:line="286" w:lineRule="auto"/>
        <w:tabs>
          <w:tab w:leader="none" w:pos="693"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(b) or (c) of this Section 9 is unavailable to or insufficient to hold harmless an indemnified party for any reason, the Company, the Guarantors and the Initial Purchaser severally agree to contribute to the aggregate losses, claims, damages and liabilities (including legal or other expenses reasonably incurred in connection with investigating or defending the same) (collectively “</w:t>
      </w:r>
      <w:r>
        <w:rPr>
          <w:rFonts w:ascii="Arial" w:cs="Arial" w:eastAsia="Arial" w:hAnsi="Arial"/>
          <w:sz w:val="16"/>
          <w:szCs w:val="16"/>
          <w:b w:val="1"/>
          <w:bCs w:val="1"/>
          <w:color w:val="auto"/>
        </w:rPr>
        <w:t>Losses</w:t>
      </w:r>
      <w:r>
        <w:rPr>
          <w:rFonts w:ascii="Arial" w:cs="Arial" w:eastAsia="Arial" w:hAnsi="Arial"/>
          <w:sz w:val="16"/>
          <w:szCs w:val="16"/>
          <w:color w:val="auto"/>
        </w:rPr>
        <w:t>”) to which the Company, the Guarantors and the Initial Purchaser may be subject in such proportion as is appropriate to reflect the relative benefits received by the Company and the Guarantors, on the one hand, and by the Initial Purchaser, on the other, from the offering of the Securities. If the allocation provided by the immediately preceding sentence is unavailable for any reason, the Company, the Guarantors and the Initial Purchaser severally shall contribute in such proportion as is appropriate to reflect not only such relative benefits but also the relative fault of the Company and the Guarantors, on the one hand, and of the Initial Purchaser, on the other, in connection with the statements or omissions which resulted in such Losses as well as any other relevant equitable considerations. Benefits received by the Company and the Guarantors shall be deemed to be equal to the total net proceeds from the offering (before deducting expenses) received by them, and benefits received by the Initial Purchaser shall be deemed to be equal to the total discount received by the Initial Purchaser, in each case as set forth on the cover page of the Final Memorandum. Relative fault shall be determined by reference to, among other things, whether any untrue or any alleged untrue statement of a material fact or the omission or alleged omission to state a material fact relates to information provided by the Company or the Guarantors, on the one hand, or the Initial Purchaser, on the other, the intent of the parties and their relative knowledge, access to information and opportunity to correct or prevent such untrue statement or</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700" w:top="274" w:right="239" w:bottom="1440" w:gutter="0" w:footer="0" w:header="0"/>
        </w:sectPr>
      </w:pPr>
    </w:p>
    <w:bookmarkStart w:id="32" w:name="page33"/>
    <w:bookmarkEnd w:id="32"/>
    <w:p>
      <w:pPr>
        <w:ind w:left="452"/>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omission. The Company, the Guarantors and the Initial Purchaser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the Initial Purchaser be required to contribute any amount in excess of the amount by which the total discount received by the Initial Purchaser with respect to the offering of the Securities exceeds the amount of any damages that the Initial Purchaser has otherwise been required to pay by reason of such untrue or alleged untrue statement or omission or alleged omission.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9, each person who controls the Initial Purchaser within the meaning of either the Act or the Exchange Act and each director, officer, employee, affiliate and agent of the Initial Purchaser shall have the same rights to contribution as the Initial Purchaser, and each person who controls the Company or the Guarantors within the meaning of either the Act or the Exchange Act and each director or member of the Company or the Guarantors shall have the same rights to contribution as the Company and the Guarantors, subject in each case to the applicable terms and conditions of this paragraph (d).</w:t>
      </w:r>
    </w:p>
    <w:p>
      <w:pPr>
        <w:spacing w:after="0" w:line="65" w:lineRule="exact"/>
        <w:rPr>
          <w:sz w:val="20"/>
          <w:szCs w:val="20"/>
          <w:color w:val="auto"/>
        </w:rPr>
      </w:pPr>
    </w:p>
    <w:p>
      <w:pPr>
        <w:ind w:left="-8" w:right="460" w:firstLine="921"/>
        <w:spacing w:after="0" w:line="288" w:lineRule="auto"/>
        <w:tabs>
          <w:tab w:leader="none" w:pos="1175"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be subject to termination in the absolute discretion of the Initial Purchaser, by notice given to the Company prior to delivery of and payment for the Securities, if at any time prior to such delivery and payment (i) (A) trading in the Parent Guarantor’s Ordinary Shares or any securities of the Parent Guarantor shall have been suspended or limited by the Commission or the New York Stock Exchange or</w:t>
      </w:r>
    </w:p>
    <w:p>
      <w:pPr>
        <w:ind w:left="-8" w:right="140" w:firstLine="8"/>
        <w:spacing w:after="0" w:line="252" w:lineRule="auto"/>
        <w:tabs>
          <w:tab w:leader="none" w:pos="27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trading in securities generally on the New York Stock Exchange or in The NASDAQ Stock Market shall have been suspended or limited or minimum prices shall have been established on either of such exchanges, (ii) a banking moratorium shall have been declared either by Federal, Bermuda, Ireland or New York State authorities, (iii) there shall have occurred a material disruption in commercial banking or securities settlement or clearance services or (iv) there shall have occurred any outbreak or escalation of hostilities, declaration by the United States of a national emergency or war, or other calamity or crisis the effect of which on financial markets is such as to make it, in the sole judgment of the Initial Purchaser, impractical or inadvisable to proceed with the offering or delivery of the Securities as contemplated by the Preliminary Memorandum, the Pricing Supplement or the Final Memorandum (exclusive of any amendment or supplement thereto).</w:t>
      </w:r>
    </w:p>
    <w:p>
      <w:pPr>
        <w:spacing w:after="0" w:line="84" w:lineRule="exact"/>
        <w:rPr>
          <w:rFonts w:ascii="Arial" w:cs="Arial" w:eastAsia="Arial" w:hAnsi="Arial"/>
          <w:sz w:val="18"/>
          <w:szCs w:val="18"/>
          <w:color w:val="auto"/>
        </w:rPr>
      </w:pPr>
    </w:p>
    <w:p>
      <w:pPr>
        <w:ind w:left="-8" w:right="20" w:firstLine="921"/>
        <w:spacing w:after="0" w:line="276" w:lineRule="auto"/>
        <w:tabs>
          <w:tab w:leader="none" w:pos="1168"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Representations and Indemnities to Survive</w:t>
      </w:r>
      <w:r>
        <w:rPr>
          <w:rFonts w:ascii="Arial" w:cs="Arial" w:eastAsia="Arial" w:hAnsi="Arial"/>
          <w:sz w:val="17"/>
          <w:szCs w:val="17"/>
          <w:color w:val="auto"/>
        </w:rPr>
        <w:t>. The respective agreements, representations, warranties, indemnities, rights of contribution and other statements of the Company, the Guarantors or their respective officers and of the Initial Purchaser set forth in or made pursuant to this Agreement will remain in full force and effect, regardless of any investigation made by or on behalf of the Initial Purchaser or the Company, the Guarantors or any of the officers, directors, employees, affiliates or controlling persons referred to in Section 9 hereof, and will survive delivery of and payment for the Securities. The provisions of Sections 7 and 9 hereof shall survive the termination or cancellation of this Agreement.</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92"/>
          </w:cols>
          <w:pgMar w:left="248" w:top="274" w:right="259" w:bottom="1440" w:gutter="0" w:footer="0" w:header="0"/>
        </w:sectPr>
      </w:pPr>
    </w:p>
    <w:bookmarkStart w:id="33" w:name="page34"/>
    <w:bookmarkEnd w:id="33"/>
    <w:p>
      <w:pPr>
        <w:ind w:left="-40" w:right="120" w:firstLine="921"/>
        <w:spacing w:after="0" w:line="259" w:lineRule="auto"/>
        <w:tabs>
          <w:tab w:leader="none" w:pos="114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8"/>
          <w:szCs w:val="18"/>
          <w:color w:val="auto"/>
        </w:rPr>
        <w:t>. All communications hereunder will be in writing and effective only on receipt, and, if sent to the Initial Purchaser, will be mailed, delivered or telefaxed to Morgan Stanley &amp; Co. LLC, 1585 Broadway, New York, New York 10036; or, if sent to the Company or the Guarantors, will be mailed or delivered to Bahnhofstrasse 1, Baar, 6340, Switzerland, and confirmed to it at c/o Weatherford International, LLC, 2000 St. James Place, Houston, Texas 77056, U.S.A., attention of General Counsel.</w:t>
      </w:r>
    </w:p>
    <w:p>
      <w:pPr>
        <w:spacing w:after="0" w:line="78" w:lineRule="exact"/>
        <w:rPr>
          <w:rFonts w:ascii="Arial" w:cs="Arial" w:eastAsia="Arial" w:hAnsi="Arial"/>
          <w:sz w:val="18"/>
          <w:szCs w:val="18"/>
          <w:color w:val="auto"/>
        </w:rPr>
      </w:pPr>
    </w:p>
    <w:p>
      <w:pPr>
        <w:ind w:left="-40" w:right="80" w:firstLine="921"/>
        <w:spacing w:after="0" w:line="342" w:lineRule="auto"/>
        <w:tabs>
          <w:tab w:leader="none" w:pos="114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15" w:lineRule="exact"/>
        <w:rPr>
          <w:rFonts w:ascii="Arial" w:cs="Arial" w:eastAsia="Arial" w:hAnsi="Arial"/>
          <w:sz w:val="16"/>
          <w:szCs w:val="16"/>
          <w:color w:val="auto"/>
        </w:rPr>
      </w:pPr>
    </w:p>
    <w:p>
      <w:pPr>
        <w:ind w:left="-40" w:firstLine="921"/>
        <w:spacing w:after="0" w:line="270" w:lineRule="auto"/>
        <w:tabs>
          <w:tab w:leader="none" w:pos="114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Each of the Company and the Guarantors hereby acknowledges that (i) the purchase and sale of the Securities pursuant to this Agreement is an arm’s-length commercial transaction between the Company and the Guarantors, on the one hand, and the Initial Purchaser and any Affiliate through which it may be acting, on the other, (ii) the Initial Purchaser is acting as principal and not as an agent or fiduciary of either the Company or the Guarantors and (iii) the Company’s engagement of the Initial Purchaser in connection with the offering and the process leading up to the offering is as an independent contractor and not in any other capacity. Furthermore, each of the Company and the Guarantors agrees that it is solely responsible for making its own judgments in connection with the offering (irrespective of whether the Initial Purchaser has advised or is currently advising the Company or the Guarantors on related or other matters). Each of the Company and the Guarantors agrees that it will not claim that the Initial Purchaser has rendered advisory services of any nature or respect, or owe an agency, fiduciary or similar duty to either the Company or the Guarantors, in connection with such transaction or the process leading thereto.</w:t>
      </w:r>
    </w:p>
    <w:p>
      <w:pPr>
        <w:spacing w:after="0" w:line="73" w:lineRule="exact"/>
        <w:rPr>
          <w:rFonts w:ascii="Arial" w:cs="Arial" w:eastAsia="Arial" w:hAnsi="Arial"/>
          <w:sz w:val="17"/>
          <w:szCs w:val="17"/>
          <w:color w:val="auto"/>
        </w:rPr>
      </w:pPr>
    </w:p>
    <w:p>
      <w:pPr>
        <w:ind w:left="-40" w:right="640" w:firstLine="921"/>
        <w:spacing w:after="0" w:line="277" w:lineRule="auto"/>
        <w:tabs>
          <w:tab w:leader="none" w:pos="114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Company, the Guarantors and the Initial Purchaser with respect to the subject matter hereof.</w:t>
      </w:r>
    </w:p>
    <w:p>
      <w:pPr>
        <w:spacing w:after="0" w:line="62" w:lineRule="exact"/>
        <w:rPr>
          <w:rFonts w:ascii="Arial" w:cs="Arial" w:eastAsia="Arial" w:hAnsi="Arial"/>
          <w:sz w:val="18"/>
          <w:szCs w:val="18"/>
          <w:color w:val="auto"/>
        </w:rPr>
      </w:pPr>
    </w:p>
    <w:p>
      <w:pPr>
        <w:ind w:left="-40" w:right="120" w:firstLine="921"/>
        <w:spacing w:after="0" w:line="308" w:lineRule="auto"/>
        <w:tabs>
          <w:tab w:leader="none" w:pos="114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and any claim, controversy or dispute arising under or related to this Agreement, will be governed by and construed in accordance with the laws of the State of New York applicable to contracts made and to be performed within the State of New York.</w:t>
      </w:r>
    </w:p>
    <w:p>
      <w:pPr>
        <w:spacing w:after="0" w:line="38" w:lineRule="exact"/>
        <w:rPr>
          <w:rFonts w:ascii="Arial" w:cs="Arial" w:eastAsia="Arial" w:hAnsi="Arial"/>
          <w:sz w:val="17"/>
          <w:szCs w:val="17"/>
          <w:color w:val="auto"/>
        </w:rPr>
      </w:pPr>
    </w:p>
    <w:p>
      <w:pPr>
        <w:ind w:left="-40" w:right="20" w:firstLine="921"/>
        <w:spacing w:after="0" w:line="272" w:lineRule="auto"/>
        <w:tabs>
          <w:tab w:leader="none" w:pos="114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 and Waiver</w:t>
      </w:r>
      <w:r>
        <w:rPr>
          <w:rFonts w:ascii="Arial" w:cs="Arial" w:eastAsia="Arial" w:hAnsi="Arial"/>
          <w:sz w:val="17"/>
          <w:szCs w:val="17"/>
          <w:color w:val="auto"/>
        </w:rPr>
        <w:t>. By the execution and delivery of this Agreement, the Company and the Guarantors submit to the non-exclusive jurisdiction of any federal or New York State court located in the City of New York in any suit or proceeding arising out of or relating to the Securities or this Agreement.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in any New York State or federal court in the City of New York, or any appellate court with respect to any of the foregoing. Each of the parties hereto hereby irrevocably waives, to the fullest extent permitted by law, the defense of an inconvenient forum to the maintenance of such action or proceeding in any such court. To the extent that the Company or Parent Guarantor has or hereafter may acquire any immunity from</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80" w:top="274" w:right="259" w:bottom="1440" w:gutter="0" w:footer="0" w:header="0"/>
        </w:sectPr>
      </w:pPr>
    </w:p>
    <w:bookmarkStart w:id="34" w:name="page35"/>
    <w:bookmarkEnd w:id="34"/>
    <w:p>
      <w:pPr>
        <w:ind w:right="1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jurisdiction of any court (including, without limitation, any court in the United States, the State of New York, Ireland, Bermuda, Switzerland or any political subdivision thereof) or from any legal process (whether through service of notice, attachment prior to judgment, attachment in aid of execution, execution or otherwise) with respect to itself or its property or assets, this Agreement, or any other actions to enforce judgments in respect of any thereof, the Company and the Parent Guarantor hereby irrevocably waive such immunity, and any defense based on such immunity, in respect of their respective obligations under the above-referenced documents and the transactions contemplated thereby, to the fullest extent permitted by law.</w:t>
      </w:r>
    </w:p>
    <w:p>
      <w:pPr>
        <w:spacing w:after="0" w:line="158"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In addition to the foregoing, each of the Company and the Guarantors agrees to irrevocably appoint CT Corporation Systems as its authorized agent on which any and all legal process may be served in any such action, suit or proceeding brought in the courts specified in the preceding paragraph. Each of the Company and the Guarantors agrees that service of process in respect of it upon such agent shall be deemed to be effective service of process upon it in any such action, suit or proceeding. Each of the Company and the Guarantors agrees that the failure of such agent to give notice to it of any such service shall not impair or affect the validity of such service or any judgment rendered in any such action, suit or proceeding based thereon. If for any reason such agent shall cease to be available to act as such, each of the Company and the Guarantors agrees to irrevocably appoint another such agent in New York City as its authorized agent for service of process, on the terms and for the purposes of this Section 17. Nothing herein shall in any way be deemed to limit the ability of the Initial Purchaser, the Trustee or any other person to serve any such legal process in any other manner permitted by applicable law or to obtain jurisdiction over the Company or the Guarantors or bring actions, suits or proceedings against them in such other jurisdiction, and in such matter, as may be permitted by applicable law.</w:t>
      </w:r>
    </w:p>
    <w:p>
      <w:pPr>
        <w:spacing w:after="0" w:line="70" w:lineRule="exact"/>
        <w:rPr>
          <w:sz w:val="20"/>
          <w:szCs w:val="20"/>
          <w:color w:val="auto"/>
        </w:rPr>
      </w:pPr>
    </w:p>
    <w:p>
      <w:pPr>
        <w:ind w:right="180" w:firstLine="921"/>
        <w:spacing w:after="0" w:line="308" w:lineRule="auto"/>
        <w:tabs>
          <w:tab w:leader="none" w:pos="118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Company and the Guarantors hereby irrevocably waives, to the fullest extent permitted by applicable law, any and all right to trial by jury in any legal proceeding arising out of or relating to this Agreement or the transactions contemplated hereby.</w:t>
      </w:r>
    </w:p>
    <w:p>
      <w:pPr>
        <w:spacing w:after="0" w:line="38" w:lineRule="exact"/>
        <w:rPr>
          <w:rFonts w:ascii="Arial" w:cs="Arial" w:eastAsia="Arial" w:hAnsi="Arial"/>
          <w:sz w:val="17"/>
          <w:szCs w:val="17"/>
          <w:color w:val="auto"/>
        </w:rPr>
      </w:pPr>
    </w:p>
    <w:p>
      <w:pPr>
        <w:ind w:firstLine="921"/>
        <w:spacing w:after="0" w:line="271" w:lineRule="auto"/>
        <w:tabs>
          <w:tab w:leader="none" w:pos="118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Judgment Currency</w:t>
      </w:r>
      <w:r>
        <w:rPr>
          <w:rFonts w:ascii="Arial" w:cs="Arial" w:eastAsia="Arial" w:hAnsi="Arial"/>
          <w:sz w:val="17"/>
          <w:szCs w:val="17"/>
          <w:color w:val="auto"/>
        </w:rPr>
        <w:t>. The obligations of the Company and the Guarantors in respect of any sum due to the Initial Purchaser in United States dollars shall, notwithstanding any judgment in a currency other than United States dollars, not be discharged until the first Business Day following receipt by the Initial Purchaser of any sum adjudged to be so due in such other currency, on which (and only to the extent that) the Initial Purchaser may in accordance with normal banking procedures purchase United States dollars with such other currency; if the United States dollars so purchased are less than the sum originally due to the Initial Purchaser hereunder, the Company and the Guarantors agree, as a separate obligation and notwithstanding any such judgment, to indemnify the Initial Purchaser against such loss. If the United States dollars so purchased are greater than the sum originally due to the Initial Purchaser hereunder, the Initial Purchaser agrees to pay to the Company or such Guarantor, as applicable, an amount equal to the excess of the dollars so purchased over the sum originally due to the Initial Purchaser hereunder.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35" w:name="page36"/>
    <w:bookmarkEnd w:id="35"/>
    <w:p>
      <w:pPr>
        <w:ind w:left="-40" w:firstLine="921"/>
        <w:spacing w:after="0" w:line="277" w:lineRule="auto"/>
        <w:tabs>
          <w:tab w:leader="none" w:pos="114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62" w:lineRule="exact"/>
        <w:rPr>
          <w:rFonts w:ascii="Arial" w:cs="Arial" w:eastAsia="Arial" w:hAnsi="Arial"/>
          <w:sz w:val="18"/>
          <w:szCs w:val="18"/>
          <w:color w:val="auto"/>
        </w:rPr>
      </w:pPr>
    </w:p>
    <w:p>
      <w:pPr>
        <w:ind w:left="1160" w:hanging="279"/>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117" w:lineRule="exact"/>
        <w:rPr>
          <w:rFonts w:ascii="Arial" w:cs="Arial" w:eastAsia="Arial" w:hAnsi="Arial"/>
          <w:sz w:val="18"/>
          <w:szCs w:val="18"/>
          <w:color w:val="auto"/>
        </w:rPr>
      </w:pPr>
    </w:p>
    <w:p>
      <w:pPr>
        <w:ind w:left="1160" w:hanging="279"/>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“Act” shall mean the Securities Act of 1933, as amended, and the rules and regulations of the Commission promulgated thereunder.</w:t>
      </w:r>
    </w:p>
    <w:p>
      <w:pPr>
        <w:spacing w:after="0" w:line="117" w:lineRule="exact"/>
        <w:rPr>
          <w:sz w:val="20"/>
          <w:szCs w:val="20"/>
          <w:color w:val="auto"/>
        </w:rPr>
      </w:pPr>
    </w:p>
    <w:p>
      <w:pPr>
        <w:ind w:left="420" w:right="100" w:firstLine="438"/>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w:t>
      </w:r>
    </w:p>
    <w:p>
      <w:pPr>
        <w:spacing w:after="0" w:line="62" w:lineRule="exact"/>
        <w:rPr>
          <w:sz w:val="20"/>
          <w:szCs w:val="20"/>
          <w:color w:val="auto"/>
        </w:rPr>
      </w:pPr>
    </w:p>
    <w:p>
      <w:pPr>
        <w:ind w:left="420" w:right="340" w:firstLine="438"/>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“Execution Time” shall mean 8:15 a.m. EST on November 15, 2016.</w:t>
      </w:r>
    </w:p>
    <w:p>
      <w:pPr>
        <w:spacing w:after="0" w:line="117" w:lineRule="exact"/>
        <w:rPr>
          <w:sz w:val="20"/>
          <w:szCs w:val="20"/>
          <w:color w:val="auto"/>
        </w:rPr>
      </w:pPr>
    </w:p>
    <w:p>
      <w:pPr>
        <w:ind w:left="420" w:right="300" w:firstLine="438"/>
        <w:spacing w:after="0" w:line="277" w:lineRule="auto"/>
        <w:rPr>
          <w:sz w:val="20"/>
          <w:szCs w:val="20"/>
          <w:color w:val="auto"/>
        </w:rPr>
      </w:pPr>
      <w:r>
        <w:rPr>
          <w:rFonts w:ascii="Arial" w:cs="Arial" w:eastAsia="Arial" w:hAnsi="Arial"/>
          <w:sz w:val="18"/>
          <w:szCs w:val="18"/>
          <w:color w:val="auto"/>
        </w:rPr>
        <w:t>“Trust Indenture Act” shall mean the Trust Indenture Act of 1939, as amended, and the rules and regulations of the Commission promulgated thereunder.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80" w:top="274" w:right="279" w:bottom="1440" w:gutter="0" w:footer="0" w:header="0"/>
        </w:sectPr>
      </w:pPr>
    </w:p>
    <w:bookmarkStart w:id="36" w:name="page37"/>
    <w:bookmarkEnd w:id="36"/>
    <w:p>
      <w:pPr>
        <w:ind w:right="600"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please sign and return to us the enclosed duplicate hereof, whereupon this letter and your acceptance shall represent a binding agreement among the Company, the Guarantors and the Initial Purchaser.</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WEATHERFORD INTERNATIONAL PLC, an Irish public</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limited company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2270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7012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C. Parent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Bermuda exempted company</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Yazid J. Tamimi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21659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659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Yazid J. Tamimi</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WEATHERFORD INTERNATIONAL,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22574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Mark M. Rothleitner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 and Treasurer</w:t>
      </w:r>
    </w:p>
    <w:p>
      <w:pPr>
        <w:spacing w:after="0" w:line="2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11180"/>
          </w:cols>
          <w:pgMar w:left="240" w:top="274" w:right="47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Agreement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hereby confirmed and accepted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specified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I 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 &amp; Co.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William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7030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03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William Graham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ind w:right="3099"/>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10219"/>
          </w:cols>
          <w:pgMar w:left="240" w:top="274" w:right="1440" w:bottom="1440" w:gutter="0" w:footer="0" w:header="0"/>
        </w:sectPr>
      </w:pPr>
    </w:p>
    <w:bookmarkStart w:id="38" w:name="page39"/>
    <w:bookmarkEnd w:id="38"/>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 Agreement dated November 15,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Purchase Price and Description of Securities: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9.875% Senior Notes due 2024:</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Title: 9.875% Senior Notes due 2024</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Principal amount of Securities: $540,000,000</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Purchase price (before accrued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or amortization, if</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to the Initial Purchaser: 98.0%</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Sinking fund provisions: None</w:t>
      </w:r>
    </w:p>
    <w:p>
      <w:pPr>
        <w:spacing w:after="0" w:line="117"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Redemption provisions: The Notes may be redeemed by the Company at its option as set forth under “Optional Redemption” in the Preliminary Memorandum.</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Closing Date, Time and Location: November 18, 2016 at 10:00 a.m. EST at Latham &amp; Watkins LLP, special counsel for the Company and the Guarantors, at 811 Main Street, Suite 3700, Houston, Texas 77002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Type of Offering: 144A / Regulation 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 referred to in Section 5(f) after which the Company may offer or sell debt securities issued by the Company without the consent of the Initial Purchaser: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 days after pricing 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Modification of items to be covered by the letter KPMG LLP delivered pursuant to Section 6(j) at the Execution Time: None</w:t>
      </w:r>
    </w:p>
    <w:p>
      <w:pPr>
        <w:sectPr>
          <w:pgSz w:w="11900" w:h="16838" w:orient="portrait"/>
          <w:cols w:equalWidth="0" w:num="1">
            <w:col w:w="11340"/>
          </w:cols>
          <w:pgMar w:left="240" w:top="274" w:right="3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FORM OF OPINION OF COMPANY’S COUNSEL</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SECTION 6(a)</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[To be provided to Initial Purchaser]</w:t>
      </w:r>
    </w:p>
    <w:p>
      <w:pPr>
        <w:sectPr>
          <w:pgSz w:w="11900" w:h="16838" w:orient="portrait"/>
          <w:cols w:equalWidth="0" w:num="1">
            <w:col w:w="10220"/>
          </w:cols>
          <w:pgMar w:left="1440" w:top="27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FORM OF NEGATIVE ASSURANCE LETTER OF COMPANY’S COUNSEL</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SECTION 6(a)</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[To be provided to Initial Purchaser]</w:t>
      </w:r>
    </w:p>
    <w:p>
      <w:pPr>
        <w:sectPr>
          <w:pgSz w:w="11900" w:h="16838" w:orient="portrait"/>
          <w:cols w:equalWidth="0" w:num="1">
            <w:col w:w="10220"/>
          </w:cols>
          <w:pgMar w:left="1440" w:top="27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FORM OF OPINION OF COMPANY’S AND PARENT GUARANTOR’S IN-HOUSE</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COUNSEL</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SECTION 6(b)</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[To be provided to Initial Purchaser]</w:t>
      </w:r>
    </w:p>
    <w:p>
      <w:pPr>
        <w:sectPr>
          <w:pgSz w:w="11900" w:h="16838" w:orient="portrait"/>
          <w:cols w:equalWidth="0" w:num="1">
            <w:col w:w="10220"/>
          </w:cols>
          <w:pgMar w:left="1440" w:top="27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FORM OF OPINION OF COMPANY COUNSEL</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SECTION 6(c)</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[To be provided to Initial Purchaser]</w:t>
      </w:r>
    </w:p>
    <w:p>
      <w:pPr>
        <w:sectPr>
          <w:pgSz w:w="11900" w:h="16838" w:orient="portrait"/>
          <w:cols w:equalWidth="0" w:num="1">
            <w:col w:w="10220"/>
          </w:cols>
          <w:pgMar w:left="1440" w:top="274"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FORM OF OPINION OF PARENT GUARANTOR’S COUNSEL</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SECTION 6(d)</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[To be provided to Initial Purchaser]</w:t>
      </w:r>
    </w:p>
    <w:p>
      <w:pPr>
        <w:sectPr>
          <w:pgSz w:w="11900" w:h="16838" w:orient="portrait"/>
          <w:cols w:equalWidth="0" w:num="1">
            <w:col w:w="10220"/>
          </w:cols>
          <w:pgMar w:left="1440" w:top="27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E</w:t>
      </w:r>
    </w:p>
    <w:p>
      <w:pPr>
        <w:spacing w:after="0" w:line="225" w:lineRule="exact"/>
        <w:rPr>
          <w:sz w:val="20"/>
          <w:szCs w:val="20"/>
          <w:color w:val="auto"/>
        </w:rPr>
      </w:pPr>
    </w:p>
    <w:p>
      <w:pPr>
        <w:jc w:val="center"/>
        <w:ind w:left="1760" w:right="2940"/>
        <w:spacing w:after="0" w:line="272" w:lineRule="auto"/>
        <w:rPr>
          <w:sz w:val="20"/>
          <w:szCs w:val="20"/>
          <w:color w:val="auto"/>
        </w:rPr>
      </w:pPr>
      <w:r>
        <w:rPr>
          <w:rFonts w:ascii="Arial" w:cs="Arial" w:eastAsia="Arial" w:hAnsi="Arial"/>
          <w:sz w:val="18"/>
          <w:szCs w:val="18"/>
          <w:color w:val="auto"/>
        </w:rPr>
        <w:t>FORM OF OPINION OF PARENT GUARANTOR’S SPECIAL ADVISOR TO BE DELIVERED PURSUANT TO SECTION 6(e)</w:t>
      </w:r>
    </w:p>
    <w:p>
      <w:pPr>
        <w:spacing w:after="0" w:line="39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[To be provided to Initial Purchaser]</w:t>
      </w:r>
    </w:p>
    <w:p>
      <w:pPr>
        <w:sectPr>
          <w:pgSz w:w="11900" w:h="16838" w:orient="portrait"/>
          <w:cols w:equalWidth="0" w:num="1">
            <w:col w:w="10220"/>
          </w:cols>
          <w:pgMar w:left="1440" w:top="27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PLACEMENT AGENCY AGREEMENT</w:t>
      </w:r>
    </w:p>
    <w:p>
      <w:pPr>
        <w:spacing w:after="0" w:line="229"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November 16,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Weatherford International public limited company, an Irish public limited company (the “</w:t>
      </w:r>
      <w:r>
        <w:rPr>
          <w:rFonts w:ascii="Arial" w:cs="Arial" w:eastAsia="Arial" w:hAnsi="Arial"/>
          <w:sz w:val="16"/>
          <w:szCs w:val="16"/>
          <w:i w:val="1"/>
          <w:iCs w:val="1"/>
          <w:color w:val="auto"/>
        </w:rPr>
        <w:t>Company</w:t>
      </w:r>
      <w:r>
        <w:rPr>
          <w:rFonts w:ascii="Arial" w:cs="Arial" w:eastAsia="Arial" w:hAnsi="Arial"/>
          <w:sz w:val="16"/>
          <w:szCs w:val="16"/>
          <w:color w:val="auto"/>
        </w:rPr>
        <w:t>”), proposes, subject to the terms and conditions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Placement Agency Agreement (the “</w:t>
      </w:r>
      <w:r>
        <w:rPr>
          <w:rFonts w:ascii="Arial" w:cs="Arial" w:eastAsia="Arial" w:hAnsi="Arial"/>
          <w:sz w:val="17"/>
          <w:szCs w:val="17"/>
          <w:i w:val="1"/>
          <w:iCs w:val="1"/>
          <w:color w:val="auto"/>
        </w:rPr>
        <w:t>Agreement</w:t>
      </w:r>
      <w:r>
        <w:rPr>
          <w:rFonts w:ascii="Arial" w:cs="Arial" w:eastAsia="Arial" w:hAnsi="Arial"/>
          <w:sz w:val="17"/>
          <w:szCs w:val="17"/>
          <w:color w:val="auto"/>
        </w:rPr>
        <w:t>”) and the Subscription Agreements (defined below), to issue and sell to certain investors (each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Investor</w:t>
      </w:r>
      <w:r>
        <w:rPr>
          <w:rFonts w:ascii="Arial" w:cs="Arial" w:eastAsia="Arial" w:hAnsi="Arial"/>
          <w:sz w:val="16"/>
          <w:szCs w:val="16"/>
          <w:color w:val="auto"/>
        </w:rPr>
        <w:t xml:space="preserve">” and collectively the </w:t>
      </w:r>
      <w:r>
        <w:rPr>
          <w:rFonts w:ascii="Arial" w:cs="Arial" w:eastAsia="Arial" w:hAnsi="Arial"/>
          <w:sz w:val="16"/>
          <w:szCs w:val="16"/>
          <w:i w:val="1"/>
          <w:iCs w:val="1"/>
          <w:color w:val="auto"/>
        </w:rPr>
        <w:t>“Investors”</w:t>
      </w:r>
      <w:r>
        <w:rPr>
          <w:rFonts w:ascii="Arial" w:cs="Arial" w:eastAsia="Arial" w:hAnsi="Arial"/>
          <w:sz w:val="16"/>
          <w:szCs w:val="16"/>
          <w:color w:val="auto"/>
        </w:rPr>
        <w:t>) (i) up to an aggregate of 84,500,000 shares (the “</w:t>
      </w:r>
      <w:r>
        <w:rPr>
          <w:rFonts w:ascii="Arial" w:cs="Arial" w:eastAsia="Arial" w:hAnsi="Arial"/>
          <w:sz w:val="16"/>
          <w:szCs w:val="16"/>
          <w:i w:val="1"/>
          <w:iCs w:val="1"/>
          <w:color w:val="auto"/>
        </w:rPr>
        <w:t>Shares</w:t>
      </w:r>
      <w:r>
        <w:rPr>
          <w:rFonts w:ascii="Arial" w:cs="Arial" w:eastAsia="Arial" w:hAnsi="Arial"/>
          <w:sz w:val="16"/>
          <w:szCs w:val="16"/>
          <w:color w:val="auto"/>
        </w:rPr>
        <w:t>”) of the Company’s ordinary shares, par value $0.001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 share (the “</w:t>
      </w:r>
      <w:r>
        <w:rPr>
          <w:rFonts w:ascii="Arial" w:cs="Arial" w:eastAsia="Arial" w:hAnsi="Arial"/>
          <w:sz w:val="16"/>
          <w:szCs w:val="16"/>
          <w:i w:val="1"/>
          <w:iCs w:val="1"/>
          <w:color w:val="auto"/>
        </w:rPr>
        <w:t>Ordinary Shares</w:t>
      </w:r>
      <w:r>
        <w:rPr>
          <w:rFonts w:ascii="Arial" w:cs="Arial" w:eastAsia="Arial" w:hAnsi="Arial"/>
          <w:sz w:val="16"/>
          <w:szCs w:val="16"/>
          <w:color w:val="auto"/>
        </w:rPr>
        <w:t>”), and (ii) a warrant to purchase up to an additional 84,500,000 Ordinary Shares (the “</w:t>
      </w:r>
      <w:r>
        <w:rPr>
          <w:rFonts w:ascii="Arial" w:cs="Arial" w:eastAsia="Arial" w:hAnsi="Arial"/>
          <w:sz w:val="16"/>
          <w:szCs w:val="16"/>
          <w:i w:val="1"/>
          <w:iCs w:val="1"/>
          <w:color w:val="auto"/>
        </w:rPr>
        <w:t>Warrants</w:t>
      </w:r>
      <w:r>
        <w:rPr>
          <w:rFonts w:ascii="Arial" w:cs="Arial" w:eastAsia="Arial" w:hAnsi="Arial"/>
          <w:sz w:val="16"/>
          <w:szCs w:val="16"/>
          <w:color w:val="auto"/>
        </w:rPr>
        <w:t>”), in an offering under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S-3 (Registration No. 333-194431). The Shares and Warrants will be issued separately.</w:t>
      </w:r>
    </w:p>
    <w:p>
      <w:pPr>
        <w:spacing w:after="0" w:line="21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Ordinary Shares issuable upon exercise of the Warrants are referred to herein as the “</w:t>
      </w:r>
      <w:r>
        <w:rPr>
          <w:rFonts w:ascii="Arial" w:cs="Arial" w:eastAsia="Arial" w:hAnsi="Arial"/>
          <w:sz w:val="17"/>
          <w:szCs w:val="17"/>
          <w:i w:val="1"/>
          <w:iCs w:val="1"/>
          <w:color w:val="auto"/>
        </w:rPr>
        <w:t>Warrant Shares.</w:t>
      </w:r>
      <w:r>
        <w:rPr>
          <w:rFonts w:ascii="Arial" w:cs="Arial" w:eastAsia="Arial" w:hAnsi="Arial"/>
          <w:sz w:val="17"/>
          <w:szCs w:val="17"/>
          <w:color w:val="auto"/>
        </w:rPr>
        <w:t>” The Shares, the Warrants and the Warrant Shares are referred to herein, collectively, as the “</w:t>
      </w:r>
      <w:r>
        <w:rPr>
          <w:rFonts w:ascii="Arial" w:cs="Arial" w:eastAsia="Arial" w:hAnsi="Arial"/>
          <w:sz w:val="17"/>
          <w:szCs w:val="17"/>
          <w:i w:val="1"/>
          <w:iCs w:val="1"/>
          <w:color w:val="auto"/>
        </w:rPr>
        <w:t>Securities.</w:t>
      </w:r>
      <w:r>
        <w:rPr>
          <w:rFonts w:ascii="Arial" w:cs="Arial" w:eastAsia="Arial" w:hAnsi="Arial"/>
          <w:sz w:val="17"/>
          <w:szCs w:val="17"/>
          <w:color w:val="auto"/>
        </w:rPr>
        <w:t>” The Securities are more fully described in the Final Prospectus. The Company desires to engage J.P. Morgan Securities LLC as the placement agent in connection with such issuance and sale of the Securities.</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Any reference herein to the Registration Statement, the Base Prospectus, any Preliminary Prospectus or the Final Prospectus shall be deemed to refer to and include the documents incorporated by reference therein pursuant to Item 12 of Form S-3 which were filed under the Exchange Act on or before the Effective Date of the Registration Statement or the issue date of the Base Prospectus, any Preliminary Prospectus or the Final Prospectus, as the case may be; and any reference herein to the terms “amend,” “amendment” or “supplement” with respect to the Registration Statement, the Base Prospectus, any Preliminary Prospectus or the Final Prospectus shall be deemed to refer to and include the filing of any document under the Exchange Act after the Effective Date of the Registration Statement or the issue date of the Base Prospectus, any Preliminary Prospectus or the Final Prospectus, as the case may be, deemed to be incorporated therein by reference. Certain terms used herein are defined in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hereof.</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confirms its agreement with you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Agreement to Act as Placement Agent</w:t>
      </w:r>
      <w:r>
        <w:rPr>
          <w:rFonts w:ascii="Arial" w:cs="Arial" w:eastAsia="Arial" w:hAnsi="Arial"/>
          <w:sz w:val="18"/>
          <w:szCs w:val="18"/>
          <w:color w:val="auto"/>
        </w:rPr>
        <w:t>.</w:t>
      </w:r>
    </w:p>
    <w:p>
      <w:pPr>
        <w:spacing w:after="0" w:line="229" w:lineRule="exact"/>
        <w:rPr>
          <w:sz w:val="20"/>
          <w:szCs w:val="20"/>
          <w:color w:val="auto"/>
        </w:rPr>
      </w:pPr>
    </w:p>
    <w:p>
      <w:pPr>
        <w:ind w:right="120" w:firstLine="464"/>
        <w:spacing w:after="0" w:line="255" w:lineRule="auto"/>
        <w:tabs>
          <w:tab w:leader="none" w:pos="701"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the basis of the representations, warranties and agreements of the Company herein contained, and subject to all the terms and conditions of this Agreement, J.P. Morgan Securities LLC shall be the Company’s exclusive placement agent (in such capacity, the “</w:t>
      </w:r>
      <w:r>
        <w:rPr>
          <w:rFonts w:ascii="Arial" w:cs="Arial" w:eastAsia="Arial" w:hAnsi="Arial"/>
          <w:sz w:val="18"/>
          <w:szCs w:val="18"/>
          <w:i w:val="1"/>
          <w:iCs w:val="1"/>
          <w:color w:val="auto"/>
        </w:rPr>
        <w:t>Placement Agent</w:t>
      </w:r>
      <w:r>
        <w:rPr>
          <w:rFonts w:ascii="Arial" w:cs="Arial" w:eastAsia="Arial" w:hAnsi="Arial"/>
          <w:sz w:val="18"/>
          <w:szCs w:val="18"/>
          <w:color w:val="auto"/>
        </w:rPr>
        <w:t>”), acting on a reasonable best efforts basis, in connection with the issuance and sale by the Company of the Securities to the Investors in a proposed offering pursuant to the Registration Statement, with the terms of the offering to be subject to market conditions and negotiations among the Company, the Placement Agent and the prospective Investors (such offering shall be referred to herein as the “</w:t>
      </w:r>
      <w:r>
        <w:rPr>
          <w:rFonts w:ascii="Arial" w:cs="Arial" w:eastAsia="Arial" w:hAnsi="Arial"/>
          <w:sz w:val="18"/>
          <w:szCs w:val="18"/>
          <w:i w:val="1"/>
          <w:iCs w:val="1"/>
          <w:color w:val="auto"/>
        </w:rPr>
        <w:t>Offering</w:t>
      </w:r>
      <w:r>
        <w:rPr>
          <w:rFonts w:ascii="Arial" w:cs="Arial" w:eastAsia="Arial" w:hAnsi="Arial"/>
          <w:sz w:val="18"/>
          <w:szCs w:val="18"/>
          <w:color w:val="auto"/>
        </w:rPr>
        <w:t>”). As compensation for services rendered, and provided that any of the Securities are sold to Investors in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6" w:name="page47"/>
    <w:bookmarkEnd w:id="46"/>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Offering, on the Closing Date (as defined in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hereof) of the Offering, the Company shall pay to the Placement Agent an amount in the aggregate equal to 1.85% of the gross proceeds received by the Company from the sale of the Shares (the “</w:t>
      </w:r>
      <w:r>
        <w:rPr>
          <w:rFonts w:ascii="Arial" w:cs="Arial" w:eastAsia="Arial" w:hAnsi="Arial"/>
          <w:sz w:val="16"/>
          <w:szCs w:val="16"/>
          <w:i w:val="1"/>
          <w:iCs w:val="1"/>
          <w:color w:val="auto"/>
        </w:rPr>
        <w:t>Placement Fee</w:t>
      </w:r>
      <w:r>
        <w:rPr>
          <w:rFonts w:ascii="Arial" w:cs="Arial" w:eastAsia="Arial" w:hAnsi="Arial"/>
          <w:sz w:val="16"/>
          <w:szCs w:val="16"/>
          <w:color w:val="auto"/>
        </w:rPr>
        <w:t xml:space="preserve">”). The Placement Agent will not receive any fees in connection with the sale or exercise of the Warrants. The sale of the Securities shall be made pursuant to subscription agreements in the form included as </w:t>
      </w:r>
      <w:r>
        <w:rPr>
          <w:rFonts w:ascii="Arial" w:cs="Arial" w:eastAsia="Arial" w:hAnsi="Arial"/>
          <w:sz w:val="16"/>
          <w:szCs w:val="16"/>
          <w:u w:val="single" w:color="auto"/>
          <w:color w:val="auto"/>
        </w:rPr>
        <w:t>Exhibit A-2</w:t>
      </w:r>
      <w:r>
        <w:rPr>
          <w:rFonts w:ascii="Arial" w:cs="Arial" w:eastAsia="Arial" w:hAnsi="Arial"/>
          <w:sz w:val="16"/>
          <w:szCs w:val="16"/>
          <w:color w:val="auto"/>
        </w:rPr>
        <w:t xml:space="preserve"> hereto (each, a “</w:t>
      </w:r>
      <w:r>
        <w:rPr>
          <w:rFonts w:ascii="Arial" w:cs="Arial" w:eastAsia="Arial" w:hAnsi="Arial"/>
          <w:sz w:val="16"/>
          <w:szCs w:val="16"/>
          <w:i w:val="1"/>
          <w:iCs w:val="1"/>
          <w:color w:val="auto"/>
        </w:rPr>
        <w:t>Subscription Agreement</w:t>
      </w:r>
      <w:r>
        <w:rPr>
          <w:rFonts w:ascii="Arial" w:cs="Arial" w:eastAsia="Arial" w:hAnsi="Arial"/>
          <w:sz w:val="16"/>
          <w:szCs w:val="16"/>
          <w:color w:val="auto"/>
        </w:rPr>
        <w:t>” and collectively, the “</w:t>
      </w:r>
      <w:r>
        <w:rPr>
          <w:rFonts w:ascii="Arial" w:cs="Arial" w:eastAsia="Arial" w:hAnsi="Arial"/>
          <w:sz w:val="16"/>
          <w:szCs w:val="16"/>
          <w:i w:val="1"/>
          <w:iCs w:val="1"/>
          <w:color w:val="auto"/>
        </w:rPr>
        <w:t>Subscription Agreements</w:t>
      </w:r>
      <w:r>
        <w:rPr>
          <w:rFonts w:ascii="Arial" w:cs="Arial" w:eastAsia="Arial" w:hAnsi="Arial"/>
          <w:sz w:val="16"/>
          <w:szCs w:val="16"/>
          <w:color w:val="auto"/>
        </w:rPr>
        <w:t xml:space="preserve">”) on the terms described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The Company shall have the sole right to accept offers to purchase the Securities and may reject any such offer in whole or in part.</w:t>
      </w:r>
    </w:p>
    <w:p>
      <w:pPr>
        <w:spacing w:after="0" w:line="158" w:lineRule="exact"/>
        <w:rPr>
          <w:sz w:val="20"/>
          <w:szCs w:val="20"/>
          <w:color w:val="auto"/>
        </w:rPr>
      </w:pPr>
    </w:p>
    <w:p>
      <w:pPr>
        <w:ind w:right="40" w:firstLine="464"/>
        <w:spacing w:after="0" w:line="272" w:lineRule="auto"/>
        <w:tabs>
          <w:tab w:leader="none" w:pos="711"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This Agreement shall not give rise to any commitment by the Placement Agent to purchase any of the Securities, and the Placement Agent shall have no authority to bind the Company to accept offers to purchase the Securities. The Placement Agent shall act on a reasonable best efforts basis and does not guarantee that it will be able to raise new capital in the Offering. The Placement Agent may retain other brokers or dealers to act as sub-agents on its behalf in connection with the Offering, the fees of which shall be paid out of the Placement Fee. Prior to the earlier of (i) the date on which this Agreement is terminated and (ii) the Closing Date, the Company shall not, without the prior written consent of the Placement Agent, solicit or accept offers to purchase Securities (other than pursuant to the exercise of options or warrants to purchase Ordinary Shares that are outstanding at the date hereof) otherwise than through the Placement Agent in accordance herewith.</w:t>
      </w:r>
    </w:p>
    <w:p>
      <w:pPr>
        <w:spacing w:after="0" w:line="177" w:lineRule="exact"/>
        <w:rPr>
          <w:rFonts w:ascii="Arial" w:cs="Arial" w:eastAsia="Arial" w:hAnsi="Arial"/>
          <w:sz w:val="17"/>
          <w:szCs w:val="17"/>
          <w:color w:val="auto"/>
        </w:rPr>
      </w:pPr>
    </w:p>
    <w:p>
      <w:pPr>
        <w:ind w:firstLine="464"/>
        <w:spacing w:after="0" w:line="290" w:lineRule="auto"/>
        <w:tabs>
          <w:tab w:leader="none" w:pos="701" w:val="left"/>
        </w:tabs>
        <w:numPr>
          <w:ilvl w:val="1"/>
          <w:numId w:val="46"/>
        </w:numPr>
        <w:rPr>
          <w:rFonts w:ascii="Arial" w:cs="Arial" w:eastAsia="Arial" w:hAnsi="Arial"/>
          <w:sz w:val="16"/>
          <w:szCs w:val="16"/>
          <w:color w:val="auto"/>
        </w:rPr>
      </w:pPr>
      <w:r>
        <w:rPr>
          <w:rFonts w:ascii="Arial" w:cs="Arial" w:eastAsia="Arial" w:hAnsi="Arial"/>
          <w:sz w:val="16"/>
          <w:szCs w:val="16"/>
          <w:color w:val="auto"/>
        </w:rPr>
        <w:t>Payment of the purchase price for, and delivery of, the Securities shall be made at a closing (the “</w:t>
      </w:r>
      <w:r>
        <w:rPr>
          <w:rFonts w:ascii="Arial" w:cs="Arial" w:eastAsia="Arial" w:hAnsi="Arial"/>
          <w:sz w:val="16"/>
          <w:szCs w:val="16"/>
          <w:i w:val="1"/>
          <w:iCs w:val="1"/>
          <w:color w:val="auto"/>
        </w:rPr>
        <w:t>Closing</w:t>
      </w:r>
      <w:r>
        <w:rPr>
          <w:rFonts w:ascii="Arial" w:cs="Arial" w:eastAsia="Arial" w:hAnsi="Arial"/>
          <w:sz w:val="16"/>
          <w:szCs w:val="16"/>
          <w:color w:val="auto"/>
        </w:rPr>
        <w:t>”) at the offices of Morrison &amp; Foerster LLP, counsel for the Placement Agent, located at 250 West 55th Street, New York, New York, at 10:00 a.m., New York City time, on or before November 21, 2016 or at such time on such other date as may be agreed upon in writing by the Placement Agent and the Company (such date of payment and delivery being herein called the “</w:t>
      </w:r>
      <w:r>
        <w:rPr>
          <w:rFonts w:ascii="Arial" w:cs="Arial" w:eastAsia="Arial" w:hAnsi="Arial"/>
          <w:sz w:val="16"/>
          <w:szCs w:val="16"/>
          <w:i w:val="1"/>
          <w:iCs w:val="1"/>
          <w:color w:val="auto"/>
        </w:rPr>
        <w:t>Closing Date</w:t>
      </w:r>
      <w:r>
        <w:rPr>
          <w:rFonts w:ascii="Arial" w:cs="Arial" w:eastAsia="Arial" w:hAnsi="Arial"/>
          <w:sz w:val="16"/>
          <w:szCs w:val="16"/>
          <w:color w:val="auto"/>
        </w:rPr>
        <w:t>”). All such actions taken at the Closing shall be deemed to have occurred simultaneously. No Shares and Warrants which the Company has agreed to sell pursuant to this Agreement and the Subscription Agreements shall be deemed to have been purchased and paid for, or sold by the Company, until such Shares and Warrants shall have been delivered to the Investor thereof against payment therefor by such Investor. If the Company shall default in its obligations to deliver the Shares and Warrants to an Investor whose offer it has accepted, the Company shall indemnify and hold the Placement Agent harmless against any loss, claim or damage incurred by the Placement Agent arising from or as a result of such default by the Company.</w:t>
      </w:r>
    </w:p>
    <w:p>
      <w:pPr>
        <w:spacing w:after="0" w:line="166" w:lineRule="exact"/>
        <w:rPr>
          <w:rFonts w:ascii="Arial" w:cs="Arial" w:eastAsia="Arial" w:hAnsi="Arial"/>
          <w:sz w:val="16"/>
          <w:szCs w:val="16"/>
          <w:color w:val="auto"/>
        </w:rPr>
      </w:pPr>
    </w:p>
    <w:p>
      <w:pPr>
        <w:ind w:right="140" w:firstLine="464"/>
        <w:spacing w:after="0" w:line="288" w:lineRule="auto"/>
        <w:tabs>
          <w:tab w:leader="none" w:pos="711" w:val="left"/>
        </w:tabs>
        <w:numPr>
          <w:ilvl w:val="1"/>
          <w:numId w:val="46"/>
        </w:numPr>
        <w:rPr>
          <w:rFonts w:ascii="Arial" w:cs="Arial" w:eastAsia="Arial" w:hAnsi="Arial"/>
          <w:sz w:val="16"/>
          <w:szCs w:val="16"/>
          <w:color w:val="auto"/>
        </w:rPr>
      </w:pPr>
      <w:r>
        <w:rPr>
          <w:rFonts w:ascii="Arial" w:cs="Arial" w:eastAsia="Arial" w:hAnsi="Arial"/>
          <w:sz w:val="16"/>
          <w:szCs w:val="16"/>
          <w:color w:val="auto"/>
        </w:rPr>
        <w:t>On the Closing Date and on each closing date of the purchase and sale of Warrant Shares, (i) the Company shall deliver, or cause to be delivered, the Securities to the Investors or their designees, and the Investors shall deliver, or cause to be delivered, the purchase price for their respective Securities to the Company pursuant to the terms of the Subscription Agreements, “delivery versus payment” through the facilities of The Depository Trust Company and</w:t>
      </w: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will wire the amounts owed to the Placement Agent as provided in this Agreement.</w:t>
      </w:r>
    </w:p>
    <w:p>
      <w:pPr>
        <w:spacing w:after="0" w:line="210" w:lineRule="exact"/>
        <w:rPr>
          <w:rFonts w:ascii="Arial" w:cs="Arial" w:eastAsia="Arial" w:hAnsi="Arial"/>
          <w:sz w:val="18"/>
          <w:szCs w:val="18"/>
          <w:color w:val="auto"/>
        </w:rPr>
      </w:pPr>
    </w:p>
    <w:p>
      <w:pPr>
        <w:ind w:left="700" w:hanging="236"/>
        <w:spacing w:after="0"/>
        <w:tabs>
          <w:tab w:leader="none" w:pos="7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Securities shall be registered in such names and in such denominations as the Placement Agent shall request by written notice to the Company.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Representations, Warranties and Agreements of the Company</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hereby represents, warrants and covenants to the Placement Agent as of the date hereof, and as of the Closing Date, as follows:</w:t>
      </w:r>
    </w:p>
    <w:p>
      <w:pPr>
        <w:spacing w:after="0" w:line="237" w:lineRule="exact"/>
        <w:rPr>
          <w:sz w:val="20"/>
          <w:szCs w:val="20"/>
          <w:color w:val="auto"/>
        </w:rPr>
      </w:pPr>
    </w:p>
    <w:p>
      <w:pPr>
        <w:ind w:right="540" w:firstLine="464"/>
        <w:spacing w:after="0" w:line="277" w:lineRule="auto"/>
        <w:tabs>
          <w:tab w:leader="none" w:pos="7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meets the requirements for use of Form S-3 under the Act and has prepared and filed with the Commission an automatic shelf registration statement, as defined in Rule 405,</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47" w:name="page48"/>
    <w:bookmarkEnd w:id="47"/>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Form S-3, including a related Base Prospectus, for registration under the Act of the offering and sale of the Securities. Such Registration Statement, including any amendments thereto filed prior to the Execution Time, became effective upon filing. The Company may have filed with the Commission, as part of an amendment to the Registration Statement or pursuant to Rule 424(b), one or more Preliminary Prospectuses relating to the Securities, each of which has previously been furnished to you. The Company will file with the Commission a Final Prospectus relating to the Securities in accordance with Rule 424(b). As filed, such Final Prospectus shall contain all information required by the Act, and, except to the extent the Placement Agent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Base Prospectus and any Preliminary Prospectus) as the Company has advised you, prior to the Execution Time, will be included or made therein. The Registration Statement, at the Execution Time, meets the requirements set forth in Rule 415(a)(1)(x). The initial Effective Date of the Registration Statement was not earlier than the date three years before the Execution Time.</w:t>
      </w:r>
    </w:p>
    <w:p>
      <w:pPr>
        <w:spacing w:after="0" w:line="195" w:lineRule="exact"/>
        <w:rPr>
          <w:sz w:val="20"/>
          <w:szCs w:val="20"/>
          <w:color w:val="auto"/>
        </w:rPr>
      </w:pPr>
    </w:p>
    <w:p>
      <w:pPr>
        <w:ind w:firstLine="464"/>
        <w:spacing w:after="0" w:line="269" w:lineRule="auto"/>
        <w:tabs>
          <w:tab w:leader="none" w:pos="711"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On each Effective Date, the Registration Statement did, and when the Final Prospectus is first filed in accordance with Rule 424(b) and on the Closing Date, the Final Prospectus (and any supplement thereto) will, comply in all material respects with the applicable requirements of the Act and the Exchange Act; on each Effective Date, at the Execution Time and on the Closing Date,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Final Prospectus (together with any supplement thereto) will not include any untrue statement of a material fact or omit to state a material fact necessary in order to make the statements therein, in the light of the circumstances under which they were made, not misleading; provided, however, that the Company makes no representations or warranties as to the information contained in or omitted from the Registration Statement or the Final Prospectus (or any supplement thereto) in reliance upon and in conformity with information furnished in writing to the Company by or on behalf of the Placement Agent specifically for inclusion in the Registration Statement or the Final Prospectus (or any supplement thereto), which information the parties hereto agree is limited to the Placement Agent Information (as defined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w:t>
      </w:r>
    </w:p>
    <w:p>
      <w:pPr>
        <w:spacing w:after="0" w:line="182" w:lineRule="exact"/>
        <w:rPr>
          <w:rFonts w:ascii="Arial" w:cs="Arial" w:eastAsia="Arial" w:hAnsi="Arial"/>
          <w:sz w:val="17"/>
          <w:szCs w:val="17"/>
          <w:color w:val="auto"/>
        </w:rPr>
      </w:pPr>
    </w:p>
    <w:p>
      <w:pPr>
        <w:ind w:firstLine="464"/>
        <w:spacing w:after="0" w:line="257" w:lineRule="auto"/>
        <w:tabs>
          <w:tab w:leader="none" w:pos="7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The Disclosure Package and (ii) each electronic road show, when taken together as a whole with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the Placement Agent specifically for use therein, which information the parties hereto agree is limited to the Placement Agent Information.</w:t>
      </w:r>
    </w:p>
    <w:p>
      <w:pPr>
        <w:spacing w:after="0" w:line="188" w:lineRule="exact"/>
        <w:rPr>
          <w:rFonts w:ascii="Arial" w:cs="Arial" w:eastAsia="Arial" w:hAnsi="Arial"/>
          <w:sz w:val="18"/>
          <w:szCs w:val="18"/>
          <w:color w:val="auto"/>
        </w:rPr>
      </w:pPr>
    </w:p>
    <w:p>
      <w:pPr>
        <w:jc w:val="both"/>
        <w:ind w:right="380" w:firstLine="464"/>
        <w:spacing w:after="0" w:line="257" w:lineRule="auto"/>
        <w:tabs>
          <w:tab w:leader="none" w:pos="7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At the time of filing the Registration Statement and (ii) at the time of the most recent amendment thereto for the purposes of complying with Section 10(a)(3) of the Act (whether such amendment was by post-effective amendment, incorporated report filed pursuant to Sections 13 or 15(d) of the Exchange Act or form of prospectus), the Company was a Well-Known Seasoned Issuer (as defined in Rule 405). The Company agrees to pay the fees required by the Commission relating to the Securities within the time required by Rule 456(b)(1) without regard to the proviso therein and otherwise in accordance with Rules 456(b) and 457(r).</w:t>
      </w:r>
    </w:p>
    <w:p>
      <w:pPr>
        <w:spacing w:after="0" w:line="188" w:lineRule="exact"/>
        <w:rPr>
          <w:rFonts w:ascii="Arial" w:cs="Arial" w:eastAsia="Arial" w:hAnsi="Arial"/>
          <w:sz w:val="18"/>
          <w:szCs w:val="18"/>
          <w:color w:val="auto"/>
        </w:rPr>
      </w:pPr>
    </w:p>
    <w:p>
      <w:pPr>
        <w:ind w:left="700" w:hanging="23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8" w:name="page49"/>
    <w:bookmarkEnd w:id="48"/>
    <w:p>
      <w:pPr>
        <w:ind w:left="-20" w:firstLine="464"/>
        <w:spacing w:after="0" w:line="257" w:lineRule="auto"/>
        <w:tabs>
          <w:tab w:leader="none" w:pos="661"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Issuer Free Writing Prospectus does not include any information that conflicts with the information contained in the Registration Statement or the Disclosure Package, including any document incorporated by reference therein and any prospectus supplement deemed to be a part thereof that has not been superseded or modified. The preceding sentence does not apply to statements in or omissions from the Disclosure Package based upon and in conformity with written information furnished to the Company by the Placement Agent specifically for use therein, which information the parties hereto agree is limited to the Placement Agent Information.</w:t>
      </w:r>
    </w:p>
    <w:p>
      <w:pPr>
        <w:spacing w:after="0" w:line="188" w:lineRule="exact"/>
        <w:rPr>
          <w:rFonts w:ascii="Arial" w:cs="Arial" w:eastAsia="Arial" w:hAnsi="Arial"/>
          <w:sz w:val="18"/>
          <w:szCs w:val="18"/>
          <w:color w:val="auto"/>
        </w:rPr>
      </w:pPr>
    </w:p>
    <w:p>
      <w:pPr>
        <w:ind w:left="-20" w:right="640" w:firstLine="464"/>
        <w:spacing w:after="0" w:line="264" w:lineRule="auto"/>
        <w:tabs>
          <w:tab w:leader="none" w:pos="69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interactive data in the eXtensible Business Reporting Language included as an exhibit to the Registration Statement and the documents incorporated by reference therein fairly presents the information called for in all material respects and has been prepared in accordance with the Commission’s rules and guidelines applicable thereto.</w:t>
      </w:r>
    </w:p>
    <w:p>
      <w:pPr>
        <w:spacing w:after="0" w:line="181" w:lineRule="exact"/>
        <w:rPr>
          <w:rFonts w:ascii="Arial" w:cs="Arial" w:eastAsia="Arial" w:hAnsi="Arial"/>
          <w:sz w:val="18"/>
          <w:szCs w:val="18"/>
          <w:color w:val="auto"/>
        </w:rPr>
      </w:pPr>
    </w:p>
    <w:p>
      <w:pPr>
        <w:ind w:left="-20" w:right="80" w:firstLine="464"/>
        <w:spacing w:after="0" w:line="264" w:lineRule="auto"/>
        <w:tabs>
          <w:tab w:leader="none" w:pos="691"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Company has not distributed and will not distribute, prior to the Closing Date, any offering material in connection with the offering and sale of the Securities other than the Preliminary Prospectus, the Final Prospectus, any Issuer Free Writing Prospectus included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any Permitted Free Writing Prospectus or the Registration Statement.</w:t>
      </w:r>
    </w:p>
    <w:p>
      <w:pPr>
        <w:spacing w:after="0" w:line="181" w:lineRule="exact"/>
        <w:rPr>
          <w:rFonts w:ascii="Arial" w:cs="Arial" w:eastAsia="Arial" w:hAnsi="Arial"/>
          <w:sz w:val="18"/>
          <w:szCs w:val="18"/>
          <w:color w:val="auto"/>
        </w:rPr>
      </w:pPr>
    </w:p>
    <w:p>
      <w:pPr>
        <w:ind w:left="-20" w:right="80" w:firstLine="464"/>
        <w:spacing w:after="0" w:line="273" w:lineRule="auto"/>
        <w:tabs>
          <w:tab w:leader="none" w:pos="651"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documents incorporated or deemed to be incorporated by reference in the Registration Statement, the Final Prospectus and the Disclosure Package (collectively, the “</w:t>
      </w:r>
      <w:r>
        <w:rPr>
          <w:rFonts w:ascii="Arial" w:cs="Arial" w:eastAsia="Arial" w:hAnsi="Arial"/>
          <w:sz w:val="17"/>
          <w:szCs w:val="17"/>
          <w:i w:val="1"/>
          <w:iCs w:val="1"/>
          <w:color w:val="auto"/>
        </w:rPr>
        <w:t>Incorporated Documents</w:t>
      </w:r>
      <w:r>
        <w:rPr>
          <w:rFonts w:ascii="Arial" w:cs="Arial" w:eastAsia="Arial" w:hAnsi="Arial"/>
          <w:sz w:val="17"/>
          <w:szCs w:val="17"/>
          <w:color w:val="auto"/>
        </w:rPr>
        <w:t>”) at the time they were or hereafter are filed with the Commission, complied and will comply in all material respects with the requirements of the Exchange Act, and, when read together with the other information in such Registration Statement, Final Prospectus or Disclosure Package, as the case may be, at the time the Registration Statement became effective, at the time the Final Prospectus was issued, at the Execution Time and at the Closing Date, did not and will not contain an untrue statement of a material fact or omit to state a material fact required to be stated therein or necessary to make the statements therein not misleading.</w:t>
      </w:r>
    </w:p>
    <w:p>
      <w:pPr>
        <w:spacing w:after="0" w:line="178" w:lineRule="exact"/>
        <w:rPr>
          <w:rFonts w:ascii="Arial" w:cs="Arial" w:eastAsia="Arial" w:hAnsi="Arial"/>
          <w:sz w:val="17"/>
          <w:szCs w:val="17"/>
          <w:color w:val="auto"/>
        </w:rPr>
      </w:pPr>
    </w:p>
    <w:p>
      <w:pPr>
        <w:ind w:left="-20" w:right="80" w:firstLine="464"/>
        <w:spacing w:after="0" w:line="277" w:lineRule="auto"/>
        <w:tabs>
          <w:tab w:leader="none" w:pos="65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accountants who certified the financial statements and supporting schedules included in the Registration Statement, the Disclosure Package and the Final Prospectus are an independent registered public accounting firm as required by the Act.</w:t>
      </w:r>
    </w:p>
    <w:p>
      <w:pPr>
        <w:spacing w:after="0" w:line="170" w:lineRule="exact"/>
        <w:rPr>
          <w:rFonts w:ascii="Arial" w:cs="Arial" w:eastAsia="Arial" w:hAnsi="Arial"/>
          <w:sz w:val="18"/>
          <w:szCs w:val="18"/>
          <w:color w:val="auto"/>
        </w:rPr>
      </w:pPr>
    </w:p>
    <w:p>
      <w:pPr>
        <w:ind w:left="-20" w:right="60" w:firstLine="464"/>
        <w:spacing w:after="0" w:line="288" w:lineRule="auto"/>
        <w:tabs>
          <w:tab w:leader="none" w:pos="691"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consolidated financial statements included in the Registration Statement, the Final Prospectus and the Disclosure Package present fairly in all material respects the financial position of the Company and its consolidated subsidiaries at the dates indicated and the statement of operations, shareholders’ equity and cash flows of the Company and its consolidated subsidiaries for the periods specified all prepared in conformity with generally accepted accounting principles (“</w:t>
      </w:r>
      <w:r>
        <w:rPr>
          <w:rFonts w:ascii="Arial" w:cs="Arial" w:eastAsia="Arial" w:hAnsi="Arial"/>
          <w:sz w:val="16"/>
          <w:szCs w:val="16"/>
          <w:i w:val="1"/>
          <w:iCs w:val="1"/>
          <w:color w:val="auto"/>
        </w:rPr>
        <w:t>GAAP</w:t>
      </w:r>
      <w:r>
        <w:rPr>
          <w:rFonts w:ascii="Arial" w:cs="Arial" w:eastAsia="Arial" w:hAnsi="Arial"/>
          <w:sz w:val="16"/>
          <w:szCs w:val="16"/>
          <w:color w:val="auto"/>
        </w:rPr>
        <w:t>”) (subject, in the case of interim statements, to normal year-end audit adjustments); the consolidated financial statements and the related financial statement schedules included in the Registration Statement comply as to form in all material respects with the applicable accounting requirements of the Act and the Exchange Act and the related rules and regulations adopted by the Commission; and the Company has no material contingent obligation that is not disclosed in such financial statements or in the Registration Statement, Final Prospectus or Disclosure Package. The supporting schedules, if any, included in the Registration Statement present fairly in accordance with GAAP the information required to be stated therein. The capitalization table and the ratio of earnings to fixed charges included in the Final Prospectus and Disclosure Package present fairly the information shown therein and have been compiled on a basis consistent with that of the audited financial statements included in the Registration Statement.</w:t>
      </w:r>
    </w:p>
    <w:p>
      <w:pPr>
        <w:spacing w:after="0" w:line="169" w:lineRule="exact"/>
        <w:rPr>
          <w:rFonts w:ascii="Arial" w:cs="Arial" w:eastAsia="Arial" w:hAnsi="Arial"/>
          <w:sz w:val="16"/>
          <w:szCs w:val="16"/>
          <w:color w:val="auto"/>
        </w:rPr>
      </w:pPr>
    </w:p>
    <w:p>
      <w:pPr>
        <w:ind w:left="-20" w:right="40" w:firstLine="464"/>
        <w:spacing w:after="0" w:line="342" w:lineRule="auto"/>
        <w:tabs>
          <w:tab w:leader="none" w:pos="651" w:val="left"/>
        </w:tabs>
        <w:numPr>
          <w:ilvl w:val="0"/>
          <w:numId w:val="50"/>
        </w:numPr>
        <w:rPr>
          <w:rFonts w:ascii="Arial" w:cs="Arial" w:eastAsia="Arial" w:hAnsi="Arial"/>
          <w:sz w:val="16"/>
          <w:szCs w:val="16"/>
          <w:color w:val="auto"/>
        </w:rPr>
      </w:pPr>
      <w:r>
        <w:rPr>
          <w:rFonts w:ascii="Arial" w:cs="Arial" w:eastAsia="Arial" w:hAnsi="Arial"/>
          <w:sz w:val="16"/>
          <w:szCs w:val="16"/>
          <w:color w:val="auto"/>
        </w:rPr>
        <w:t>Since the respective dates as of which information is given in the Registration Statement, the Final Prospectus and the Disclosure Package, except as otherwise stated therein, (A) there has been no material adverse change in the consolidated financial position, shareholders’ equity, results of operations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74" w:right="239" w:bottom="1440" w:gutter="0" w:footer="0" w:header="0"/>
        </w:sectPr>
      </w:pPr>
    </w:p>
    <w:bookmarkStart w:id="49" w:name="page50"/>
    <w:bookmarkEnd w:id="4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business of the Company and its subsidiaries considered as one enterprise, whether or not arising in the ordinary course of business (a “</w:t>
      </w:r>
      <w:r>
        <w:rPr>
          <w:rFonts w:ascii="Arial" w:cs="Arial" w:eastAsia="Arial" w:hAnsi="Arial"/>
          <w:sz w:val="18"/>
          <w:szCs w:val="18"/>
          <w:i w:val="1"/>
          <w:iCs w:val="1"/>
          <w:color w:val="auto"/>
        </w:rPr>
        <w:t>Material Adverse</w:t>
      </w:r>
      <w:r>
        <w:rPr>
          <w:rFonts w:ascii="Arial" w:cs="Arial" w:eastAsia="Arial" w:hAnsi="Arial"/>
          <w:sz w:val="18"/>
          <w:szCs w:val="18"/>
          <w:color w:val="auto"/>
        </w:rPr>
        <w:t xml:space="preserve"> </w:t>
      </w:r>
      <w:r>
        <w:rPr>
          <w:rFonts w:ascii="Arial" w:cs="Arial" w:eastAsia="Arial" w:hAnsi="Arial"/>
          <w:sz w:val="18"/>
          <w:szCs w:val="18"/>
          <w:i w:val="1"/>
          <w:iCs w:val="1"/>
          <w:color w:val="auto"/>
        </w:rPr>
        <w:t>Effect</w:t>
      </w:r>
      <w:r>
        <w:rPr>
          <w:rFonts w:ascii="Arial" w:cs="Arial" w:eastAsia="Arial" w:hAnsi="Arial"/>
          <w:sz w:val="18"/>
          <w:szCs w:val="18"/>
          <w:color w:val="auto"/>
        </w:rPr>
        <w:t>”), (B) there have been no transactions entered into by the Company or any of its subsidiaries, other than those in the ordinary course of business,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material with respect to the Company and its subsidiaries considered as one enterprise, and (C) there has been no dividend or distribution of any kind declared, paid or made by the Company on any class of its share capital.</w:t>
      </w:r>
    </w:p>
    <w:p>
      <w:pPr>
        <w:spacing w:after="0" w:line="187" w:lineRule="exact"/>
        <w:rPr>
          <w:sz w:val="20"/>
          <w:szCs w:val="20"/>
          <w:color w:val="auto"/>
        </w:rPr>
      </w:pPr>
    </w:p>
    <w:p>
      <w:pPr>
        <w:ind w:firstLine="464"/>
        <w:spacing w:after="0" w:line="297" w:lineRule="auto"/>
        <w:tabs>
          <w:tab w:leader="none" w:pos="761"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as an Irish public limited company in good standing (to the extent applicable) and has company power and authority to own, lease and operate its properties and to conduct its business as described in the Final Prospectus and the Disclosure Package and to enter into and perform its obligations under this Agreement;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158" w:lineRule="exact"/>
        <w:rPr>
          <w:rFonts w:ascii="Arial" w:cs="Arial" w:eastAsia="Arial" w:hAnsi="Arial"/>
          <w:sz w:val="16"/>
          <w:szCs w:val="16"/>
          <w:color w:val="auto"/>
        </w:rPr>
      </w:pPr>
    </w:p>
    <w:p>
      <w:pPr>
        <w:ind w:firstLine="464"/>
        <w:spacing w:after="0" w:line="293" w:lineRule="auto"/>
        <w:tabs>
          <w:tab w:leader="none" w:pos="711"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of the subsidiaries (as defined in Rule 405) of the Company have been duly incorporated or formed and are validly existing as corporations, limited liability companies, limited partnerships or other forms of entities, as the case may be, in good standing under the laws of their respective jurisdictions of incorporation or formation (to the extent applicable), have the requisite power and authority to own their respective properties and conduct their respective businesses, are duly qualified to do business and are in good standing as foreign corporations, limited liability companies, limited partnerships or other forms of entities in each jurisdiction in which their respective ownership or lease of property or the conduct of their respective businesses requires such qualification, except to the extent that the failure to be so qualified or be in good standing would not have a Material Adverse Effect.</w:t>
      </w:r>
    </w:p>
    <w:p>
      <w:pPr>
        <w:spacing w:after="0" w:line="164" w:lineRule="exact"/>
        <w:rPr>
          <w:rFonts w:ascii="Arial" w:cs="Arial" w:eastAsia="Arial" w:hAnsi="Arial"/>
          <w:sz w:val="16"/>
          <w:szCs w:val="16"/>
          <w:color w:val="auto"/>
        </w:rPr>
      </w:pPr>
    </w:p>
    <w:p>
      <w:pPr>
        <w:ind w:firstLine="464"/>
        <w:spacing w:after="0" w:line="268" w:lineRule="auto"/>
        <w:tabs>
          <w:tab w:leader="none" w:pos="711"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Company’s authorized equity capitalization is as set forth in the Disclosure Package and the Final Prospectus; the capital stock of the Company conforms to the description thereof contained in the Disclosure Package and the Final Prospectus; the outstanding Ordinary Shares have been duly and validly authorized and issued and are fully paid and nonassessable; the Shares have been duly and validly authorized, and, when issued and delivered to and paid for by the Investors pursuant to the Subscription Agreements, will be fully paid and nonassessable and conform to the description thereof contained in the Disclosure Package and the Final Prospectus; any certificates for the Securities are in valid and sufficient form; the holders of outstanding shares of capital stock of the Company are not entitled to preemptive or other rights to subscribe for the Securities; and, except as set forth in the Disclosure Package and the Final Prospectus, no options, warrants or other rights to purchase, agreements or other obligations to issue, or rights to convert any obligations into or exchange any securities for, shares of capital stock of or ownership interests in the Company are outstanding. The Warrants have been duly and validly authorized and issued and conform to the description thereof contained in the Disclosure Package and the Final Prospectus. The Warrant Shares have been duly authorized and reserved for issuance and, when issued and delivered to and paid for by the Investors upon valid exercise of the Warrants and subject to the terms and conditions set forth in the applicable Subscription Agreement, will be validly issued, fully paid and nonassessable, and will not be subject to preemptive or similar rights. The Warrant Shares, when so issued, will conform in all material respects to the description thereof contained in the Disclosure Package and the Final Prospectus.</w:t>
      </w:r>
    </w:p>
    <w:p>
      <w:pPr>
        <w:spacing w:after="0" w:line="187" w:lineRule="exact"/>
        <w:rPr>
          <w:rFonts w:ascii="Arial" w:cs="Arial" w:eastAsia="Arial" w:hAnsi="Arial"/>
          <w:sz w:val="17"/>
          <w:szCs w:val="17"/>
          <w:color w:val="auto"/>
        </w:rPr>
      </w:pPr>
    </w:p>
    <w:p>
      <w:pPr>
        <w:ind w:firstLine="464"/>
        <w:spacing w:after="0" w:line="259" w:lineRule="auto"/>
        <w:tabs>
          <w:tab w:leader="none" w:pos="7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the outstanding shares of capital stock of each subsidiary have been duly and validly authorized and issued and are fully paid and nonassessable, and, except as otherwise set forth in the Disclosure Package and the Final Prospectus, all outstanding shares of capital stock of the subsidiaries are owned by the Company either directly or through wholly owned subsidiaries free and clear of any perfected security interest or any other security interests, claims, liens or encumbrances.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50" w:name="page51"/>
    <w:bookmarkEnd w:id="50"/>
    <w:p>
      <w:pPr>
        <w:ind w:left="720" w:hanging="256"/>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has been duly authorized, executed and delivered by the Company.</w:t>
      </w:r>
    </w:p>
    <w:p>
      <w:pPr>
        <w:spacing w:after="0" w:line="225" w:lineRule="exact"/>
        <w:rPr>
          <w:rFonts w:ascii="Arial" w:cs="Arial" w:eastAsia="Arial" w:hAnsi="Arial"/>
          <w:sz w:val="18"/>
          <w:szCs w:val="18"/>
          <w:color w:val="auto"/>
        </w:rPr>
      </w:pPr>
    </w:p>
    <w:p>
      <w:pPr>
        <w:ind w:firstLine="464"/>
        <w:spacing w:after="0" w:line="285" w:lineRule="auto"/>
        <w:tabs>
          <w:tab w:leader="none" w:pos="681" w:val="left"/>
        </w:tabs>
        <w:numPr>
          <w:ilvl w:val="0"/>
          <w:numId w:val="52"/>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 in violation of its charter, constitution, memorandum and articles of association or bye-laws or similar governing document, as applicable, (ii) in default, and no event has occurred which, with notice or lapse of time or both, would constitute such a default, in the due performance or observance of any term, obligation, agreement, covenant or condition contained in any contract, indenture, mortgage, deed of trust, loan or credit agreement, lease or other agreement or instrument to which it is a party or by which it is bound or which any of its properties or assets may be subject (collectively, “</w:t>
      </w:r>
      <w:r>
        <w:rPr>
          <w:rFonts w:ascii="Arial" w:cs="Arial" w:eastAsia="Arial" w:hAnsi="Arial"/>
          <w:sz w:val="16"/>
          <w:szCs w:val="16"/>
          <w:i w:val="1"/>
          <w:iCs w:val="1"/>
          <w:color w:val="auto"/>
        </w:rPr>
        <w:t>Agreements and Instruments</w:t>
      </w:r>
      <w:r>
        <w:rPr>
          <w:rFonts w:ascii="Arial" w:cs="Arial" w:eastAsia="Arial" w:hAnsi="Arial"/>
          <w:sz w:val="16"/>
          <w:szCs w:val="16"/>
          <w:color w:val="auto"/>
        </w:rPr>
        <w:t>”) or (iii) in violation of any law, ordinance, governmental rule, regulation or court decree to which it or its property or assets may be subject, except with respect to (ii) or (iii), for any such violations or defaults that would not be reasonably likely, singly or in the aggregate, to have a Material Adverse Effect; and the execution, delivery and performance of this Agreement and the consummation of the transactions contemplated herein and in the Registration Statement (including the issuance and sale of the Securities and the use of the proceeds from the sale of the Securities as described in the Disclosure Package and the Final Prospectus under the caption “Use of Proceeds”) and compliance by the Company with its obligations hereunder, and the fulfillment of the terms hereof, have been duly authorized by all necessary corporate action and do not and will not, whether with or without the giving of notice or passage of time or both, (i) conflict with or result in a breach or violation of any of the terms or provisions of, or constitute a default or Repayment Event (as defined below) under, or result in the creation or imposition of any lien, charge or encumbrance upon any property or assets of the Company or any of its subsidiaries pursuant to, the Agreements and Instruments, (ii) result in any violation of the provisions of the charter, constitution, memorandum and articles of association, organizational regulations or bye-laws (or similar governing document) of the Company or any of its subsidiaries or (iii) result in any violation of any applicable law, statute, rule, regulation, judgment, order, writ or decree of any government, government instrumentality or court, domestic or foreign, having jurisdiction over the Company or any of its subsidiaries or any of their assets, properties or operations; except for such conflict, breach, violation or default which would, for purposes of clauses (i) and (iii) above, either individually or in the aggregate, not have a Material Adverse Effect or materially and adversely affect the consummation of the transactions contemplated in this Agreement or the performance by the Company of its obligations hereunder. As used herein, a “</w:t>
      </w:r>
      <w:r>
        <w:rPr>
          <w:rFonts w:ascii="Arial" w:cs="Arial" w:eastAsia="Arial" w:hAnsi="Arial"/>
          <w:sz w:val="16"/>
          <w:szCs w:val="16"/>
          <w:i w:val="1"/>
          <w:iCs w:val="1"/>
          <w:color w:val="auto"/>
        </w:rPr>
        <w:t>Repayment Event</w:t>
      </w:r>
      <w:r>
        <w:rPr>
          <w:rFonts w:ascii="Arial" w:cs="Arial" w:eastAsia="Arial" w:hAnsi="Arial"/>
          <w:sz w:val="16"/>
          <w:szCs w:val="16"/>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384" w:lineRule="exact"/>
        <w:rPr>
          <w:rFonts w:ascii="Arial" w:cs="Arial" w:eastAsia="Arial" w:hAnsi="Arial"/>
          <w:sz w:val="16"/>
          <w:szCs w:val="16"/>
          <w:color w:val="auto"/>
        </w:rPr>
      </w:pPr>
    </w:p>
    <w:p>
      <w:pPr>
        <w:ind w:right="180" w:firstLine="464"/>
        <w:spacing w:after="0" w:line="264" w:lineRule="auto"/>
        <w:tabs>
          <w:tab w:leader="none" w:pos="691"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labor dispute with the employees of the Company or any of its subsidiaries exists or, to the knowledge of the Company, is imminent, which would reasonably be expected to have a Material Adverse Effect; and there are no significant unfair labor practice complaints pending against the Company or any of its subsidiaries or, to the knowledge of the Company, threatened against any of them.</w:t>
      </w:r>
    </w:p>
    <w:p>
      <w:pPr>
        <w:spacing w:after="0" w:line="181" w:lineRule="exact"/>
        <w:rPr>
          <w:rFonts w:ascii="Arial" w:cs="Arial" w:eastAsia="Arial" w:hAnsi="Arial"/>
          <w:sz w:val="18"/>
          <w:szCs w:val="18"/>
          <w:color w:val="auto"/>
        </w:rPr>
      </w:pPr>
    </w:p>
    <w:p>
      <w:pPr>
        <w:ind w:right="60" w:firstLine="464"/>
        <w:spacing w:after="0" w:line="254" w:lineRule="auto"/>
        <w:tabs>
          <w:tab w:leader="none" w:pos="671"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respect to the ordinary share options (the “</w:t>
      </w:r>
      <w:r>
        <w:rPr>
          <w:rFonts w:ascii="Arial" w:cs="Arial" w:eastAsia="Arial" w:hAnsi="Arial"/>
          <w:sz w:val="18"/>
          <w:szCs w:val="18"/>
          <w:i w:val="1"/>
          <w:iCs w:val="1"/>
          <w:color w:val="auto"/>
        </w:rPr>
        <w:t>Ordinary Share Options</w:t>
      </w:r>
      <w:r>
        <w:rPr>
          <w:rFonts w:ascii="Arial" w:cs="Arial" w:eastAsia="Arial" w:hAnsi="Arial"/>
          <w:sz w:val="18"/>
          <w:szCs w:val="18"/>
          <w:color w:val="auto"/>
        </w:rPr>
        <w:t>”) granted pursuant to the ordinary share-based compensation plans of the Company and its subsidiaries (the “</w:t>
      </w:r>
      <w:r>
        <w:rPr>
          <w:rFonts w:ascii="Arial" w:cs="Arial" w:eastAsia="Arial" w:hAnsi="Arial"/>
          <w:sz w:val="18"/>
          <w:szCs w:val="18"/>
          <w:i w:val="1"/>
          <w:iCs w:val="1"/>
          <w:color w:val="auto"/>
        </w:rPr>
        <w:t>Company Ordinary Share Plans</w:t>
      </w:r>
      <w:r>
        <w:rPr>
          <w:rFonts w:ascii="Arial" w:cs="Arial" w:eastAsia="Arial" w:hAnsi="Arial"/>
          <w:sz w:val="18"/>
          <w:szCs w:val="18"/>
          <w:color w:val="auto"/>
        </w:rPr>
        <w:t>”), (i) each grant of an Ordinary Share Option was duly authorized no later than the date on which the grant of such Ordinary Share Option was by its terms to be effective by all necessary corporate action,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each party thereto, and (ii) each such grant was made in accordance with the terms of the Company Ordinary Share Plans, the Act, the Exchange Act and all other applicable laws and regulatory rules or requirements. The Company has not knowingly granted, and there is no and has been no policy or practice of the Company of granting Ordinary Share Options prior to,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1" w:name="page52"/>
    <w:bookmarkEnd w:id="51"/>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coordinating the grant of Ordinary Share Options with, the release or other public announcement of material information regarding the Company or its subsidiaries or their results of operations or prospects.</w:t>
      </w:r>
    </w:p>
    <w:p>
      <w:pPr>
        <w:spacing w:after="0" w:line="170" w:lineRule="exact"/>
        <w:rPr>
          <w:sz w:val="20"/>
          <w:szCs w:val="20"/>
          <w:color w:val="auto"/>
        </w:rPr>
      </w:pPr>
    </w:p>
    <w:p>
      <w:pPr>
        <w:ind w:right="40" w:firstLine="464"/>
        <w:spacing w:after="0" w:line="271" w:lineRule="auto"/>
        <w:tabs>
          <w:tab w:leader="none" w:pos="711" w:val="left"/>
        </w:tabs>
        <w:numPr>
          <w:ilvl w:val="0"/>
          <w:numId w:val="53"/>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Final Prospectus and the Disclosure Package, there is no action, suit, proceeding, inquiry or investigation before or brought by any court or governmental agency or body, domestic or foreign, now pending, or, to the knowledge of the Company, threatened, against or affecting the Company or any of its subsidiaries, which is required to be disclosed in the Registration Statement or the Final Prospectus, or which would reasonably be expected to result in a Material Adverse Effect, or which would reasonably be expected to materially and adversely affect the consummation of the transactions contemplated in this Agreement or the performance by the Company of its obligations hereunder; the aggregate of all pending legal or governmental proceedings to which the Company or any of its subsidiaries is a party or of which any of their respective property or assets is the subject which are not described in the Registration Statement, the Final Prospectus or the Disclosure Package, including ordinary routine litigation incidental to the business, would not reasonably be expected to result in a Material Adverse Effect.</w:t>
      </w:r>
    </w:p>
    <w:p>
      <w:pPr>
        <w:spacing w:after="0" w:line="178" w:lineRule="exact"/>
        <w:rPr>
          <w:rFonts w:ascii="Arial" w:cs="Arial" w:eastAsia="Arial" w:hAnsi="Arial"/>
          <w:sz w:val="17"/>
          <w:szCs w:val="17"/>
          <w:color w:val="auto"/>
        </w:rPr>
      </w:pPr>
    </w:p>
    <w:p>
      <w:pPr>
        <w:ind w:right="580" w:firstLine="464"/>
        <w:spacing w:after="0" w:line="308" w:lineRule="auto"/>
        <w:tabs>
          <w:tab w:leader="none" w:pos="711"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There are no contracts or documents which are required to be described in the Registration Statement, the Final Prospectus or the documents incorporated by reference therein or to be filed as exhibits thereto which have not been so described and filed as required.</w:t>
      </w:r>
    </w:p>
    <w:p>
      <w:pPr>
        <w:spacing w:after="0" w:line="146" w:lineRule="exact"/>
        <w:rPr>
          <w:rFonts w:ascii="Arial" w:cs="Arial" w:eastAsia="Arial" w:hAnsi="Arial"/>
          <w:sz w:val="17"/>
          <w:szCs w:val="17"/>
          <w:color w:val="auto"/>
        </w:rPr>
      </w:pPr>
    </w:p>
    <w:p>
      <w:pPr>
        <w:ind w:right="20" w:firstLine="464"/>
        <w:spacing w:after="0" w:line="279" w:lineRule="auto"/>
        <w:tabs>
          <w:tab w:leader="none" w:pos="751"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Company and its subsidiaries own or possess adequate rights to use all material patents, patent applications, trademarks, service marks, trade names, trademark registrations, service mark registrations, copyrights and licenses necessary for the conduct of their respective businesses and have no reason to believe that the conduct of their respective businesses will conflict with, and have not received any notice of any claim of conflict with, any such rights of others, except where such conflict could not reasonably be expected to have a Material Adverse Effect.</w:t>
      </w:r>
    </w:p>
    <w:p>
      <w:pPr>
        <w:spacing w:after="0" w:line="171" w:lineRule="exact"/>
        <w:rPr>
          <w:rFonts w:ascii="Arial" w:cs="Arial" w:eastAsia="Arial" w:hAnsi="Arial"/>
          <w:sz w:val="17"/>
          <w:szCs w:val="17"/>
          <w:color w:val="auto"/>
        </w:rPr>
      </w:pPr>
    </w:p>
    <w:p>
      <w:pPr>
        <w:ind w:right="180" w:firstLine="464"/>
        <w:spacing w:after="0" w:line="264" w:lineRule="auto"/>
        <w:tabs>
          <w:tab w:leader="none" w:pos="7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None of the Company or any of its affiliates has taken, nor will the Company or any of its affiliates take, directly or indirectly, any action which is designed to or which has constituted or which would be expected to cause or result in stabilization or manipulation of the price of any security of the Company to facilitate the sale or resale of the Securities.</w:t>
      </w:r>
    </w:p>
    <w:p>
      <w:pPr>
        <w:spacing w:after="0" w:line="181" w:lineRule="exact"/>
        <w:rPr>
          <w:rFonts w:ascii="Arial" w:cs="Arial" w:eastAsia="Arial" w:hAnsi="Arial"/>
          <w:sz w:val="18"/>
          <w:szCs w:val="18"/>
          <w:color w:val="auto"/>
        </w:rPr>
      </w:pPr>
    </w:p>
    <w:p>
      <w:pPr>
        <w:ind w:right="160" w:firstLine="464"/>
        <w:spacing w:after="0" w:line="255" w:lineRule="auto"/>
        <w:tabs>
          <w:tab w:leader="none" w:pos="7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filing with, or authorization, approval, consent, license, order, registration, qualification or decree of, any court or governmental authority or agency is necessary or required for the performance by the Company of its obligations hereunder, in connection with the offering, issuance or sale of the Securities hereunder or the consummation of the transactions contemplated by this Agreement, except (A) as may be required under the Act or state or securities laws; (B) the listing of the Securities on the New York Stock Exchange or (C) as have already been made, obtained or rendered, as applicable, and except where the failure to so make, obtain or render, singly or in the aggregate, would not reasonably be expected to result in a Material Adverse Effect or materially and adversely affect the consummation of the transactions contemplated in this Agreement or the performance by the Company of its obligations hereunder.</w:t>
      </w:r>
    </w:p>
    <w:p>
      <w:pPr>
        <w:spacing w:after="0" w:line="189" w:lineRule="exact"/>
        <w:rPr>
          <w:rFonts w:ascii="Arial" w:cs="Arial" w:eastAsia="Arial" w:hAnsi="Arial"/>
          <w:sz w:val="18"/>
          <w:szCs w:val="18"/>
          <w:color w:val="auto"/>
        </w:rPr>
      </w:pPr>
    </w:p>
    <w:p>
      <w:pPr>
        <w:ind w:firstLine="464"/>
        <w:spacing w:after="0" w:line="276" w:lineRule="auto"/>
        <w:tabs>
          <w:tab w:leader="none" w:pos="701"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Company and its subsidiaries possess such permits, licenses, approvals, consents and other authorizations (collectively, “</w:t>
      </w:r>
      <w:r>
        <w:rPr>
          <w:rFonts w:ascii="Arial" w:cs="Arial" w:eastAsia="Arial" w:hAnsi="Arial"/>
          <w:sz w:val="17"/>
          <w:szCs w:val="17"/>
          <w:i w:val="1"/>
          <w:iCs w:val="1"/>
          <w:color w:val="auto"/>
        </w:rPr>
        <w:t>Governmental</w:t>
      </w:r>
      <w:r>
        <w:rPr>
          <w:rFonts w:ascii="Arial" w:cs="Arial" w:eastAsia="Arial" w:hAnsi="Arial"/>
          <w:sz w:val="17"/>
          <w:szCs w:val="17"/>
          <w:color w:val="auto"/>
        </w:rPr>
        <w:t xml:space="preserve"> </w:t>
      </w:r>
      <w:r>
        <w:rPr>
          <w:rFonts w:ascii="Arial" w:cs="Arial" w:eastAsia="Arial" w:hAnsi="Arial"/>
          <w:sz w:val="17"/>
          <w:szCs w:val="17"/>
          <w:i w:val="1"/>
          <w:iCs w:val="1"/>
          <w:color w:val="auto"/>
        </w:rPr>
        <w:t>Licenses</w:t>
      </w:r>
      <w:r>
        <w:rPr>
          <w:rFonts w:ascii="Arial" w:cs="Arial" w:eastAsia="Arial" w:hAnsi="Arial"/>
          <w:sz w:val="17"/>
          <w:szCs w:val="17"/>
          <w:color w:val="auto"/>
        </w:rPr>
        <w:t>”) issued by the appropriate federal, state, local or foreign regulatory agencies or bodies necessary to conduct the business now operated by them,</w:t>
      </w:r>
      <w:r>
        <w:rPr>
          <w:rFonts w:ascii="Arial" w:cs="Arial" w:eastAsia="Arial" w:hAnsi="Arial"/>
          <w:sz w:val="17"/>
          <w:szCs w:val="17"/>
          <w:i w:val="1"/>
          <w:iCs w:val="1"/>
          <w:color w:val="auto"/>
        </w:rPr>
        <w:t xml:space="preserve"> </w:t>
      </w:r>
      <w:r>
        <w:rPr>
          <w:rFonts w:ascii="Arial" w:cs="Arial" w:eastAsia="Arial" w:hAnsi="Arial"/>
          <w:sz w:val="17"/>
          <w:szCs w:val="17"/>
          <w:color w:val="auto"/>
        </w:rPr>
        <w:t>except where the failure so to possess would not, singly or in the aggregate, reasonably be expected to result in a Material Adverse Effect; the Company and its subsidiaries are in compliance with the terms and conditions of all such Governmental Licenses, except where the failure so to comply would not, singly or in the aggregate, reasonably be expected to result in a Material Adverse Effect; all of the Governmental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52" w:name="page53"/>
    <w:bookmarkEnd w:id="52"/>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Licenses are valid and in full force and effect, except when the invalidity of such Governmental Licenses or the failure of such Governmental Licenses to be in full force and effect would not, singly or in the aggregate, reasonably be expected to result in a Material Adverse Effect; and neither the Company nor any of its subsidiaries has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171" w:lineRule="exact"/>
        <w:rPr>
          <w:sz w:val="20"/>
          <w:szCs w:val="20"/>
          <w:color w:val="auto"/>
        </w:rPr>
      </w:pPr>
    </w:p>
    <w:p>
      <w:pPr>
        <w:ind w:right="60" w:firstLine="464"/>
        <w:spacing w:after="0" w:line="270" w:lineRule="auto"/>
        <w:tabs>
          <w:tab w:leader="none" w:pos="781" w:val="left"/>
        </w:tabs>
        <w:numPr>
          <w:ilvl w:val="1"/>
          <w:numId w:val="54"/>
        </w:numPr>
        <w:rPr>
          <w:rFonts w:ascii="Arial" w:cs="Arial" w:eastAsia="Arial" w:hAnsi="Arial"/>
          <w:sz w:val="17"/>
          <w:szCs w:val="17"/>
          <w:color w:val="auto"/>
        </w:rPr>
      </w:pPr>
      <w:r>
        <w:rPr>
          <w:rFonts w:ascii="Arial" w:cs="Arial" w:eastAsia="Arial" w:hAnsi="Arial"/>
          <w:sz w:val="17"/>
          <w:szCs w:val="17"/>
          <w:color w:val="auto"/>
        </w:rPr>
        <w:t>The Company and its subsidiaries have good and indefeasible title in fee simple to all real property owned by the Company or its subsidiaries, as applicable, and good and valid title to all other properties owned by them, in each case, free and clear of all mortgages, pledges, liens, security interests, claims, restrictions or encumbrances of any kind except such as (a) are described in the Disclosure Package and the Final Prospectus or (b) would not, singly or in the aggregate, reasonably be expected to result in a Material Adverse Effect; and all of the leases and subleases material to the business of the Company and its subsidiaries, considered as one enterprise, and under which the Company or any of its subsidiaries holds properties described in the Disclosure Package and the Final Prospectus, are in full force and effect, and neither the Company nor any of its subsidiaries has any notice of any material claim of any sort that has been asserted by anyone adverse to the rights of the Company or any of its subsidiaries under any of the leases or subleases mentioned above, or affecting or questioning the rights of the Company or any such subsidiary to the continued possession of the leased or subleased premises under any such lease or sublease except such as (a) are described in the Disclosure Package and the Final Prospectus or (b) would not, singly or in the aggregate, reasonably be expected to result in a Material Adverse Effect.</w:t>
      </w:r>
    </w:p>
    <w:p>
      <w:pPr>
        <w:spacing w:after="0" w:line="177" w:lineRule="exact"/>
        <w:rPr>
          <w:rFonts w:ascii="Arial" w:cs="Arial" w:eastAsia="Arial" w:hAnsi="Arial"/>
          <w:sz w:val="17"/>
          <w:szCs w:val="17"/>
          <w:color w:val="auto"/>
        </w:rPr>
      </w:pPr>
    </w:p>
    <w:p>
      <w:pPr>
        <w:ind w:right="20" w:firstLine="464"/>
        <w:spacing w:after="0" w:line="286" w:lineRule="auto"/>
        <w:tabs>
          <w:tab w:leader="none" w:pos="801" w:val="left"/>
        </w:tabs>
        <w:numPr>
          <w:ilvl w:val="1"/>
          <w:numId w:val="54"/>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Final Prospectus and the Disclosure Package, there are no stock, transfer taxes, stamp duties or other similar fees or charges under Federal law or the laws of Ireland or Switzerland or any political subdivision thereof, required to be paid in connection with the execution and delivery of this Agreement or the issuance, sale or delivery by the Company of the Securities.</w:t>
      </w:r>
    </w:p>
    <w:p>
      <w:pPr>
        <w:spacing w:after="0" w:line="165" w:lineRule="exact"/>
        <w:rPr>
          <w:rFonts w:ascii="Arial" w:cs="Arial" w:eastAsia="Arial" w:hAnsi="Arial"/>
          <w:sz w:val="17"/>
          <w:szCs w:val="17"/>
          <w:color w:val="auto"/>
        </w:rPr>
      </w:pPr>
    </w:p>
    <w:p>
      <w:pPr>
        <w:ind w:right="140" w:firstLine="464"/>
        <w:spacing w:after="0" w:line="288" w:lineRule="auto"/>
        <w:tabs>
          <w:tab w:leader="none" w:pos="781"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material tax returns required to be filed by the Company have been timely filed or are in the process of being filed, and all taxes and other assessments of a similar nature (whether imposed directly or through withholding) including any interest, additions to tax or penalties applicable thereto due or claimed to be due from the Company have been timely paid, other than such tax returns, taxes or other assessments (i) being contested in good faith or</w:t>
      </w: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which adequate reserves have been provided.</w:t>
      </w:r>
    </w:p>
    <w:p>
      <w:pPr>
        <w:spacing w:after="0" w:line="210" w:lineRule="exact"/>
        <w:rPr>
          <w:rFonts w:ascii="Arial" w:cs="Arial" w:eastAsia="Arial" w:hAnsi="Arial"/>
          <w:sz w:val="18"/>
          <w:szCs w:val="18"/>
          <w:color w:val="auto"/>
        </w:rPr>
      </w:pPr>
    </w:p>
    <w:p>
      <w:pPr>
        <w:ind w:right="40" w:firstLine="464"/>
        <w:spacing w:after="0" w:line="286" w:lineRule="auto"/>
        <w:tabs>
          <w:tab w:leader="none" w:pos="801" w:val="left"/>
        </w:tabs>
        <w:numPr>
          <w:ilvl w:val="1"/>
          <w:numId w:val="55"/>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and upon the issuance and sale of the Securities as herein contemplated and the application of the net proceeds therefrom as described in the Disclosure Package and the Final Prospectus, will be, an “investment company” or an entity “controlled” by an “investment company,” as such terms are defined in the U.S. Investment Company Act of 1940, as amended (the “</w:t>
      </w:r>
      <w:r>
        <w:rPr>
          <w:rFonts w:ascii="Arial" w:cs="Arial" w:eastAsia="Arial" w:hAnsi="Arial"/>
          <w:sz w:val="17"/>
          <w:szCs w:val="17"/>
          <w:i w:val="1"/>
          <w:iCs w:val="1"/>
          <w:color w:val="auto"/>
        </w:rPr>
        <w:t>1940 Act</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20" w:firstLine="464"/>
        <w:spacing w:after="0" w:line="272" w:lineRule="auto"/>
        <w:tabs>
          <w:tab w:leader="none" w:pos="781" w:val="left"/>
        </w:tabs>
        <w:numPr>
          <w:ilvl w:val="1"/>
          <w:numId w:val="55"/>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Final Prospectus and the Disclosure Package and except as would not, singly or in the aggregate,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Arial" w:cs="Arial" w:eastAsia="Arial" w:hAnsi="Arial"/>
          <w:sz w:val="17"/>
          <w:szCs w:val="17"/>
          <w:i w:val="1"/>
          <w:iCs w:val="1"/>
          <w:color w:val="auto"/>
        </w:rPr>
        <w:t>Hazardous Materials</w:t>
      </w:r>
      <w:r>
        <w:rPr>
          <w:rFonts w:ascii="Arial" w:cs="Arial" w:eastAsia="Arial" w:hAnsi="Arial"/>
          <w:sz w:val="17"/>
          <w:szCs w:val="17"/>
          <w:color w:val="auto"/>
        </w:rPr>
        <w:t>”) or to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manufacture, processing, distribution, use, treatment, storage, disposal, transport or handling of Hazardous Materials (collectively, “</w:t>
      </w:r>
      <w:r>
        <w:rPr>
          <w:rFonts w:ascii="Arial" w:cs="Arial" w:eastAsia="Arial" w:hAnsi="Arial"/>
          <w:sz w:val="16"/>
          <w:szCs w:val="16"/>
          <w:i w:val="1"/>
          <w:iCs w:val="1"/>
          <w:color w:val="auto"/>
        </w:rPr>
        <w:t>Environmental Laws</w:t>
      </w:r>
      <w:r>
        <w:rPr>
          <w:rFonts w:ascii="Arial" w:cs="Arial" w:eastAsia="Arial" w:hAnsi="Arial"/>
          <w:sz w:val="16"/>
          <w:szCs w:val="16"/>
          <w:color w:val="auto"/>
        </w:rPr>
        <w:t>”),</w:t>
      </w:r>
    </w:p>
    <w:p>
      <w:pPr>
        <w:spacing w:after="0" w:line="46" w:lineRule="exact"/>
        <w:rPr>
          <w:sz w:val="20"/>
          <w:szCs w:val="20"/>
          <w:color w:val="auto"/>
        </w:rPr>
      </w:pPr>
    </w:p>
    <w:p>
      <w:pPr>
        <w:ind w:firstLine="8"/>
        <w:spacing w:after="0" w:line="270" w:lineRule="auto"/>
        <w:tabs>
          <w:tab w:leader="none" w:pos="28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Company and its subsidiaries have all permits, authorizations and approvals required under any applicable Environmental Laws and are each in compliance with their requirements, (C)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its subsidiaries and (D) there are no events or circumstances that would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78" w:lineRule="exact"/>
        <w:rPr>
          <w:rFonts w:ascii="Arial" w:cs="Arial" w:eastAsia="Arial" w:hAnsi="Arial"/>
          <w:sz w:val="17"/>
          <w:szCs w:val="17"/>
          <w:color w:val="auto"/>
        </w:rPr>
      </w:pPr>
    </w:p>
    <w:p>
      <w:pPr>
        <w:ind w:firstLine="464"/>
        <w:spacing w:after="0" w:line="272" w:lineRule="auto"/>
        <w:tabs>
          <w:tab w:leader="none" w:pos="738" w:val="left"/>
        </w:tabs>
        <w:numPr>
          <w:ilvl w:val="1"/>
          <w:numId w:val="56"/>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sustained, since the date of the latest audited financial statements included in the Registration Statement, the Final Prospectus and the Disclosure Package,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Final Prospectus or the Disclosure Package; and, since such date, there has not been any material change in the share capital or long-term debt of the Company or any of its subsidiaries, or any material adverse change or any development involving a prospective material adverse change in the condition, financial or otherwise, or in the earnings or business of the Company or its subsidiaries, otherwise than as set forth or contemplated in the Registration Statement, the Final Prospectus or the Disclosure Package.</w:t>
      </w:r>
    </w:p>
    <w:p>
      <w:pPr>
        <w:spacing w:after="0" w:line="177" w:lineRule="exact"/>
        <w:rPr>
          <w:rFonts w:ascii="Arial" w:cs="Arial" w:eastAsia="Arial" w:hAnsi="Arial"/>
          <w:sz w:val="17"/>
          <w:szCs w:val="17"/>
          <w:color w:val="auto"/>
        </w:rPr>
      </w:pPr>
    </w:p>
    <w:p>
      <w:pPr>
        <w:ind w:right="160" w:firstLine="464"/>
        <w:spacing w:after="0" w:line="264" w:lineRule="auto"/>
        <w:tabs>
          <w:tab w:leader="none" w:pos="801"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Company and its subsidiaries carry, or are covered by, insurance in such amounts and covering such risks as they reasonably deem sufficient for the conduct of their respective businesses and the value of their respective properties, and neither the Company nor any of its subsidiaries has received notice of cancellation or non-renewal of such insurance.</w:t>
      </w:r>
    </w:p>
    <w:p>
      <w:pPr>
        <w:spacing w:after="0" w:line="181" w:lineRule="exact"/>
        <w:rPr>
          <w:rFonts w:ascii="Arial" w:cs="Arial" w:eastAsia="Arial" w:hAnsi="Arial"/>
          <w:sz w:val="18"/>
          <w:szCs w:val="18"/>
          <w:color w:val="auto"/>
        </w:rPr>
      </w:pPr>
    </w:p>
    <w:p>
      <w:pPr>
        <w:ind w:right="140" w:firstLine="464"/>
        <w:spacing w:after="0" w:line="276" w:lineRule="auto"/>
        <w:tabs>
          <w:tab w:leader="none" w:pos="801" w:val="left"/>
        </w:tabs>
        <w:numPr>
          <w:ilvl w:val="1"/>
          <w:numId w:val="56"/>
        </w:numPr>
        <w:rPr>
          <w:rFonts w:ascii="Arial" w:cs="Arial" w:eastAsia="Arial" w:hAnsi="Arial"/>
          <w:sz w:val="17"/>
          <w:szCs w:val="17"/>
          <w:color w:val="auto"/>
        </w:rPr>
      </w:pPr>
      <w:r>
        <w:rPr>
          <w:rFonts w:ascii="Arial" w:cs="Arial" w:eastAsia="Arial" w:hAnsi="Arial"/>
          <w:sz w:val="17"/>
          <w:szCs w:val="17"/>
          <w:color w:val="auto"/>
        </w:rPr>
        <w:t>Each of the Company and its subsidiaries (i) makes and keeps books and records, which accurately reflect transactions and dispositions of its assets, and (ii) maintains internal accounting controls which provide reasonable assurance that (A) transactions are executed in accordance with management’s general and specific authorization, (B) transactions are recorded as necessary to permit preparation of its financial statements and to maintain accountability for its assets, (C) access to its assets is permitted only in accordance with management’s general and specific authorization and (D) the recorded accountability for its assets is compared with existing assets at reasonable intervals.</w:t>
      </w:r>
    </w:p>
    <w:p>
      <w:pPr>
        <w:spacing w:after="0" w:line="172" w:lineRule="exact"/>
        <w:rPr>
          <w:rFonts w:ascii="Arial" w:cs="Arial" w:eastAsia="Arial" w:hAnsi="Arial"/>
          <w:sz w:val="17"/>
          <w:szCs w:val="17"/>
          <w:color w:val="auto"/>
        </w:rPr>
      </w:pPr>
    </w:p>
    <w:p>
      <w:pPr>
        <w:ind w:left="720" w:hanging="256"/>
        <w:spacing w:after="0"/>
        <w:tabs>
          <w:tab w:leader="none" w:pos="7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 holders of securities of the Company have rights to the registration of such securities under the Registration Statement.</w:t>
      </w:r>
    </w:p>
    <w:p>
      <w:pPr>
        <w:spacing w:after="0" w:line="225" w:lineRule="exact"/>
        <w:rPr>
          <w:rFonts w:ascii="Arial" w:cs="Arial" w:eastAsia="Arial" w:hAnsi="Arial"/>
          <w:sz w:val="18"/>
          <w:szCs w:val="18"/>
          <w:color w:val="auto"/>
        </w:rPr>
      </w:pPr>
    </w:p>
    <w:p>
      <w:pPr>
        <w:ind w:right="40" w:firstLine="464"/>
        <w:spacing w:after="0" w:line="254" w:lineRule="auto"/>
        <w:tabs>
          <w:tab w:leader="none" w:pos="721" w:val="left"/>
        </w:tabs>
        <w:numPr>
          <w:ilvl w:val="1"/>
          <w:numId w:val="56"/>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knowledge of the Company, any director, officer, agent, employee, affiliate or other person acting on behalf of the Company or any of its subsidiaries is aware of or has taken any action, directly or indirectly, that could result in a violation or a sanction for violation by such persons of the Foreign Corrupt Practices Act of 1977 or the U.K. Bribery Act 2010, each as may be amended, or similar law of any other relevant jurisdiction, or the rules or regulations thereunder; and the Company and its subsidiaries and, to the knowledge of the Company and its affiliates, have conducted their business in compliance with the Foreign Corrupt Practices Act of 1977 and have instituted and maintain policies and procedures to ensure compliance therewith. No part of the proceeds of the Offering will be used, directly or indirectly, in violation of the Foreign Corrupt Practices Act of 1977 or the U.K. Bribery Act 2010, each as may be amended, or similar law of any other relevant jurisdiction, or the rules or regulations thereunder.</w:t>
      </w:r>
    </w:p>
    <w:p>
      <w:pPr>
        <w:spacing w:after="0" w:line="192" w:lineRule="exact"/>
        <w:rPr>
          <w:rFonts w:ascii="Arial" w:cs="Arial" w:eastAsia="Arial" w:hAnsi="Arial"/>
          <w:sz w:val="18"/>
          <w:szCs w:val="18"/>
          <w:color w:val="auto"/>
        </w:rPr>
      </w:pPr>
    </w:p>
    <w:p>
      <w:pPr>
        <w:ind w:left="800" w:hanging="336"/>
        <w:spacing w:after="0"/>
        <w:tabs>
          <w:tab w:leader="none" w:pos="8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54" w:name="page55"/>
    <w:bookmarkEnd w:id="54"/>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times in compliance with applicable financial recordkeeping and reporting requirements and the money laundering statutes of all applicable jurisdictions and the rules and regulations thereunder and any related or similar rules, regulations or guidelines, issued, administered or enforced by any governmental agency (collectively, the “</w:t>
      </w:r>
      <w:r>
        <w:rPr>
          <w:rFonts w:ascii="Arial" w:cs="Arial" w:eastAsia="Arial" w:hAnsi="Arial"/>
          <w:sz w:val="18"/>
          <w:szCs w:val="18"/>
          <w:i w:val="1"/>
          <w:iCs w:val="1"/>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88" w:lineRule="exact"/>
        <w:rPr>
          <w:sz w:val="20"/>
          <w:szCs w:val="20"/>
          <w:color w:val="auto"/>
        </w:rPr>
      </w:pPr>
    </w:p>
    <w:p>
      <w:pPr>
        <w:ind w:right="80" w:firstLine="464"/>
        <w:spacing w:after="0" w:line="284" w:lineRule="auto"/>
        <w:tabs>
          <w:tab w:leader="none" w:pos="721" w:val="left"/>
        </w:tabs>
        <w:numPr>
          <w:ilvl w:val="1"/>
          <w:numId w:val="57"/>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or affiliate of the Company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Arial" w:cs="Arial" w:eastAsia="Arial" w:hAnsi="Arial"/>
          <w:sz w:val="16"/>
          <w:szCs w:val="16"/>
          <w:i w:val="1"/>
          <w:iCs w:val="1"/>
          <w:color w:val="auto"/>
        </w:rPr>
        <w:t>Sanctions</w:t>
      </w:r>
      <w:r>
        <w:rPr>
          <w:rFonts w:ascii="Arial" w:cs="Arial" w:eastAsia="Arial" w:hAnsi="Arial"/>
          <w:sz w:val="16"/>
          <w:szCs w:val="16"/>
          <w:color w:val="auto"/>
        </w:rPr>
        <w:t>” and such persons, “</w:t>
      </w:r>
      <w:r>
        <w:rPr>
          <w:rFonts w:ascii="Arial" w:cs="Arial" w:eastAsia="Arial" w:hAnsi="Arial"/>
          <w:sz w:val="16"/>
          <w:szCs w:val="16"/>
          <w:i w:val="1"/>
          <w:iCs w:val="1"/>
          <w:color w:val="auto"/>
        </w:rPr>
        <w:t>Sanctioned</w:t>
      </w:r>
      <w:r>
        <w:rPr>
          <w:rFonts w:ascii="Arial" w:cs="Arial" w:eastAsia="Arial" w:hAnsi="Arial"/>
          <w:sz w:val="16"/>
          <w:szCs w:val="16"/>
          <w:color w:val="auto"/>
        </w:rPr>
        <w:t xml:space="preserve"> </w:t>
      </w:r>
      <w:r>
        <w:rPr>
          <w:rFonts w:ascii="Arial" w:cs="Arial" w:eastAsia="Arial" w:hAnsi="Arial"/>
          <w:sz w:val="16"/>
          <w:szCs w:val="16"/>
          <w:i w:val="1"/>
          <w:iCs w:val="1"/>
          <w:color w:val="auto"/>
        </w:rPr>
        <w:t>Persons</w:t>
      </w:r>
      <w:r>
        <w:rPr>
          <w:rFonts w:ascii="Arial" w:cs="Arial" w:eastAsia="Arial" w:hAnsi="Arial"/>
          <w:sz w:val="16"/>
          <w:szCs w:val="16"/>
          <w:color w:val="auto"/>
        </w:rPr>
        <w:t>” and each such person, a “</w:t>
      </w:r>
      <w:r>
        <w:rPr>
          <w:rFonts w:ascii="Arial" w:cs="Arial" w:eastAsia="Arial" w:hAnsi="Arial"/>
          <w:sz w:val="16"/>
          <w:szCs w:val="16"/>
          <w:i w:val="1"/>
          <w:iCs w:val="1"/>
          <w:color w:val="auto"/>
        </w:rPr>
        <w:t>Sanctioned Person</w:t>
      </w:r>
      <w:r>
        <w:rPr>
          <w:rFonts w:ascii="Arial" w:cs="Arial" w:eastAsia="Arial" w:hAnsi="Arial"/>
          <w:sz w:val="16"/>
          <w:szCs w:val="16"/>
          <w:color w:val="auto"/>
        </w:rPr>
        <w:t>”), (ii) is located, organized or resident in a country or territory that is, or whose government is, the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of Sanctions that broadly prohibit dealings with that country or territory (collectively, “</w:t>
      </w:r>
      <w:r>
        <w:rPr>
          <w:rFonts w:ascii="Arial" w:cs="Arial" w:eastAsia="Arial" w:hAnsi="Arial"/>
          <w:sz w:val="16"/>
          <w:szCs w:val="16"/>
          <w:i w:val="1"/>
          <w:iCs w:val="1"/>
          <w:color w:val="auto"/>
        </w:rPr>
        <w:t>Sanctioned Countries</w:t>
      </w:r>
      <w:r>
        <w:rPr>
          <w:rFonts w:ascii="Arial" w:cs="Arial" w:eastAsia="Arial" w:hAnsi="Arial"/>
          <w:sz w:val="16"/>
          <w:szCs w:val="16"/>
          <w:color w:val="auto"/>
        </w:rPr>
        <w:t>” and each, a “</w:t>
      </w:r>
      <w:r>
        <w:rPr>
          <w:rFonts w:ascii="Arial" w:cs="Arial" w:eastAsia="Arial" w:hAnsi="Arial"/>
          <w:sz w:val="16"/>
          <w:szCs w:val="16"/>
          <w:i w:val="1"/>
          <w:iCs w:val="1"/>
          <w:color w:val="auto"/>
        </w:rPr>
        <w:t>Sanctioned Country</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ind w:firstLine="8"/>
        <w:spacing w:after="0" w:line="302" w:lineRule="auto"/>
        <w:tabs>
          <w:tab w:leader="none" w:pos="315" w:val="left"/>
        </w:tabs>
        <w:numPr>
          <w:ilvl w:val="0"/>
          <w:numId w:val="58"/>
        </w:numPr>
        <w:rPr>
          <w:rFonts w:ascii="Arial" w:cs="Arial" w:eastAsia="Arial" w:hAnsi="Arial"/>
          <w:sz w:val="16"/>
          <w:szCs w:val="16"/>
          <w:color w:val="auto"/>
        </w:rPr>
      </w:pPr>
      <w:r>
        <w:rPr>
          <w:rFonts w:ascii="Arial" w:cs="Arial" w:eastAsia="Arial" w:hAnsi="Arial"/>
          <w:sz w:val="16"/>
          <w:szCs w:val="16"/>
          <w:color w:val="auto"/>
        </w:rPr>
        <w:t>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placement agent, advisor, investor or otherwise).</w:t>
      </w:r>
    </w:p>
    <w:p>
      <w:pPr>
        <w:spacing w:after="0" w:line="155" w:lineRule="exact"/>
        <w:rPr>
          <w:rFonts w:ascii="Arial" w:cs="Arial" w:eastAsia="Arial" w:hAnsi="Arial"/>
          <w:sz w:val="16"/>
          <w:szCs w:val="16"/>
          <w:color w:val="auto"/>
        </w:rPr>
      </w:pPr>
    </w:p>
    <w:p>
      <w:pPr>
        <w:ind w:right="300" w:firstLine="464"/>
        <w:spacing w:after="0" w:line="264" w:lineRule="auto"/>
        <w:tabs>
          <w:tab w:leader="none" w:pos="901" w:val="left"/>
        </w:tabs>
        <w:numPr>
          <w:ilvl w:val="1"/>
          <w:numId w:val="58"/>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engaged in any dealings or transactions with or for the benefit of a Sanctioned Person, or with or in a Sanctioned Country, in the preceding three years, nor does the Company or any of its subsidiaries have any plans to engage in dealings or transactions with or for the benefit of a Sanctioned Person, or with or in a Sanctioned Country.</w:t>
      </w:r>
    </w:p>
    <w:p>
      <w:pPr>
        <w:spacing w:after="0" w:line="181" w:lineRule="exact"/>
        <w:rPr>
          <w:rFonts w:ascii="Arial" w:cs="Arial" w:eastAsia="Arial" w:hAnsi="Arial"/>
          <w:sz w:val="18"/>
          <w:szCs w:val="18"/>
          <w:color w:val="auto"/>
        </w:rPr>
      </w:pPr>
    </w:p>
    <w:p>
      <w:pPr>
        <w:ind w:right="40" w:firstLine="464"/>
        <w:spacing w:after="0" w:line="272" w:lineRule="auto"/>
        <w:tabs>
          <w:tab w:leader="none" w:pos="801" w:val="left"/>
        </w:tabs>
        <w:numPr>
          <w:ilvl w:val="1"/>
          <w:numId w:val="58"/>
        </w:numPr>
        <w:rPr>
          <w:rFonts w:ascii="Arial" w:cs="Arial" w:eastAsia="Arial" w:hAnsi="Arial"/>
          <w:sz w:val="17"/>
          <w:szCs w:val="17"/>
          <w:color w:val="auto"/>
        </w:rPr>
      </w:pPr>
      <w:r>
        <w:rPr>
          <w:rFonts w:ascii="Arial" w:cs="Arial" w:eastAsia="Arial" w:hAnsi="Arial"/>
          <w:sz w:val="17"/>
          <w:szCs w:val="17"/>
          <w:color w:val="auto"/>
        </w:rPr>
        <w:t>(i) The Company has established and maintains disclosure controls and procedures (as such term is defined in Rules 13a-15(e) and 15d-15(e) under the Exchange Act); (ii) such disclosure controls and procedures are designed to ensure that information required to be disclosed by the Company in the reports it files or submits under the Exchange Act is accumulated and communicated to its management, including its principal executive officer and its principal financial officer, as appropriate, to allow timely decisions regarding required disclosure; and (iii) such disclosure controls and procedures are effective in all material respects to perform the functions for which they were established. Since the date of the most recent evaluation of such disclosure controls and procedures, there have been no significant changes in internal controls or in other factors that could significantly affect internal controls, including any corrective actions with regard to significant deficiencies and material weaknesses.</w:t>
      </w:r>
    </w:p>
    <w:p>
      <w:pPr>
        <w:spacing w:after="0" w:line="177" w:lineRule="exact"/>
        <w:rPr>
          <w:rFonts w:ascii="Arial" w:cs="Arial" w:eastAsia="Arial" w:hAnsi="Arial"/>
          <w:sz w:val="17"/>
          <w:szCs w:val="17"/>
          <w:color w:val="auto"/>
        </w:rPr>
      </w:pPr>
    </w:p>
    <w:p>
      <w:pPr>
        <w:ind w:right="60" w:firstLine="464"/>
        <w:spacing w:after="0" w:line="255" w:lineRule="auto"/>
        <w:tabs>
          <w:tab w:leader="none" w:pos="801" w:val="left"/>
        </w:tabs>
        <w:numPr>
          <w:ilvl w:val="1"/>
          <w:numId w:val="58"/>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or incorporated by reference in the Final Prospectus, there has not been (i) any significant deficiency in the design or operation of internal controls which could adversely affect the ability of the Company to record, process, summarize and report financial data nor any material weaknesses in internal controls; or (ii) any fraud, whether or not material, that involves management or other employees who have a significant role in the internal controls of the Company. Since the date of the latest audited financial statements included or incorporated by reference in the Final Prospectus, there have been no significant changes in internal controls or in other factors that could significantly affect internal controls, including any corrective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55" w:name="page56"/>
    <w:bookmarkEnd w:id="55"/>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actions with regard to significant deficiencies and material weaknesses. The Company has designed and maintains internal control over financial reporting (as such term is defined in Rules 13a-15(f) and Rules 15d-15(f) under the Exchange Act, referred to herein as “</w:t>
      </w:r>
      <w:r>
        <w:rPr>
          <w:rFonts w:ascii="Arial" w:cs="Arial" w:eastAsia="Arial" w:hAnsi="Arial"/>
          <w:sz w:val="16"/>
          <w:szCs w:val="16"/>
          <w:i w:val="1"/>
          <w:iCs w:val="1"/>
          <w:color w:val="auto"/>
        </w:rPr>
        <w:t>Reporting Controls</w:t>
      </w:r>
      <w:r>
        <w:rPr>
          <w:rFonts w:ascii="Arial" w:cs="Arial" w:eastAsia="Arial" w:hAnsi="Arial"/>
          <w:sz w:val="16"/>
          <w:szCs w:val="16"/>
          <w:color w:val="auto"/>
        </w:rPr>
        <w:t>”), and the Reporting Controls are (i) designed to, and sufficient to, provide reasonable assurance (A) that transactions are executed in accordance with management’s general or specific authorizations; (B) that transactions are recorded as necessary to permit preparation of financial statements in conformity with GAAP and to maintain asset accountability; (C) that access to assets is permitted only in accordance with management’s general or specific authorization; (D) that the recorded accountability for assets is compared with the existing assets at reasonable intervals and appropriate action is taken with respect to any differences; and</w:t>
      </w:r>
    </w:p>
    <w:p>
      <w:pPr>
        <w:spacing w:after="0" w:line="5" w:lineRule="exact"/>
        <w:rPr>
          <w:sz w:val="20"/>
          <w:szCs w:val="20"/>
          <w:color w:val="auto"/>
        </w:rPr>
      </w:pPr>
    </w:p>
    <w:p>
      <w:pPr>
        <w:ind w:right="300" w:firstLine="8"/>
        <w:spacing w:after="0" w:line="255" w:lineRule="auto"/>
        <w:tabs>
          <w:tab w:leader="none" w:pos="2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regarding the reliability of financial reporting and the preparation of financial statements for external purposes in accordance with GAAP and include, without limitation, those processes specifically referred to in Rule 13a-15(f) and Rule 15d-15(f) and (ii) to the knowledge of the Company, effective to perform the functions for which they are maintained.</w:t>
      </w:r>
    </w:p>
    <w:p>
      <w:pPr>
        <w:spacing w:after="0" w:line="190"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Any certificate signed by any officer of the Company and delivered to the Placement Agent or its counsel in connection with the offering of the Securities shall be deemed a representation and warranty by the Company, as to matters covered thereby, to the Placement Agent.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Covenants</w:t>
      </w:r>
      <w:r>
        <w:rPr>
          <w:rFonts w:ascii="Arial" w:cs="Arial" w:eastAsia="Arial" w:hAnsi="Arial"/>
          <w:sz w:val="18"/>
          <w:szCs w:val="18"/>
          <w:i w:val="1"/>
          <w:i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covenants and agrees with the Placement Agent as follows:</w:t>
      </w:r>
    </w:p>
    <w:p>
      <w:pPr>
        <w:spacing w:after="0" w:line="225" w:lineRule="exact"/>
        <w:rPr>
          <w:sz w:val="20"/>
          <w:szCs w:val="20"/>
          <w:color w:val="auto"/>
        </w:rPr>
      </w:pPr>
    </w:p>
    <w:p>
      <w:pPr>
        <w:ind w:firstLine="464"/>
        <w:spacing w:after="0" w:line="272" w:lineRule="auto"/>
        <w:tabs>
          <w:tab w:leader="none" w:pos="701"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Reporting Obligations; Exchange Act Compliance</w:t>
      </w:r>
      <w:r>
        <w:rPr>
          <w:rFonts w:ascii="Arial" w:cs="Arial" w:eastAsia="Arial" w:hAnsi="Arial"/>
          <w:sz w:val="17"/>
          <w:szCs w:val="17"/>
          <w:color w:val="auto"/>
        </w:rPr>
        <w:t>. The Company will (i) file the Final Prospectus with the Commission within the time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specified by Rule 424(b) and Rules 430B and 430C, as applicable, (ii) file any Issuer Free Writing Prospectus to the extent required by Rule 433, if applicable, (iii) file promptly all reports required to be filed by the Company with the Commission pursuant to Section 13(a) or 15(d) of the Exchange Act subsequent to the date of the Final Prospectus and during such period as the Final Prospectus would be required by law to be delivered in connection with the Offering (whether physically or through compliance with Rule 172 or any similar rule) (the “</w:t>
      </w:r>
      <w:r>
        <w:rPr>
          <w:rFonts w:ascii="Arial" w:cs="Arial" w:eastAsia="Arial" w:hAnsi="Arial"/>
          <w:sz w:val="17"/>
          <w:szCs w:val="17"/>
          <w:i w:val="1"/>
          <w:iCs w:val="1"/>
          <w:color w:val="auto"/>
        </w:rPr>
        <w:t>Prospectus Delivery Period</w:t>
      </w:r>
      <w:r>
        <w:rPr>
          <w:rFonts w:ascii="Arial" w:cs="Arial" w:eastAsia="Arial" w:hAnsi="Arial"/>
          <w:sz w:val="17"/>
          <w:szCs w:val="17"/>
          <w:color w:val="auto"/>
        </w:rPr>
        <w:t>”), and (iv) furnish copies of each Issuer Free Writing Prospectus, if any, (to the extent not previously delivered) to the Placement Agent prior to 11:00 a.m. Eastern time, on the second business day next succeeding the date of this Agreement in such quantities as the Placement Agent shall reasonably request.</w:t>
      </w:r>
    </w:p>
    <w:p>
      <w:pPr>
        <w:spacing w:after="0" w:line="177" w:lineRule="exact"/>
        <w:rPr>
          <w:rFonts w:ascii="Arial" w:cs="Arial" w:eastAsia="Arial" w:hAnsi="Arial"/>
          <w:sz w:val="17"/>
          <w:szCs w:val="17"/>
          <w:color w:val="auto"/>
        </w:rPr>
      </w:pPr>
    </w:p>
    <w:p>
      <w:pPr>
        <w:ind w:left="720" w:hanging="256"/>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right="40" w:firstLine="464"/>
        <w:spacing w:after="0" w:line="259" w:lineRule="auto"/>
        <w:tabs>
          <w:tab w:leader="none" w:pos="701"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Amendments or Supplements</w:t>
      </w:r>
      <w:r>
        <w:rPr>
          <w:rFonts w:ascii="Arial" w:cs="Arial" w:eastAsia="Arial" w:hAnsi="Arial"/>
          <w:sz w:val="18"/>
          <w:szCs w:val="18"/>
          <w:color w:val="auto"/>
        </w:rPr>
        <w:t>. The Company will not, during the Prospectus Delivery Period in connection with the Offering contemplated by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file any amendment or supplement to the Registration Statement or the Final Prospectus unless a copy thereof shall first have been submitted to the Placement Agent within a reasonable period of time prior to the filing thereof and the Placement Agent shall not have reasonably objected thereto in good faith.</w:t>
      </w:r>
    </w:p>
    <w:p>
      <w:pPr>
        <w:spacing w:after="0" w:line="186" w:lineRule="exact"/>
        <w:rPr>
          <w:rFonts w:ascii="Arial" w:cs="Arial" w:eastAsia="Arial" w:hAnsi="Arial"/>
          <w:sz w:val="18"/>
          <w:szCs w:val="18"/>
          <w:color w:val="auto"/>
        </w:rPr>
      </w:pPr>
    </w:p>
    <w:p>
      <w:pPr>
        <w:ind w:right="120" w:firstLine="464"/>
        <w:spacing w:after="0" w:line="293" w:lineRule="auto"/>
        <w:tabs>
          <w:tab w:leader="none" w:pos="711"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Free Writing Prospectuses</w:t>
      </w:r>
      <w:r>
        <w:rPr>
          <w:rFonts w:ascii="Arial" w:cs="Arial" w:eastAsia="Arial" w:hAnsi="Arial"/>
          <w:sz w:val="16"/>
          <w:szCs w:val="16"/>
          <w:color w:val="auto"/>
        </w:rPr>
        <w:t>. The Company will (i) not make any offer relating to the Securities that would constitute an “issuer free writing</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(as defined in Rule 433) or that would otherwise constitute a “free writing prospectus” (as defined in Rule 405) required to be filed by the Company with the Commission under Rule 433 unless the Placement Agent approves its use in writing prior to first use (each, a “</w:t>
      </w:r>
      <w:r>
        <w:rPr>
          <w:rFonts w:ascii="Arial" w:cs="Arial" w:eastAsia="Arial" w:hAnsi="Arial"/>
          <w:sz w:val="16"/>
          <w:szCs w:val="16"/>
          <w:i w:val="1"/>
          <w:iCs w:val="1"/>
          <w:color w:val="auto"/>
        </w:rPr>
        <w:t>Permitted Free Writing</w:t>
      </w:r>
      <w:r>
        <w:rPr>
          <w:rFonts w:ascii="Arial" w:cs="Arial" w:eastAsia="Arial" w:hAnsi="Arial"/>
          <w:sz w:val="16"/>
          <w:szCs w:val="16"/>
          <w:color w:val="auto"/>
        </w:rPr>
        <w:t xml:space="preserve"> </w:t>
      </w:r>
      <w:r>
        <w:rPr>
          <w:rFonts w:ascii="Arial" w:cs="Arial" w:eastAsia="Arial" w:hAnsi="Arial"/>
          <w:sz w:val="16"/>
          <w:szCs w:val="16"/>
          <w:i w:val="1"/>
          <w:iCs w:val="1"/>
          <w:color w:val="auto"/>
        </w:rPr>
        <w:t>Prospectus</w:t>
      </w:r>
      <w:r>
        <w:rPr>
          <w:rFonts w:ascii="Arial" w:cs="Arial" w:eastAsia="Arial" w:hAnsi="Arial"/>
          <w:sz w:val="16"/>
          <w:szCs w:val="16"/>
          <w:color w:val="auto"/>
        </w:rPr>
        <w:t>”); provided that the prior written consent of the Placement Agent hereto shall be deemed to have been given in respect of the Issuer Free Writing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Prospectus(es) included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(ii) treat each Permitted Free Writing Prospectus as an Issuer Free Writing Prospectus, (iii) comply with the requirements of Rules 164 and 433 applicable to any Issuer Free Writing Prospectus, including the requirements relating to timely filing with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56" w:name="page57"/>
    <w:bookmarkEnd w:id="5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Commission, legending and record keeping and (iv) not take any action that would result in the Placement Agent or the Company being required to file with the Commission pursuant to Rule 433(d) a free writing prospectus prepared by or on behalf of the Placement Agent that the Placement Agent otherwise would not have been required to file thereunder. The Company will satisfy the conditions in Rule 433 to avoid a requirement to file with the Commission any electronic road show.</w:t>
      </w:r>
    </w:p>
    <w:p>
      <w:pPr>
        <w:spacing w:after="0" w:line="187" w:lineRule="exact"/>
        <w:rPr>
          <w:sz w:val="20"/>
          <w:szCs w:val="20"/>
          <w:color w:val="auto"/>
        </w:rPr>
      </w:pPr>
    </w:p>
    <w:p>
      <w:pPr>
        <w:ind w:left="700" w:hanging="236"/>
        <w:spacing w:after="0"/>
        <w:tabs>
          <w:tab w:leader="none" w:pos="700" w:val="left"/>
        </w:tabs>
        <w:numPr>
          <w:ilvl w:val="1"/>
          <w:numId w:val="61"/>
        </w:numPr>
        <w:rPr>
          <w:rFonts w:ascii="Arial" w:cs="Arial" w:eastAsia="Arial" w:hAnsi="Arial"/>
          <w:sz w:val="17"/>
          <w:szCs w:val="17"/>
          <w:color w:val="auto"/>
        </w:rPr>
      </w:pPr>
      <w:r>
        <w:rPr>
          <w:rFonts w:ascii="Arial" w:cs="Arial" w:eastAsia="Arial" w:hAnsi="Arial"/>
          <w:sz w:val="17"/>
          <w:szCs w:val="17"/>
          <w:i w:val="1"/>
          <w:iCs w:val="1"/>
          <w:color w:val="auto"/>
        </w:rPr>
        <w:t>Notice to Placement Agent</w:t>
      </w:r>
      <w:r>
        <w:rPr>
          <w:rFonts w:ascii="Arial" w:cs="Arial" w:eastAsia="Arial" w:hAnsi="Arial"/>
          <w:sz w:val="17"/>
          <w:szCs w:val="17"/>
          <w:color w:val="auto"/>
        </w:rPr>
        <w:t>. The Company will notify the Placement Agent promptly, and will, if requested, confirm such notification in writing:</w:t>
      </w:r>
    </w:p>
    <w:p>
      <w:pPr>
        <w:spacing w:after="0" w:line="34" w:lineRule="exact"/>
        <w:rPr>
          <w:rFonts w:ascii="Arial" w:cs="Arial" w:eastAsia="Arial" w:hAnsi="Arial"/>
          <w:sz w:val="17"/>
          <w:szCs w:val="17"/>
          <w:color w:val="auto"/>
        </w:rPr>
      </w:pPr>
    </w:p>
    <w:p>
      <w:pPr>
        <w:ind w:firstLine="8"/>
        <w:spacing w:after="0" w:line="267" w:lineRule="auto"/>
        <w:tabs>
          <w:tab w:leader="none" w:pos="215" w:val="left"/>
        </w:tabs>
        <w:numPr>
          <w:ilvl w:val="0"/>
          <w:numId w:val="62"/>
        </w:numPr>
        <w:rPr>
          <w:rFonts w:ascii="Arial" w:cs="Arial" w:eastAsia="Arial" w:hAnsi="Arial"/>
          <w:sz w:val="17"/>
          <w:szCs w:val="17"/>
          <w:color w:val="auto"/>
        </w:rPr>
      </w:pPr>
      <w:r>
        <w:rPr>
          <w:rFonts w:ascii="Arial" w:cs="Arial" w:eastAsia="Arial" w:hAnsi="Arial"/>
          <w:sz w:val="17"/>
          <w:szCs w:val="17"/>
          <w:color w:val="auto"/>
        </w:rPr>
        <w:t>of the receipt of any comments of, or requests for additional information from, the Commission; (ii) of the time and date of any filing of any post-effective amendment to the Registration Statement or any amendment or supplement to the Disclosure Package or the Final Prospectus; (iii) of the time and date when any post-effective amendment to the Registration Statement becomes effective; (iv) of the issuance by the Commission of any stop order suspending the effectiveness of the Registration Statement, or any post-effective amendment thereto or any order preventing or suspending the use of any prospectus included in the Disclosure Package, the Final Prospectus or any Issuer Free Writing Prospectus, or the initiation of any proceedings for that purpose or the threat thereof; (v) of receipt by the Company of notice from the Commission that the Company has become the subject of a proceeding under Section 8A of the Act in connection with the offering of the Securities; and (vi) of receipt by the Company of any notification with respect to any suspension or the approval of the Shares and Warrant Shares from any securities exchange upon which they are listed for trading or included or designated for quotation, or the initiation or threatening of any proceeding for such purpose. The Company will use its reasonable best efforts to prevent the issuance or invocation of any such stop order, suspension or proceeding by the Commission and, if any such stop order, suspension or proceeding is so issued or invoked, to obtain as soon as possible the withdrawal or removal thereof.</w:t>
      </w:r>
    </w:p>
    <w:p>
      <w:pPr>
        <w:spacing w:after="0" w:line="186" w:lineRule="exact"/>
        <w:rPr>
          <w:rFonts w:ascii="Arial" w:cs="Arial" w:eastAsia="Arial" w:hAnsi="Arial"/>
          <w:sz w:val="17"/>
          <w:szCs w:val="17"/>
          <w:color w:val="auto"/>
        </w:rPr>
      </w:pPr>
    </w:p>
    <w:p>
      <w:pPr>
        <w:ind w:right="60" w:firstLine="464"/>
        <w:spacing w:after="0" w:line="285" w:lineRule="auto"/>
        <w:tabs>
          <w:tab w:leader="none" w:pos="681"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Filing of Amendments or Supplements</w:t>
      </w:r>
      <w:r>
        <w:rPr>
          <w:rFonts w:ascii="Arial" w:cs="Arial" w:eastAsia="Arial" w:hAnsi="Arial"/>
          <w:sz w:val="16"/>
          <w:szCs w:val="16"/>
          <w:color w:val="auto"/>
        </w:rPr>
        <w:t>. If, during the Prospectus Delivery Period, any event shall occur or condition exist as a result of which it is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amend or supplement the Final Prospectus (or, if the Final Prospectus is not yet available to prospective purchasers, the Disclosure Package) in order to make the statements therein, in the light of the circumstances when the Final Prospectus (or, if the Final Prospectus is not yet available to prospective purchasers, the Disclosure Package) is delivered to an Investor, not misleading, or if, in the reasonable opinion of counsel for the Placement Agent, it is necessary to amend or supplement the Final Prospectus (or, if the Final Prospectus is not yet available to prospective purchasers, the Disclosure Package) to comply with applicable law, forthwith to prepare, file with the Commission and furnish, at its own expense, to the Placement Agent, either amendments or supplements to the Final Prospectus (or, if the Final Prospectus is not yet available to prospective purchasers, the Disclosure Package) so that the statements in the Final Prospectus (or, if the Final Prospectus is not yet available to prospective purchasers, the Disclosure Package) as so amended or supplemented will not, in the light of the circumstances when the Final Prospectus (or, if the Final Prospectus is not yet available to prospective purchasers, the Disclosure Package) is delivered to an Investor, be misleading or so that the Prospectus (or, if the Final Prospectus is not yet available to prospective purchasers, the Disclosure Package), as amended or supplemented, will comply with law. If at any time following issuance of an Issuer Free Writing Prospectus there occurred or occurs an event or development as a result of which such Issuer Free Writing Prospectus conflicted or would conflict with the information contained in the Registration Statement relating to the Securities or included or would include an untrue statement of a material fact or omitted or would omit to state a material fact necessary in order to make the statements therein, in the light of the circumstances prevailing at that subsequent time, not misleading, the Company promptly will notify the Placement Agent and will promptly amend or supplement, at its own expense, such Issuer Free Writing Prospectus to eliminate or correct such conflict, untrue statement or omission.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57" w:name="page58"/>
    <w:bookmarkEnd w:id="57"/>
    <w:p>
      <w:pPr>
        <w:ind w:left="-20" w:right="100" w:firstLine="464"/>
        <w:spacing w:after="0" w:line="273" w:lineRule="auto"/>
        <w:tabs>
          <w:tab w:leader="none" w:pos="691"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Copies</w:t>
      </w:r>
      <w:r>
        <w:rPr>
          <w:rFonts w:ascii="Arial" w:cs="Arial" w:eastAsia="Arial" w:hAnsi="Arial"/>
          <w:sz w:val="17"/>
          <w:szCs w:val="17"/>
          <w:color w:val="auto"/>
        </w:rPr>
        <w:t>. The Company will deliver promptly to the Placement Agent and its counsel such number of the following documents as the</w:t>
      </w:r>
      <w:r>
        <w:rPr>
          <w:rFonts w:ascii="Arial" w:cs="Arial" w:eastAsia="Arial" w:hAnsi="Arial"/>
          <w:sz w:val="17"/>
          <w:szCs w:val="17"/>
          <w:i w:val="1"/>
          <w:iCs w:val="1"/>
          <w:color w:val="auto"/>
        </w:rPr>
        <w:t xml:space="preserve"> </w:t>
      </w:r>
      <w:r>
        <w:rPr>
          <w:rFonts w:ascii="Arial" w:cs="Arial" w:eastAsia="Arial" w:hAnsi="Arial"/>
          <w:sz w:val="17"/>
          <w:szCs w:val="17"/>
          <w:color w:val="auto"/>
        </w:rPr>
        <w:t>Placement Agent shall reasonably request: (i) conformed copies of the Registration Statement as originally filed with the Commission and each amendment thereto (in each case excluding exhibits), (ii) copies of any Issuer Free Writing Prospectus, (iii) during the Prospectus Delivery Period, copies of the Final Prospectus (or any amendments or supplements thereto), (iv) any document incorporated by reference in the Final Prospectus (other than any such document that is filed with the Commission electronically via EDGAR or any successor system) and (v) all correspondence to and from, and all documents issued to and by, the Commission in connection with the registration of the Securities under the Act.</w:t>
      </w:r>
    </w:p>
    <w:p>
      <w:pPr>
        <w:spacing w:after="0" w:line="178" w:lineRule="exact"/>
        <w:rPr>
          <w:rFonts w:ascii="Arial" w:cs="Arial" w:eastAsia="Arial" w:hAnsi="Arial"/>
          <w:sz w:val="17"/>
          <w:szCs w:val="17"/>
          <w:color w:val="auto"/>
        </w:rPr>
      </w:pPr>
    </w:p>
    <w:p>
      <w:pPr>
        <w:ind w:left="-20" w:firstLine="464"/>
        <w:spacing w:after="0" w:line="264" w:lineRule="auto"/>
        <w:tabs>
          <w:tab w:leader="none" w:pos="691"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Earnings Statement</w:t>
      </w:r>
      <w:r>
        <w:rPr>
          <w:rFonts w:ascii="Arial" w:cs="Arial" w:eastAsia="Arial" w:hAnsi="Arial"/>
          <w:sz w:val="18"/>
          <w:szCs w:val="18"/>
          <w:color w:val="auto"/>
        </w:rPr>
        <w:t>. As soon as practicable, but in any event not later than 15 months after the end of the Company’s current fiscal quarter,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will make generally available to holders of its securities and deliver to the Placement Agent, an earnings statement of the Company (which need not be audited) that will satisfy the provisions of Section 11(a) of the Act and Rule 158.</w:t>
      </w:r>
    </w:p>
    <w:p>
      <w:pPr>
        <w:spacing w:after="0" w:line="181" w:lineRule="exact"/>
        <w:rPr>
          <w:rFonts w:ascii="Arial" w:cs="Arial" w:eastAsia="Arial" w:hAnsi="Arial"/>
          <w:sz w:val="18"/>
          <w:szCs w:val="18"/>
          <w:color w:val="auto"/>
        </w:rPr>
      </w:pPr>
    </w:p>
    <w:p>
      <w:pPr>
        <w:ind w:left="-20" w:right="400" w:firstLine="464"/>
        <w:spacing w:after="0" w:line="277" w:lineRule="auto"/>
        <w:tabs>
          <w:tab w:leader="none" w:pos="651"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apply the net proceeds from the sale of the Securities in the manner set forth in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and the Final Prospectus under the caption “Use of Proceeds.”</w:t>
      </w:r>
    </w:p>
    <w:p>
      <w:pPr>
        <w:spacing w:after="0" w:line="170" w:lineRule="exact"/>
        <w:rPr>
          <w:rFonts w:ascii="Arial" w:cs="Arial" w:eastAsia="Arial" w:hAnsi="Arial"/>
          <w:sz w:val="18"/>
          <w:szCs w:val="18"/>
          <w:color w:val="auto"/>
        </w:rPr>
      </w:pPr>
    </w:p>
    <w:p>
      <w:pPr>
        <w:ind w:left="-20" w:firstLine="464"/>
        <w:spacing w:after="0" w:line="255" w:lineRule="auto"/>
        <w:tabs>
          <w:tab w:leader="none" w:pos="651"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Public Communications</w:t>
      </w:r>
      <w:r>
        <w:rPr>
          <w:rFonts w:ascii="Arial" w:cs="Arial" w:eastAsia="Arial" w:hAnsi="Arial"/>
          <w:sz w:val="18"/>
          <w:szCs w:val="18"/>
          <w:color w:val="auto"/>
        </w:rPr>
        <w:t>. Prior to the Closing Date, the Company will not issue any press release or other communication directly or indirectly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hold any press conference with respect to the Company, its condition, financial or otherwise, or the earnings, business, operations or prospects of any of them, or the offering of the Securities, without the prior written consent of the Placement Agent (such consent not to be unreasonably withheld, delayed or conditioned) unless in the reasonable judgment of the Company and its counsel, and after notification to the Placement Agent, such press release or communication is required by law, in which case the Company shall use its reasonable best efforts to allow the Placement Agent reasonable time to comment on such release or other communication in advance of such issuance.</w:t>
      </w:r>
    </w:p>
    <w:p>
      <w:pPr>
        <w:spacing w:after="0" w:line="193" w:lineRule="exact"/>
        <w:rPr>
          <w:rFonts w:ascii="Arial" w:cs="Arial" w:eastAsia="Arial" w:hAnsi="Arial"/>
          <w:sz w:val="18"/>
          <w:szCs w:val="18"/>
          <w:color w:val="auto"/>
        </w:rPr>
      </w:pPr>
    </w:p>
    <w:p>
      <w:pPr>
        <w:ind w:left="-20" w:right="60" w:firstLine="464"/>
        <w:spacing w:after="0" w:line="286" w:lineRule="auto"/>
        <w:tabs>
          <w:tab w:leader="none" w:pos="691"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Lock-Up Period</w:t>
      </w:r>
      <w:r>
        <w:rPr>
          <w:rFonts w:ascii="Arial" w:cs="Arial" w:eastAsia="Arial" w:hAnsi="Arial"/>
          <w:sz w:val="16"/>
          <w:szCs w:val="16"/>
          <w:color w:val="auto"/>
        </w:rPr>
        <w:t>. For a period of 60 days after the date hereof (the “</w:t>
      </w:r>
      <w:r>
        <w:rPr>
          <w:rFonts w:ascii="Arial" w:cs="Arial" w:eastAsia="Arial" w:hAnsi="Arial"/>
          <w:sz w:val="16"/>
          <w:szCs w:val="16"/>
          <w:i w:val="1"/>
          <w:iCs w:val="1"/>
          <w:color w:val="auto"/>
        </w:rPr>
        <w:t>Lock-Up Period</w:t>
      </w:r>
      <w:r>
        <w:rPr>
          <w:rFonts w:ascii="Arial" w:cs="Arial" w:eastAsia="Arial" w:hAnsi="Arial"/>
          <w:sz w:val="16"/>
          <w:szCs w:val="16"/>
          <w:color w:val="auto"/>
        </w:rPr>
        <w:t>”), the Company will not directly or indirectly, (1) offer to sell,</w:t>
      </w:r>
      <w:r>
        <w:rPr>
          <w:rFonts w:ascii="Arial" w:cs="Arial" w:eastAsia="Arial" w:hAnsi="Arial"/>
          <w:sz w:val="16"/>
          <w:szCs w:val="16"/>
          <w:i w:val="1"/>
          <w:iCs w:val="1"/>
          <w:color w:val="auto"/>
        </w:rPr>
        <w:t xml:space="preserve"> </w:t>
      </w:r>
      <w:r>
        <w:rPr>
          <w:rFonts w:ascii="Arial" w:cs="Arial" w:eastAsia="Arial" w:hAnsi="Arial"/>
          <w:sz w:val="16"/>
          <w:szCs w:val="16"/>
          <w:color w:val="auto"/>
        </w:rPr>
        <w:t>hypothecate, pledge, announce the intention to sell, contract to sell, or otherwise transfer or dispose of, directly or indirectly, any Ordinary Shares, or any securities convertible into or exercisable or exchangeable for Ordinary Shares; (2) file or cause to become effective a registration statement under the Act relating to the offer and sale of any Ordinary Shares or securities convertible into or exercisable or exchangeable for Ordinary Shares (except in connection with the Offering or in connection with a registration statement on Form S-8 relating to employee benefit plans); or (3) enter into any swap or other agreement that transfers, in whole or in part, any of the economic consequences of ownership of the Ordinary Shares, whether any such transaction described in clauses (1), (2) or (3) above is to be settled by delivery of Ordinary Shares or such other securities, in cash or otherwise, without the prior written consent of the Placement Agent (which consent may be withheld in its sole discretion), other than (i) the Securities to be sold hereunder, (ii) the issuance of Ordinary Shares, options to acquire Ordinary Shares or other equity awards for Ordinary Shares pursuant to the Company’s employee benefit plans, qualified stock option plans or other employee compensation plans as such plans are in existence on the date hereof and the issuance of Ordinary Shares pursuant to the exercise, vesting or settlement of such options or other equity awards, and (iii) the issuance of Ordinary Shares pursuant to the exercise of the Warrants and other warrants or rights to purchase the Ordinary Shares outstanding or in existence on the date hereof. The Company agrees not to make any public announcement during the Lock-Up Period of any intention to undertake any of the transactions described in clauses (1), (2) or (3) above. The Company further agrees not to accelerate the vesting of any option or warrant or the lapse of any repurchase right prior to the expiration of the Lock-Up Period.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60" w:top="274" w:right="259" w:bottom="1440" w:gutter="0" w:footer="0" w:header="0"/>
        </w:sectPr>
      </w:pPr>
    </w:p>
    <w:bookmarkStart w:id="58" w:name="page59"/>
    <w:bookmarkEnd w:id="58"/>
    <w:p>
      <w:pPr>
        <w:ind w:firstLine="464"/>
        <w:spacing w:after="0" w:line="308" w:lineRule="auto"/>
        <w:tabs>
          <w:tab w:leader="none" w:pos="671"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Stabilization</w:t>
      </w:r>
      <w:r>
        <w:rPr>
          <w:rFonts w:ascii="Arial" w:cs="Arial" w:eastAsia="Arial" w:hAnsi="Arial"/>
          <w:sz w:val="17"/>
          <w:szCs w:val="17"/>
          <w:color w:val="auto"/>
        </w:rPr>
        <w:t>. The Company will not take directly or indirectly any action designed, or that might reasonably be expected to cause or result in, or that</w:t>
      </w:r>
      <w:r>
        <w:rPr>
          <w:rFonts w:ascii="Arial" w:cs="Arial" w:eastAsia="Arial" w:hAnsi="Arial"/>
          <w:sz w:val="17"/>
          <w:szCs w:val="17"/>
          <w:i w:val="1"/>
          <w:iCs w:val="1"/>
          <w:color w:val="auto"/>
        </w:rPr>
        <w:t xml:space="preserve"> </w:t>
      </w:r>
      <w:r>
        <w:rPr>
          <w:rFonts w:ascii="Arial" w:cs="Arial" w:eastAsia="Arial" w:hAnsi="Arial"/>
          <w:sz w:val="17"/>
          <w:szCs w:val="17"/>
          <w:color w:val="auto"/>
        </w:rPr>
        <w:t>will constitute, stabilization or manipulation of the price of any security of the Company to facilitate the sale or resale of any of the Securities.</w:t>
      </w:r>
    </w:p>
    <w:p>
      <w:pPr>
        <w:spacing w:after="0" w:line="146" w:lineRule="exact"/>
        <w:rPr>
          <w:rFonts w:ascii="Arial" w:cs="Arial" w:eastAsia="Arial" w:hAnsi="Arial"/>
          <w:sz w:val="17"/>
          <w:szCs w:val="17"/>
          <w:color w:val="auto"/>
        </w:rPr>
      </w:pPr>
    </w:p>
    <w:p>
      <w:pPr>
        <w:ind w:right="180" w:firstLine="464"/>
        <w:spacing w:after="0" w:line="277" w:lineRule="auto"/>
        <w:tabs>
          <w:tab w:leader="none" w:pos="761"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shall not invest or otherwise use the proceeds received by the Company from its sale of the Securities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such a manner as would require the Company to register as an investment company under the Investment Company Act.</w:t>
      </w:r>
    </w:p>
    <w:p>
      <w:pPr>
        <w:spacing w:after="0" w:line="170" w:lineRule="exact"/>
        <w:rPr>
          <w:rFonts w:ascii="Arial" w:cs="Arial" w:eastAsia="Arial" w:hAnsi="Arial"/>
          <w:sz w:val="18"/>
          <w:szCs w:val="18"/>
          <w:color w:val="auto"/>
        </w:rPr>
      </w:pPr>
    </w:p>
    <w:p>
      <w:pPr>
        <w:ind w:right="20" w:firstLine="464"/>
        <w:spacing w:after="0" w:line="277" w:lineRule="auto"/>
        <w:tabs>
          <w:tab w:leader="none" w:pos="711"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New York Stock Exchange. </w:t>
      </w:r>
      <w:r>
        <w:rPr>
          <w:rFonts w:ascii="Arial" w:cs="Arial" w:eastAsia="Arial" w:hAnsi="Arial"/>
          <w:sz w:val="18"/>
          <w:szCs w:val="18"/>
          <w:color w:val="auto"/>
        </w:rPr>
        <w:t>The Company will use its reasonable best efforts to maintain the listing of the Shares and the Warrant Shares on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Stock Exchange for so long as the Ordinary Shares are listed thereon.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Costs and Expenses</w:t>
      </w:r>
      <w:r>
        <w:rPr>
          <w:rFonts w:ascii="Arial" w:cs="Arial" w:eastAsia="Arial" w:hAnsi="Arial"/>
          <w:sz w:val="18"/>
          <w:szCs w:val="18"/>
          <w:color w:val="auto"/>
        </w:rPr>
        <w:t>.</w:t>
      </w:r>
    </w:p>
    <w:p>
      <w:pPr>
        <w:spacing w:after="0" w:line="2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Company, whether or not the transactions contemplated hereunder are consummated or this Agreement is terminated, will pay or reimburse if paid by the Placement Agent all costs and expenses incident to the performance of the Company’s obligations under this Agreement and in connection with the transactions contemplated hereby, including but not limited to costs and expenses of or relating to (i) the preparation, printing, filing, delivery and shipping of the Registration Statement, any Issuer Free Writing Prospectus, the Disclosure Package and the Final Prospectus, and any amendment or supplement to any of the foregoing and the printing and furnishing of copies of each thereof to the Placement Agent and dealers (including costs of mailing and shipment), (ii) the registration, issue, sale and delivery of the Securities including any stock or transfer taxes and stamp or similar duties payable upon the sale, issuance or delivery of the Securities and the printing, delivery, shipping of the certificates representing the Securities, (iii) the fees and expenses of any transfer agent or registrar for the Securities, (iv) fees, disbursements and other charges of counsel to the Company, (v) listing fees, if any, for the listing or quotation of the Shares and Warrant Shares on the New York Stock Exchange, (vi) fees and disbursements of the Company’s auditor incurred in delivering the letters described in </w:t>
      </w:r>
      <w:r>
        <w:rPr>
          <w:rFonts w:ascii="Arial" w:cs="Arial" w:eastAsia="Arial" w:hAnsi="Arial"/>
          <w:sz w:val="16"/>
          <w:szCs w:val="16"/>
          <w:u w:val="single" w:color="auto"/>
          <w:color w:val="auto"/>
        </w:rPr>
        <w:t>Section 5(o)</w:t>
      </w:r>
      <w:r>
        <w:rPr>
          <w:rFonts w:ascii="Arial" w:cs="Arial" w:eastAsia="Arial" w:hAnsi="Arial"/>
          <w:sz w:val="16"/>
          <w:szCs w:val="16"/>
          <w:color w:val="auto"/>
        </w:rPr>
        <w:t xml:space="preserve"> hereof, and (vii) the costs and expenses of the Company in connection with the marketing of the Offering and the sale of the Securities to prospective investors including, but not limited to, those related to any presentations or meetings undertaken in connection therewith.</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It is understood that except as provided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the Placement Agent shall pay all of their own expenses.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Conditions of Placement Agent’s Obligations</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the Placement Agent hereunder are subject to the following conditions:</w:t>
      </w:r>
    </w:p>
    <w:p>
      <w:pPr>
        <w:spacing w:after="0" w:line="225" w:lineRule="exact"/>
        <w:rPr>
          <w:sz w:val="20"/>
          <w:szCs w:val="20"/>
          <w:color w:val="auto"/>
        </w:rPr>
      </w:pPr>
    </w:p>
    <w:p>
      <w:pPr>
        <w:ind w:right="500" w:firstLine="464"/>
        <w:spacing w:after="0" w:line="308" w:lineRule="auto"/>
        <w:tabs>
          <w:tab w:leader="none" w:pos="701"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Filings with the Commission</w:t>
      </w:r>
      <w:r>
        <w:rPr>
          <w:rFonts w:ascii="Arial" w:cs="Arial" w:eastAsia="Arial" w:hAnsi="Arial"/>
          <w:sz w:val="17"/>
          <w:szCs w:val="17"/>
          <w:color w:val="auto"/>
        </w:rPr>
        <w:t>. The Final Prospectus shall have been filed with the Commission pursuant to Rule 424(b) at or before 5:30 p.m.,</w:t>
      </w:r>
      <w:r>
        <w:rPr>
          <w:rFonts w:ascii="Arial" w:cs="Arial" w:eastAsia="Arial" w:hAnsi="Arial"/>
          <w:sz w:val="17"/>
          <w:szCs w:val="17"/>
          <w:i w:val="1"/>
          <w:iCs w:val="1"/>
          <w:color w:val="auto"/>
        </w:rPr>
        <w:t xml:space="preserve"> </w:t>
      </w:r>
      <w:r>
        <w:rPr>
          <w:rFonts w:ascii="Arial" w:cs="Arial" w:eastAsia="Arial" w:hAnsi="Arial"/>
          <w:sz w:val="17"/>
          <w:szCs w:val="17"/>
          <w:color w:val="auto"/>
        </w:rPr>
        <w:t>Eastern time, on the second full business day after the date of this Agreement (or such earlier time as may be required under the Act).</w:t>
      </w:r>
    </w:p>
    <w:p>
      <w:pPr>
        <w:spacing w:after="0" w:line="146" w:lineRule="exact"/>
        <w:rPr>
          <w:rFonts w:ascii="Arial" w:cs="Arial" w:eastAsia="Arial" w:hAnsi="Arial"/>
          <w:sz w:val="17"/>
          <w:szCs w:val="17"/>
          <w:color w:val="auto"/>
        </w:rPr>
      </w:pPr>
    </w:p>
    <w:p>
      <w:pPr>
        <w:ind w:left="720" w:hanging="256"/>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40" w:firstLine="464"/>
        <w:spacing w:after="0" w:line="302" w:lineRule="auto"/>
        <w:tabs>
          <w:tab w:leader="none" w:pos="701"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No Stop Orders</w:t>
      </w:r>
      <w:r>
        <w:rPr>
          <w:rFonts w:ascii="Arial" w:cs="Arial" w:eastAsia="Arial" w:hAnsi="Arial"/>
          <w:sz w:val="16"/>
          <w:szCs w:val="16"/>
          <w:color w:val="auto"/>
        </w:rPr>
        <w:t>. Prior to the Closing: (i) no stop order suspending the effectiveness of the Registration Statement shall have been issued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Act and no proceedings initiated under Section 8(d) or 8(e) of the Act for that purpose shall be pending or threatened by the Commission, and (ii) any request for additional information on the part of the Commission (to be included in the Registration Statement, the Disclosure Package, the Final Prospectus or any Issuer Free Writing Prospectus or otherwise) shall have been complied with to the reasonable satisfaction of the Placement Agent.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59" w:name="page60"/>
    <w:bookmarkEnd w:id="59"/>
    <w:p>
      <w:pPr>
        <w:ind w:right="20" w:firstLine="464"/>
        <w:spacing w:after="0" w:line="264" w:lineRule="auto"/>
        <w:tabs>
          <w:tab w:leader="none" w:pos="71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Section 8A Proceedings</w:t>
      </w:r>
      <w:r>
        <w:rPr>
          <w:rFonts w:ascii="Arial" w:cs="Arial" w:eastAsia="Arial" w:hAnsi="Arial"/>
          <w:sz w:val="18"/>
          <w:szCs w:val="18"/>
          <w:color w:val="auto"/>
        </w:rPr>
        <w:t>. No stop order suspending the qualification of the Registration Statement shall have been issued by the Commission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no proceedings for that purpose or pursuant to Section 8A of the Act shall be pending or, to the knowledge of the Company, shall be threatened or contemplated by the Commission at or prior to the Closing Date.</w:t>
      </w:r>
    </w:p>
    <w:p>
      <w:pPr>
        <w:spacing w:after="0" w:line="181" w:lineRule="exact"/>
        <w:rPr>
          <w:rFonts w:ascii="Arial" w:cs="Arial" w:eastAsia="Arial" w:hAnsi="Arial"/>
          <w:sz w:val="18"/>
          <w:szCs w:val="18"/>
          <w:color w:val="auto"/>
        </w:rPr>
      </w:pPr>
    </w:p>
    <w:p>
      <w:pPr>
        <w:jc w:val="both"/>
        <w:ind w:right="180" w:firstLine="464"/>
        <w:spacing w:after="0" w:line="259" w:lineRule="auto"/>
        <w:tabs>
          <w:tab w:leader="none" w:pos="70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Action Preventing Issuance</w:t>
      </w:r>
      <w:r>
        <w:rPr>
          <w:rFonts w:ascii="Arial" w:cs="Arial" w:eastAsia="Arial" w:hAnsi="Arial"/>
          <w:sz w:val="18"/>
          <w:szCs w:val="18"/>
          <w:color w:val="auto"/>
        </w:rPr>
        <w:t>. No action shall have been taken and no statute, rule, regulation or order shall have been enacted, adopted or issued by</w:t>
      </w:r>
      <w:r>
        <w:rPr>
          <w:rFonts w:ascii="Arial" w:cs="Arial" w:eastAsia="Arial" w:hAnsi="Arial"/>
          <w:sz w:val="18"/>
          <w:szCs w:val="18"/>
          <w:i w:val="1"/>
          <w:iCs w:val="1"/>
          <w:color w:val="auto"/>
        </w:rPr>
        <w:t xml:space="preserve"> </w:t>
      </w:r>
      <w:r>
        <w:rPr>
          <w:rFonts w:ascii="Arial" w:cs="Arial" w:eastAsia="Arial" w:hAnsi="Arial"/>
          <w:sz w:val="18"/>
          <w:szCs w:val="18"/>
          <w:color w:val="auto"/>
        </w:rPr>
        <w:t>any governmental agency or body which would, as of the Closing Date, prevent the issuance or sale of the Securities; and no injunction, restraining order or order of any other nature by any federal or state court of competent jurisdiction shall have been issued as of the Closing Date which would prevent the issuance or sale of the Securities.</w:t>
      </w:r>
    </w:p>
    <w:p>
      <w:pPr>
        <w:spacing w:after="0" w:line="186" w:lineRule="exact"/>
        <w:rPr>
          <w:rFonts w:ascii="Arial" w:cs="Arial" w:eastAsia="Arial" w:hAnsi="Arial"/>
          <w:sz w:val="18"/>
          <w:szCs w:val="18"/>
          <w:color w:val="auto"/>
        </w:rPr>
      </w:pPr>
    </w:p>
    <w:p>
      <w:pPr>
        <w:ind w:left="680" w:hanging="216"/>
        <w:spacing w:after="0"/>
        <w:tabs>
          <w:tab w:leader="none" w:pos="68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Objection of Placement Agent</w:t>
      </w:r>
      <w:r>
        <w:rPr>
          <w:rFonts w:ascii="Arial" w:cs="Arial" w:eastAsia="Arial" w:hAnsi="Arial"/>
          <w:sz w:val="17"/>
          <w:szCs w:val="17"/>
          <w:color w:val="auto"/>
        </w:rPr>
        <w:t>. No prospectus or amendment or supplement to the Registration Statement shall have been filed to which the</w:t>
      </w:r>
    </w:p>
    <w:p>
      <w:pPr>
        <w:spacing w:after="0" w:line="34" w:lineRule="exact"/>
        <w:rPr>
          <w:rFonts w:ascii="Arial" w:cs="Arial" w:eastAsia="Arial" w:hAnsi="Arial"/>
          <w:sz w:val="17"/>
          <w:szCs w:val="17"/>
          <w:color w:val="auto"/>
        </w:rPr>
      </w:pPr>
    </w:p>
    <w:p>
      <w:pPr>
        <w:spacing w:after="0" w:line="253" w:lineRule="auto"/>
        <w:rPr>
          <w:rFonts w:ascii="Arial" w:cs="Arial" w:eastAsia="Arial" w:hAnsi="Arial"/>
          <w:sz w:val="17"/>
          <w:szCs w:val="17"/>
          <w:color w:val="auto"/>
        </w:rPr>
      </w:pPr>
      <w:r>
        <w:rPr>
          <w:rFonts w:ascii="Arial" w:cs="Arial" w:eastAsia="Arial" w:hAnsi="Arial"/>
          <w:sz w:val="18"/>
          <w:szCs w:val="18"/>
          <w:color w:val="auto"/>
        </w:rPr>
        <w:t>Placement Agent shall have objected in writing, which objection shall not be unreasonable. The Placement Agent shall not have advised the Company that the Registration Statement, the Disclosure Package or the Final Prospectus, or any amendment thereof or supplement thereto, or any Issuer Free Writing Prospectus contains, in the reasonable opinion of counsel for the Placement Agent, an untrue statement of fact which, in their reasonable opinion, is material, or omits to state a fact which, in their reasonable opinion, is material and is required to be stated therein or necessary to make the statements therein, in light of the circumstances under which they were made, not misleading.</w:t>
      </w:r>
    </w:p>
    <w:p>
      <w:pPr>
        <w:spacing w:after="0" w:line="191" w:lineRule="exact"/>
        <w:rPr>
          <w:rFonts w:ascii="Arial" w:cs="Arial" w:eastAsia="Arial" w:hAnsi="Arial"/>
          <w:sz w:val="17"/>
          <w:szCs w:val="17"/>
          <w:color w:val="auto"/>
        </w:rPr>
      </w:pPr>
    </w:p>
    <w:p>
      <w:pPr>
        <w:ind w:right="120" w:firstLine="464"/>
        <w:spacing w:after="0" w:line="259" w:lineRule="auto"/>
        <w:tabs>
          <w:tab w:leader="none" w:pos="71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No Material Adverse Change</w:t>
      </w:r>
      <w:r>
        <w:rPr>
          <w:rFonts w:ascii="Arial" w:cs="Arial" w:eastAsia="Arial" w:hAnsi="Arial"/>
          <w:sz w:val="18"/>
          <w:szCs w:val="18"/>
          <w:color w:val="auto"/>
        </w:rPr>
        <w:t>. (i) Prior to the Closing, there shall not have occurred any change, or any development involving a prospective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the condition, financial or otherwise, or in the earnings, business or operations of the Company from that set forth in the Disclosure Package and the Final Prospectus that, in the Placement Agent’s judgment, is material and adverse and that makes it, in the Placement Agent’s judgment, impracticable to market the Securities on the terms and in the manner contemplated in the Disclosure Package.</w:t>
      </w:r>
    </w:p>
    <w:p>
      <w:pPr>
        <w:spacing w:after="0" w:line="186" w:lineRule="exact"/>
        <w:rPr>
          <w:rFonts w:ascii="Arial" w:cs="Arial" w:eastAsia="Arial" w:hAnsi="Arial"/>
          <w:sz w:val="18"/>
          <w:szCs w:val="18"/>
          <w:color w:val="auto"/>
        </w:rPr>
      </w:pPr>
    </w:p>
    <w:p>
      <w:pPr>
        <w:ind w:right="20" w:firstLine="921"/>
        <w:spacing w:after="0" w:line="269" w:lineRule="auto"/>
        <w:tabs>
          <w:tab w:leader="none" w:pos="1178"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There shall not have occurred any of the following: (i) a suspension or material limitation in trading in securities generally on the New York Stock Exchange, the Nasdaq Stock Market, the Nasdaq Global Select Market, the Nasdaq Global Market, the Nasdaq Capital Market, the NYSE MKT or the over the counter market or the establishing on such exchanges or markets by the Commission or by such exchanges or markets of minimum or maximum prices that are not in force and effect on the date hereof; (ii) a suspension or material limitation in trading in the Company’s securities on the New York Stock Exchange Global Market or any other exchange or market or the establishing on any such market or exchange by the Commission or by such market of minimum or maximum prices that are not in force and effect on the date hereof; (iii) a general moratorium on commercial banking activities declared by either federal or any state authorities; (iv) the outbreak or escalation of hostilities involving the United States or the declaration by the United States of a national emergency or war, which in the Placement Agent’s judgment makes it impracticable or inadvisable to proceed with the public offering or the delivery of the Securities in the manner contemplated in the Final Prospectus; or (v) any calamity or crisis, change in national, international or world affairs, act of God, change in the international or domestic markets, or change in the existing financial, political or economic conditions in the United States or elsewhere, that in the Placement Agent’s judgment makes it impracticable or inadvisable to proceed with the public offering or the delivery of the Securities in the manner contemplated in each of the Disclosure Package and the Final Prospectus.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60" w:name="page61"/>
    <w:bookmarkEnd w:id="60"/>
    <w:p>
      <w:pPr>
        <w:ind w:left="-20" w:right="20" w:firstLine="464"/>
        <w:spacing w:after="0" w:line="257" w:lineRule="auto"/>
        <w:tabs>
          <w:tab w:leader="none" w:pos="691"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w:t>
      </w:r>
      <w:r>
        <w:rPr>
          <w:rFonts w:ascii="Arial" w:cs="Arial" w:eastAsia="Arial" w:hAnsi="Arial"/>
          <w:sz w:val="18"/>
          <w:szCs w:val="18"/>
          <w:color w:val="auto"/>
        </w:rPr>
        <w:t>. Each of the representations and warranties of the Company contained herein shall be true and correct when made</w:t>
      </w:r>
      <w:r>
        <w:rPr>
          <w:rFonts w:ascii="Arial" w:cs="Arial" w:eastAsia="Arial" w:hAnsi="Arial"/>
          <w:sz w:val="18"/>
          <w:szCs w:val="18"/>
          <w:i w:val="1"/>
          <w:iCs w:val="1"/>
          <w:color w:val="auto"/>
        </w:rPr>
        <w:t xml:space="preserve"> </w:t>
      </w:r>
      <w:r>
        <w:rPr>
          <w:rFonts w:ascii="Arial" w:cs="Arial" w:eastAsia="Arial" w:hAnsi="Arial"/>
          <w:sz w:val="18"/>
          <w:szCs w:val="18"/>
          <w:color w:val="auto"/>
        </w:rPr>
        <w:t>and on and as of the Execution Time and the Closing Date, as if made on such date (except that those representations and warranties that address matters only as of a particular date shall remain true and correct as of such date), and all covenants and agreements herein contained to be performed on the part of the Company and all conditions herein contained to be fulfilled or complied with by the Company at or prior to the Closing Date shall have been duly performed, fulfilled or complied with in all material respects.</w:t>
      </w:r>
    </w:p>
    <w:p>
      <w:pPr>
        <w:spacing w:after="0" w:line="188" w:lineRule="exact"/>
        <w:rPr>
          <w:rFonts w:ascii="Arial" w:cs="Arial" w:eastAsia="Arial" w:hAnsi="Arial"/>
          <w:sz w:val="18"/>
          <w:szCs w:val="18"/>
          <w:color w:val="auto"/>
        </w:rPr>
      </w:pPr>
    </w:p>
    <w:p>
      <w:pPr>
        <w:ind w:left="-20" w:right="100" w:firstLine="464"/>
        <w:spacing w:after="0" w:line="264" w:lineRule="auto"/>
        <w:tabs>
          <w:tab w:leader="none" w:pos="651"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On or before the Closing Date, the Company shall have obtained for the benefit of the Placement Agent the agreement,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form set forth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of its directors and officers listed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(each a “</w:t>
      </w:r>
      <w:r>
        <w:rPr>
          <w:rFonts w:ascii="Arial" w:cs="Arial" w:eastAsia="Arial" w:hAnsi="Arial"/>
          <w:sz w:val="18"/>
          <w:szCs w:val="18"/>
          <w:i w:val="1"/>
          <w:iCs w:val="1"/>
          <w:color w:val="auto"/>
        </w:rPr>
        <w:t>Lock-Up Agreement</w:t>
      </w:r>
      <w:r>
        <w:rPr>
          <w:rFonts w:ascii="Arial" w:cs="Arial" w:eastAsia="Arial" w:hAnsi="Arial"/>
          <w:sz w:val="18"/>
          <w:szCs w:val="18"/>
          <w:color w:val="auto"/>
        </w:rPr>
        <w:t>” and collectively, the “</w:t>
      </w:r>
      <w:r>
        <w:rPr>
          <w:rFonts w:ascii="Arial" w:cs="Arial" w:eastAsia="Arial" w:hAnsi="Arial"/>
          <w:sz w:val="18"/>
          <w:szCs w:val="18"/>
          <w:i w:val="1"/>
          <w:iCs w:val="1"/>
          <w:color w:val="auto"/>
        </w:rPr>
        <w:t>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0" w:right="60" w:firstLine="464"/>
        <w:spacing w:after="0" w:line="264" w:lineRule="auto"/>
        <w:tabs>
          <w:tab w:leader="none" w:pos="651"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Opinion of Counsel to the Company</w:t>
      </w:r>
      <w:r>
        <w:rPr>
          <w:rFonts w:ascii="Arial" w:cs="Arial" w:eastAsia="Arial" w:hAnsi="Arial"/>
          <w:sz w:val="18"/>
          <w:szCs w:val="18"/>
          <w:color w:val="auto"/>
        </w:rPr>
        <w:t>. The Placement Agent shall have received from Latham &amp; Watkins LLP, counsel to the Company,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counsel’s written opinion and negative assurance letter, each addressed to the Placement Agent and dated the Closing Date, in form and substance as set forth in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D-2</w:t>
      </w:r>
      <w:r>
        <w:rPr>
          <w:rFonts w:ascii="Arial" w:cs="Arial" w:eastAsia="Arial" w:hAnsi="Arial"/>
          <w:sz w:val="18"/>
          <w:szCs w:val="18"/>
          <w:color w:val="auto"/>
        </w:rPr>
        <w:t>, respectively, attached hereto.</w:t>
      </w:r>
    </w:p>
    <w:p>
      <w:pPr>
        <w:spacing w:after="0" w:line="181" w:lineRule="exact"/>
        <w:rPr>
          <w:rFonts w:ascii="Arial" w:cs="Arial" w:eastAsia="Arial" w:hAnsi="Arial"/>
          <w:sz w:val="18"/>
          <w:szCs w:val="18"/>
          <w:color w:val="auto"/>
        </w:rPr>
      </w:pPr>
    </w:p>
    <w:p>
      <w:pPr>
        <w:ind w:left="-20" w:right="200" w:firstLine="464"/>
        <w:spacing w:after="0" w:line="342" w:lineRule="auto"/>
        <w:tabs>
          <w:tab w:leader="none" w:pos="691"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Opinion of Special Irish Counsel</w:t>
      </w:r>
      <w:r>
        <w:rPr>
          <w:rFonts w:ascii="Arial" w:cs="Arial" w:eastAsia="Arial" w:hAnsi="Arial"/>
          <w:sz w:val="16"/>
          <w:szCs w:val="16"/>
          <w:color w:val="auto"/>
        </w:rPr>
        <w:t>. The Placement Agent shall have received from Matheson, special Irish counsel to the Company, such counsel’s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written opinion, addressed to the Placement Agent and dated the Closing Date, in form and substance as set forth in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w:t>
      </w:r>
    </w:p>
    <w:p>
      <w:pPr>
        <w:spacing w:after="0" w:line="123" w:lineRule="exact"/>
        <w:rPr>
          <w:rFonts w:ascii="Arial" w:cs="Arial" w:eastAsia="Arial" w:hAnsi="Arial"/>
          <w:sz w:val="16"/>
          <w:szCs w:val="16"/>
          <w:color w:val="auto"/>
        </w:rPr>
      </w:pPr>
    </w:p>
    <w:p>
      <w:pPr>
        <w:jc w:val="both"/>
        <w:ind w:left="-20" w:firstLine="464"/>
        <w:spacing w:after="0" w:line="264" w:lineRule="auto"/>
        <w:tabs>
          <w:tab w:leader="none" w:pos="651"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Opinion of General Counsel</w:t>
      </w:r>
      <w:r>
        <w:rPr>
          <w:rFonts w:ascii="Arial" w:cs="Arial" w:eastAsia="Arial" w:hAnsi="Arial"/>
          <w:sz w:val="18"/>
          <w:szCs w:val="18"/>
          <w:color w:val="auto"/>
        </w:rPr>
        <w:t>. The Placement Agent shall have received from the Executive Vice President, General Counsel and Corporate Secretary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Company, such counsel’s written opinion, addressed to the Placement Agent and dated the Closing Date, in form and substance as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w:t>
      </w:r>
    </w:p>
    <w:p>
      <w:pPr>
        <w:spacing w:after="0" w:line="181" w:lineRule="exact"/>
        <w:rPr>
          <w:rFonts w:ascii="Arial" w:cs="Arial" w:eastAsia="Arial" w:hAnsi="Arial"/>
          <w:sz w:val="18"/>
          <w:szCs w:val="18"/>
          <w:color w:val="auto"/>
        </w:rPr>
      </w:pPr>
    </w:p>
    <w:p>
      <w:pPr>
        <w:ind w:left="-20" w:right="40" w:firstLine="464"/>
        <w:spacing w:after="0" w:line="264" w:lineRule="auto"/>
        <w:tabs>
          <w:tab w:leader="none" w:pos="741"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Opinion of Special Advisor</w:t>
      </w:r>
      <w:r>
        <w:rPr>
          <w:rFonts w:ascii="Arial" w:cs="Arial" w:eastAsia="Arial" w:hAnsi="Arial"/>
          <w:sz w:val="18"/>
          <w:szCs w:val="18"/>
          <w:color w:val="auto"/>
        </w:rPr>
        <w:t>. The Placement Agent shall have received from PricewaterhouseCoopers AG, Switzerland, special advisor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such firm’s written opinion, addressed to the Placement Agent and dated the Closing Date, in form and substance as set forth in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attached hereto.</w:t>
      </w:r>
    </w:p>
    <w:p>
      <w:pPr>
        <w:spacing w:after="0" w:line="181" w:lineRule="exact"/>
        <w:rPr>
          <w:rFonts w:ascii="Arial" w:cs="Arial" w:eastAsia="Arial" w:hAnsi="Arial"/>
          <w:sz w:val="18"/>
          <w:szCs w:val="18"/>
          <w:color w:val="auto"/>
        </w:rPr>
      </w:pPr>
    </w:p>
    <w:p>
      <w:pPr>
        <w:ind w:left="-20" w:right="60" w:firstLine="464"/>
        <w:spacing w:after="0" w:line="277" w:lineRule="auto"/>
        <w:tabs>
          <w:tab w:leader="none" w:pos="691"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Opinion of Counsel to the Placement Agent</w:t>
      </w:r>
      <w:r>
        <w:rPr>
          <w:rFonts w:ascii="Arial" w:cs="Arial" w:eastAsia="Arial" w:hAnsi="Arial"/>
          <w:sz w:val="18"/>
          <w:szCs w:val="18"/>
          <w:color w:val="auto"/>
        </w:rPr>
        <w:t>. The Placement Agent shall have received a favorable opinion of Morrison &amp; Foerster LLP, counsel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Placement Agent, dated the Closing Date, in form and substance reasonably satisfactory to the Placement Agent.</w:t>
      </w:r>
    </w:p>
    <w:p>
      <w:pPr>
        <w:spacing w:after="0" w:line="170" w:lineRule="exact"/>
        <w:rPr>
          <w:rFonts w:ascii="Arial" w:cs="Arial" w:eastAsia="Arial" w:hAnsi="Arial"/>
          <w:sz w:val="18"/>
          <w:szCs w:val="18"/>
          <w:color w:val="auto"/>
        </w:rPr>
      </w:pPr>
    </w:p>
    <w:p>
      <w:pPr>
        <w:ind w:left="-20" w:right="80" w:firstLine="464"/>
        <w:spacing w:after="0" w:line="308" w:lineRule="auto"/>
        <w:tabs>
          <w:tab w:leader="none" w:pos="691"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Opinion of Special Irish Counsel to the Placement Agent. </w:t>
      </w:r>
      <w:r>
        <w:rPr>
          <w:rFonts w:ascii="Arial" w:cs="Arial" w:eastAsia="Arial" w:hAnsi="Arial"/>
          <w:sz w:val="17"/>
          <w:szCs w:val="17"/>
          <w:color w:val="auto"/>
        </w:rPr>
        <w:t>The Placement Agent shall have received a favorable opinion of A&amp;L Goodbody, special</w:t>
      </w:r>
      <w:r>
        <w:rPr>
          <w:rFonts w:ascii="Arial" w:cs="Arial" w:eastAsia="Arial" w:hAnsi="Arial"/>
          <w:sz w:val="17"/>
          <w:szCs w:val="17"/>
          <w:i w:val="1"/>
          <w:iCs w:val="1"/>
          <w:color w:val="auto"/>
        </w:rPr>
        <w:t xml:space="preserve"> </w:t>
      </w:r>
      <w:r>
        <w:rPr>
          <w:rFonts w:ascii="Arial" w:cs="Arial" w:eastAsia="Arial" w:hAnsi="Arial"/>
          <w:sz w:val="17"/>
          <w:szCs w:val="17"/>
          <w:color w:val="auto"/>
        </w:rPr>
        <w:t>Ireland counsel for the Placement Agent, dated the Closing Date, in form and substance reasonably satisfactory to the Placement Agent.</w:t>
      </w:r>
    </w:p>
    <w:p>
      <w:pPr>
        <w:spacing w:after="0" w:line="146" w:lineRule="exact"/>
        <w:rPr>
          <w:rFonts w:ascii="Arial" w:cs="Arial" w:eastAsia="Arial" w:hAnsi="Arial"/>
          <w:sz w:val="17"/>
          <w:szCs w:val="17"/>
          <w:color w:val="auto"/>
        </w:rPr>
      </w:pPr>
    </w:p>
    <w:p>
      <w:pPr>
        <w:ind w:left="-20" w:firstLine="464"/>
        <w:spacing w:after="0" w:line="259" w:lineRule="auto"/>
        <w:tabs>
          <w:tab w:leader="none" w:pos="691"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Comfort Letter</w:t>
      </w:r>
      <w:r>
        <w:rPr>
          <w:rFonts w:ascii="Arial" w:cs="Arial" w:eastAsia="Arial" w:hAnsi="Arial"/>
          <w:sz w:val="18"/>
          <w:szCs w:val="18"/>
          <w:color w:val="auto"/>
        </w:rPr>
        <w:t>. The Placement Agent shall have received from KPMG LLP letters dated, respectively, the date of the Final Prospectus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 and addressed to the Placement Agent in customary forms reasonably satisfactory to the Placement Agent, which letters shall cover, without limitation, the various financial disclosures contained in the Registration Statement, the Final Prospectus and the Permitted Free Writing Prospectuses relating to the Company, if any.</w:t>
      </w:r>
    </w:p>
    <w:p>
      <w:pPr>
        <w:spacing w:after="0" w:line="186" w:lineRule="exact"/>
        <w:rPr>
          <w:rFonts w:ascii="Arial" w:cs="Arial" w:eastAsia="Arial" w:hAnsi="Arial"/>
          <w:sz w:val="18"/>
          <w:szCs w:val="18"/>
          <w:color w:val="auto"/>
        </w:rPr>
      </w:pPr>
    </w:p>
    <w:p>
      <w:pPr>
        <w:ind w:left="-20" w:right="60" w:firstLine="464"/>
        <w:spacing w:after="0" w:line="264" w:lineRule="auto"/>
        <w:tabs>
          <w:tab w:leader="none" w:pos="691"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 The Placement Agent shall have received on the Closing Date a certificate of the Company, addressed to the Placement Agent</w:t>
      </w:r>
      <w:r>
        <w:rPr>
          <w:rFonts w:ascii="Arial" w:cs="Arial" w:eastAsia="Arial" w:hAnsi="Arial"/>
          <w:sz w:val="18"/>
          <w:szCs w:val="18"/>
          <w:i w:val="1"/>
          <w:iCs w:val="1"/>
          <w:color w:val="auto"/>
        </w:rPr>
        <w:t xml:space="preserve"> </w:t>
      </w:r>
      <w:r>
        <w:rPr>
          <w:rFonts w:ascii="Arial" w:cs="Arial" w:eastAsia="Arial" w:hAnsi="Arial"/>
          <w:sz w:val="18"/>
          <w:szCs w:val="18"/>
          <w:color w:val="auto"/>
        </w:rPr>
        <w:t>and dated the Closing Date, signed by the Chief Executive Officer or the President and the principal financial or accounting officer of the Company to the effect that the signers of such certificate have carefully examined the Registration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74" w:right="259" w:bottom="1440" w:gutter="0" w:footer="0" w:header="0"/>
        </w:sectPr>
      </w:pPr>
    </w:p>
    <w:bookmarkStart w:id="61" w:name="page62"/>
    <w:bookmarkEnd w:id="6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the Disclosure Package, the Final Prospectus and any supplements or amendments thereto, as well as each electronic road show used in connection with the offering of the Securities, and this Agreement and that:</w:t>
      </w:r>
    </w:p>
    <w:p>
      <w:pPr>
        <w:spacing w:after="0" w:line="62" w:lineRule="exact"/>
        <w:rPr>
          <w:sz w:val="20"/>
          <w:szCs w:val="20"/>
          <w:color w:val="auto"/>
        </w:rPr>
      </w:pPr>
    </w:p>
    <w:p>
      <w:pPr>
        <w:ind w:left="460" w:right="60" w:firstLine="443"/>
        <w:spacing w:after="0" w:line="279" w:lineRule="auto"/>
        <w:tabs>
          <w:tab w:leader="none" w:pos="1113" w:val="left"/>
        </w:tabs>
        <w:numPr>
          <w:ilvl w:val="1"/>
          <w:numId w:val="68"/>
        </w:numPr>
        <w:rPr>
          <w:rFonts w:ascii="Arial" w:cs="Arial" w:eastAsia="Arial" w:hAnsi="Arial"/>
          <w:sz w:val="17"/>
          <w:szCs w:val="17"/>
          <w:color w:val="auto"/>
        </w:rPr>
      </w:pPr>
      <w:r>
        <w:rPr>
          <w:rFonts w:ascii="Arial" w:cs="Arial" w:eastAsia="Arial" w:hAnsi="Arial"/>
          <w:sz w:val="17"/>
          <w:szCs w:val="17"/>
          <w:color w:val="auto"/>
        </w:rPr>
        <w:t>each of the representations, warranties and agreements of the Company in this Agreement were true and correct when originally made and are true and correct as of the Execution Time and the Closing Date (except that those representations and warranties that address matters only as of a particular date shall remain true and correct as of such date); and the Company has complied with all agreements and satisfied all the conditions on its part required under this Agreement to be performed or satisfied at or prior to the Closing Date;</w:t>
      </w:r>
    </w:p>
    <w:p>
      <w:pPr>
        <w:spacing w:after="0" w:line="63" w:lineRule="exact"/>
        <w:rPr>
          <w:rFonts w:ascii="Arial" w:cs="Arial" w:eastAsia="Arial" w:hAnsi="Arial"/>
          <w:sz w:val="17"/>
          <w:szCs w:val="17"/>
          <w:color w:val="auto"/>
        </w:rPr>
      </w:pPr>
    </w:p>
    <w:p>
      <w:pPr>
        <w:ind w:left="460" w:right="100" w:firstLine="443"/>
        <w:spacing w:after="0" w:line="259" w:lineRule="auto"/>
        <w:tabs>
          <w:tab w:leader="none" w:pos="1163"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part thereof or any amendment thereof or the qualification of the Securities for offering or sale, nor suspending or preventing the use of the Disclosure Package, the Final Prospectus or any Issuer Free Writing Prospectus shall have been issued, and no proceedings for that purpose shall be pending or to their knowledge, threatened by the Commission or any state or regulatory body; and</w:t>
      </w:r>
    </w:p>
    <w:p>
      <w:pPr>
        <w:spacing w:after="0" w:line="78" w:lineRule="exact"/>
        <w:rPr>
          <w:rFonts w:ascii="Arial" w:cs="Arial" w:eastAsia="Arial" w:hAnsi="Arial"/>
          <w:sz w:val="18"/>
          <w:szCs w:val="18"/>
          <w:color w:val="auto"/>
        </w:rPr>
      </w:pPr>
    </w:p>
    <w:p>
      <w:pPr>
        <w:ind w:left="460" w:right="60" w:firstLine="443"/>
        <w:spacing w:after="0" w:line="279" w:lineRule="auto"/>
        <w:tabs>
          <w:tab w:leader="none" w:pos="1213" w:val="left"/>
        </w:tabs>
        <w:numPr>
          <w:ilvl w:val="1"/>
          <w:numId w:val="68"/>
        </w:numPr>
        <w:rPr>
          <w:rFonts w:ascii="Arial" w:cs="Arial" w:eastAsia="Arial" w:hAnsi="Arial"/>
          <w:sz w:val="17"/>
          <w:szCs w:val="17"/>
          <w:color w:val="auto"/>
        </w:rPr>
      </w:pPr>
      <w:r>
        <w:rPr>
          <w:rFonts w:ascii="Arial" w:cs="Arial" w:eastAsia="Arial" w:hAnsi="Arial"/>
          <w:sz w:val="17"/>
          <w:szCs w:val="17"/>
          <w:color w:val="auto"/>
        </w:rPr>
        <w:t>since the date of the most recent financial statements included in the Disclosure Package and the Final Prospectus (exclusive of any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in or contemplated in the Disclosure Package and the Final Prospectus (exclusive of any supplement thereto).</w:t>
      </w:r>
    </w:p>
    <w:p>
      <w:pPr>
        <w:spacing w:after="0" w:line="171" w:lineRule="exact"/>
        <w:rPr>
          <w:rFonts w:ascii="Arial" w:cs="Arial" w:eastAsia="Arial" w:hAnsi="Arial"/>
          <w:sz w:val="17"/>
          <w:szCs w:val="17"/>
          <w:color w:val="auto"/>
        </w:rPr>
      </w:pPr>
    </w:p>
    <w:p>
      <w:pPr>
        <w:ind w:left="680" w:hanging="216"/>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464"/>
        <w:spacing w:after="0" w:line="277" w:lineRule="auto"/>
        <w:tabs>
          <w:tab w:leader="none" w:pos="691"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Other Filings with the Commission</w:t>
      </w:r>
      <w:r>
        <w:rPr>
          <w:rFonts w:ascii="Arial" w:cs="Arial" w:eastAsia="Arial" w:hAnsi="Arial"/>
          <w:sz w:val="18"/>
          <w:szCs w:val="18"/>
          <w:color w:val="auto"/>
        </w:rPr>
        <w:t>. The Company shall have prepared and filed with the Commission a Current Report on Form 8-K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transactions contemplated hereby, including as an exhibit thereto this Agreement.</w:t>
      </w:r>
    </w:p>
    <w:p>
      <w:pPr>
        <w:spacing w:after="0" w:line="170" w:lineRule="exact"/>
        <w:rPr>
          <w:rFonts w:ascii="Arial" w:cs="Arial" w:eastAsia="Arial" w:hAnsi="Arial"/>
          <w:sz w:val="18"/>
          <w:szCs w:val="18"/>
          <w:color w:val="auto"/>
        </w:rPr>
      </w:pPr>
    </w:p>
    <w:p>
      <w:pPr>
        <w:ind w:right="280" w:firstLine="464"/>
        <w:spacing w:after="0" w:line="277" w:lineRule="auto"/>
        <w:tabs>
          <w:tab w:leader="none" w:pos="671"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New York Stock Exchange. </w:t>
      </w:r>
      <w:r>
        <w:rPr>
          <w:rFonts w:ascii="Arial" w:cs="Arial" w:eastAsia="Arial" w:hAnsi="Arial"/>
          <w:sz w:val="18"/>
          <w:szCs w:val="18"/>
          <w:color w:val="auto"/>
        </w:rPr>
        <w:t>The Shares and Warrant Shares shall have been listed and admitted and authorized for trading on the New York Stock</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and satisfactory evidence of such actions shall have been provided to the Placement Agent.</w:t>
      </w:r>
    </w:p>
    <w:p>
      <w:pPr>
        <w:spacing w:after="0" w:line="170" w:lineRule="exact"/>
        <w:rPr>
          <w:rFonts w:ascii="Arial" w:cs="Arial" w:eastAsia="Arial" w:hAnsi="Arial"/>
          <w:sz w:val="18"/>
          <w:szCs w:val="18"/>
          <w:color w:val="auto"/>
        </w:rPr>
      </w:pPr>
    </w:p>
    <w:p>
      <w:pPr>
        <w:ind w:right="220" w:firstLine="464"/>
        <w:spacing w:after="0" w:line="277" w:lineRule="auto"/>
        <w:tabs>
          <w:tab w:leader="none" w:pos="711"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Prior to the Closing Date, the Company shall have furnished to the Placement Agent such further information, certificates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documents as the Placement Agent may reasonably request.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The documents required to be delivered by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delivered at the office of Latham &amp; Watkins LLP, special counsel to the Company, at 811 Main Street, Suite 3700, Houston, Texas 77002, on the Closing Date.</w:t>
      </w:r>
    </w:p>
    <w:p>
      <w:pPr>
        <w:spacing w:after="0" w:line="170" w:lineRule="exact"/>
        <w:rPr>
          <w:sz w:val="20"/>
          <w:szCs w:val="20"/>
          <w:color w:val="auto"/>
        </w:rPr>
      </w:pPr>
    </w:p>
    <w:p>
      <w:pPr>
        <w:ind w:right="780" w:firstLine="456"/>
        <w:spacing w:after="0" w:line="308" w:lineRule="auto"/>
        <w:rPr>
          <w:sz w:val="20"/>
          <w:szCs w:val="20"/>
          <w:color w:val="auto"/>
        </w:rPr>
      </w:pPr>
      <w:r>
        <w:rPr>
          <w:rFonts w:ascii="Arial" w:cs="Arial" w:eastAsia="Arial" w:hAnsi="Arial"/>
          <w:sz w:val="17"/>
          <w:szCs w:val="17"/>
          <w:color w:val="auto"/>
        </w:rPr>
        <w:t>All opinions, letters, evidence and certificates mentioned above or elsewhere in this Agreement shall be deemed to be in compliance with the provisions hereof only if they are in form and substance reasonably satisfactory to counsel for the Placement Agent.</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If any condition specified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is not satisfied when and as required to be satisfied, this Agreement may be terminated by the Placement Agent by notice to the Company at any time prior to the Closing Date, which termination shall be without liability on the part of any party to any other party, except that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shall at all times be effective and shall survive such termination.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 Indemnification and Contribution</w:t>
      </w:r>
      <w:r>
        <w:rPr>
          <w:rFonts w:ascii="Arial" w:cs="Arial" w:eastAsia="Arial" w:hAnsi="Arial"/>
          <w:sz w:val="18"/>
          <w:szCs w:val="18"/>
          <w:b w:val="1"/>
          <w:bCs w:val="1"/>
          <w:i w:val="1"/>
          <w:iCs w:val="1"/>
          <w:color w:val="auto"/>
        </w:rPr>
        <w:t>.</w:t>
      </w:r>
    </w:p>
    <w:p>
      <w:pPr>
        <w:spacing w:after="0" w:line="229" w:lineRule="exact"/>
        <w:rPr>
          <w:sz w:val="20"/>
          <w:szCs w:val="20"/>
          <w:color w:val="auto"/>
        </w:rPr>
      </w:pPr>
    </w:p>
    <w:p>
      <w:pPr>
        <w:ind w:right="80" w:firstLine="464"/>
        <w:spacing w:after="0" w:line="268" w:lineRule="auto"/>
        <w:tabs>
          <w:tab w:leader="none" w:pos="701"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Indemnification of the Placement Agent</w:t>
      </w:r>
      <w:r>
        <w:rPr>
          <w:rFonts w:ascii="Arial" w:cs="Arial" w:eastAsia="Arial" w:hAnsi="Arial"/>
          <w:sz w:val="17"/>
          <w:szCs w:val="17"/>
          <w:color w:val="auto"/>
        </w:rPr>
        <w:t>. The Company agrees to indemnify and hold harmless the Placement Agent, its affiliates, directors,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and employees, and agents who have or who are alleged to have participated in the distribution of the Securities as Placement Agent and each person who controls the Placement Agent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as originally filed or in any amendment thereof, or in the Base Prospectus, any Preliminary Prospectus, the Final Prospectus, any Issuer Free Writing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any untrue statement or omission or alleged untrue statement or omission made in reliance upon and in conformity with the Placement Agent Information. This indemnity agreement will be in addition to any liability which the Company may otherwise have.</w:t>
      </w:r>
    </w:p>
    <w:p>
      <w:pPr>
        <w:spacing w:after="0" w:line="187" w:lineRule="exact"/>
        <w:rPr>
          <w:rFonts w:ascii="Arial" w:cs="Arial" w:eastAsia="Arial" w:hAnsi="Arial"/>
          <w:sz w:val="17"/>
          <w:szCs w:val="17"/>
          <w:color w:val="auto"/>
        </w:rPr>
      </w:pPr>
    </w:p>
    <w:p>
      <w:pPr>
        <w:ind w:right="220" w:firstLine="464"/>
        <w:spacing w:after="0" w:line="254" w:lineRule="auto"/>
        <w:tabs>
          <w:tab w:leader="none" w:pos="711"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Indemnification of the Company</w:t>
      </w:r>
      <w:r>
        <w:rPr>
          <w:rFonts w:ascii="Arial" w:cs="Arial" w:eastAsia="Arial" w:hAnsi="Arial"/>
          <w:sz w:val="18"/>
          <w:szCs w:val="18"/>
          <w:color w:val="auto"/>
        </w:rPr>
        <w:t>. The Placement Agent agrees to indemnify and hold harmless the Company, each of its directors, each of its</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who signs the Registration Statement, and each person who controls the Company within the meaning of either the Act or the Exchange Act, to the same extent as the foregoing indemnity from the Company to the Placement Agent, but only with respect to any losses, claims, damages or liabilities that arise out of, or are based upon, any untrue statement or omission or alleged untrue statement or omission made in reliance upon and in conformity with any information relating to the Placement Agent furnished to the Company expressly for use in and used in any Preliminary Prospectus, the Final Prospectus or any Issuer Free Writing Prospectus ;</w:t>
      </w:r>
      <w:r>
        <w:rPr>
          <w:rFonts w:ascii="Arial" w:cs="Arial" w:eastAsia="Arial" w:hAnsi="Arial"/>
          <w:sz w:val="18"/>
          <w:szCs w:val="18"/>
          <w:i w:val="1"/>
          <w:iCs w:val="1"/>
          <w:color w:val="auto"/>
        </w:rPr>
        <w:t>provided</w:t>
      </w:r>
      <w:r>
        <w:rPr>
          <w:rFonts w:ascii="Arial" w:cs="Arial" w:eastAsia="Arial" w:hAnsi="Arial"/>
          <w:sz w:val="18"/>
          <w:szCs w:val="18"/>
          <w:color w:val="auto"/>
        </w:rPr>
        <w:t>, that the parties hereto hereby agree that such information provided by the Placement Agent consists solely of the second sentence of the second paragraph under the heading “Plan of Distribution (Conflicts of Interest)” in the Final Prospectus (collectively, the “</w:t>
      </w:r>
      <w:r>
        <w:rPr>
          <w:rFonts w:ascii="Arial" w:cs="Arial" w:eastAsia="Arial" w:hAnsi="Arial"/>
          <w:sz w:val="18"/>
          <w:szCs w:val="18"/>
          <w:i w:val="1"/>
          <w:iCs w:val="1"/>
          <w:color w:val="auto"/>
        </w:rPr>
        <w:t>Placement Agent Information</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firstLine="464"/>
        <w:spacing w:after="0" w:line="288" w:lineRule="auto"/>
        <w:tabs>
          <w:tab w:leader="none" w:pos="701"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Notice and Procedures</w:t>
      </w:r>
      <w:r>
        <w:rPr>
          <w:rFonts w:ascii="Arial" w:cs="Arial" w:eastAsia="Arial" w:hAnsi="Arial"/>
          <w:sz w:val="16"/>
          <w:szCs w:val="16"/>
          <w:color w:val="auto"/>
        </w:rPr>
        <w:t>. Promptly after receipt by an indemnified party under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i w:val="1"/>
          <w:iCs w:val="1"/>
          <w:color w:val="auto"/>
        </w:rPr>
        <w:t xml:space="preserve"> </w:t>
      </w:r>
      <w:r>
        <w:rPr>
          <w:rFonts w:ascii="Arial" w:cs="Arial" w:eastAsia="Arial" w:hAnsi="Arial"/>
          <w:sz w:val="16"/>
          <w:szCs w:val="16"/>
          <w:color w:val="auto"/>
        </w:rPr>
        <w:t>of notice of the commencement of any action,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indemnified party will, if a claim in respect thereof is to be made against the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63" w:name="page64"/>
    <w:bookmarkEnd w:id="6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provided, however, that an indemnifying party shall not be liable for the fees and expenses of more than one such separate counsel (in addition to local counsel) in connection with any proceeding or related proceeding in the same jurisdiction. An indemnifying party shall not be liable for any settlement of any proceeding effected without its consent (which consent shall not be unreasonably withheld).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hereof, the indemnifying party agrees that it shall be liable for any settlement of any proceeding effected without its written consent if</w:t>
      </w:r>
    </w:p>
    <w:p>
      <w:pPr>
        <w:spacing w:after="0" w:line="5" w:lineRule="exact"/>
        <w:rPr>
          <w:sz w:val="20"/>
          <w:szCs w:val="20"/>
          <w:color w:val="auto"/>
        </w:rPr>
      </w:pPr>
    </w:p>
    <w:p>
      <w:pPr>
        <w:ind w:firstLine="8"/>
        <w:spacing w:after="0" w:line="268" w:lineRule="auto"/>
        <w:tabs>
          <w:tab w:leader="none" w:pos="215" w:val="left"/>
        </w:tabs>
        <w:numPr>
          <w:ilvl w:val="0"/>
          <w:numId w:val="71"/>
        </w:numPr>
        <w:rPr>
          <w:rFonts w:ascii="Arial" w:cs="Arial" w:eastAsia="Arial" w:hAnsi="Arial"/>
          <w:sz w:val="17"/>
          <w:szCs w:val="17"/>
          <w:color w:val="auto"/>
        </w:rPr>
      </w:pPr>
      <w:r>
        <w:rPr>
          <w:rFonts w:ascii="Arial" w:cs="Arial" w:eastAsia="Arial" w:hAnsi="Arial"/>
          <w:sz w:val="17"/>
          <w:szCs w:val="17"/>
          <w:color w:val="auto"/>
        </w:rPr>
        <w:t>such settlement is entered into more than 60 days after receipt by such indemnifying party of the aforesaid request, (ii) such indemnifying party shall have received notice of the terms of such settlement at least 30 days before such settlement is entered into and (iii) such indemnifying party shall not have reimbursed the indemnified party in accordance with such request or disputed in good faith the indemnified party’s entitlement to such reimbursement prior to the date of such settlement. An indemnifying party will not, without the prior written consent (which consent shall not be unreasonably withheld)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an admission of fault.</w:t>
      </w:r>
    </w:p>
    <w:p>
      <w:pPr>
        <w:spacing w:after="0" w:line="184" w:lineRule="exact"/>
        <w:rPr>
          <w:rFonts w:ascii="Arial" w:cs="Arial" w:eastAsia="Arial" w:hAnsi="Arial"/>
          <w:sz w:val="17"/>
          <w:szCs w:val="17"/>
          <w:color w:val="auto"/>
        </w:rPr>
      </w:pPr>
    </w:p>
    <w:p>
      <w:pPr>
        <w:ind w:firstLine="464"/>
        <w:spacing w:after="0" w:line="268" w:lineRule="auto"/>
        <w:tabs>
          <w:tab w:leader="none" w:pos="711" w:val="left"/>
        </w:tabs>
        <w:numPr>
          <w:ilvl w:val="1"/>
          <w:numId w:val="71"/>
        </w:numPr>
        <w:rPr>
          <w:rFonts w:ascii="Arial" w:cs="Arial" w:eastAsia="Arial" w:hAnsi="Arial"/>
          <w:sz w:val="17"/>
          <w:szCs w:val="17"/>
          <w:color w:val="auto"/>
        </w:rPr>
      </w:pPr>
      <w:r>
        <w:rPr>
          <w:rFonts w:ascii="Arial" w:cs="Arial" w:eastAsia="Arial" w:hAnsi="Arial"/>
          <w:sz w:val="17"/>
          <w:szCs w:val="17"/>
          <w:i w:val="1"/>
          <w:iCs w:val="1"/>
          <w:color w:val="auto"/>
        </w:rPr>
        <w:t>Contribution</w:t>
      </w:r>
      <w:r>
        <w:rPr>
          <w:rFonts w:ascii="Arial" w:cs="Arial" w:eastAsia="Arial" w:hAnsi="Arial"/>
          <w:sz w:val="17"/>
          <w:szCs w:val="17"/>
          <w:color w:val="auto"/>
        </w:rPr>
        <w:t>. In the event that the indemnity provided in paragraph (b) or (c) of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w:t>
      </w:r>
      <w:r>
        <w:rPr>
          <w:rFonts w:ascii="Arial" w:cs="Arial" w:eastAsia="Arial" w:hAnsi="Arial"/>
          <w:sz w:val="17"/>
          <w:szCs w:val="17"/>
          <w:i w:val="1"/>
          <w:iCs w:val="1"/>
          <w:color w:val="auto"/>
        </w:rPr>
        <w:t xml:space="preserve"> </w:t>
      </w:r>
      <w:r>
        <w:rPr>
          <w:rFonts w:ascii="Arial" w:cs="Arial" w:eastAsia="Arial" w:hAnsi="Arial"/>
          <w:sz w:val="17"/>
          <w:szCs w:val="17"/>
          <w:color w:val="auto"/>
        </w:rPr>
        <w:t>is unavailable to or insufficient to hold harmless an</w:t>
      </w:r>
      <w:r>
        <w:rPr>
          <w:rFonts w:ascii="Arial" w:cs="Arial" w:eastAsia="Arial" w:hAnsi="Arial"/>
          <w:sz w:val="17"/>
          <w:szCs w:val="17"/>
          <w:i w:val="1"/>
          <w:iCs w:val="1"/>
          <w:color w:val="auto"/>
        </w:rPr>
        <w:t xml:space="preserve"> </w:t>
      </w:r>
      <w:r>
        <w:rPr>
          <w:rFonts w:ascii="Arial" w:cs="Arial" w:eastAsia="Arial" w:hAnsi="Arial"/>
          <w:sz w:val="17"/>
          <w:szCs w:val="17"/>
          <w:color w:val="auto"/>
        </w:rPr>
        <w:t>indemnified party for any reason, the Company and the Placement Agent severally agree to contribute to the aggregate losses, claims, damages and liabilities (including legal or other expenses reasonably incurred in connection with investigating or defending the same) (collectively “</w:t>
      </w:r>
      <w:r>
        <w:rPr>
          <w:rFonts w:ascii="Arial" w:cs="Arial" w:eastAsia="Arial" w:hAnsi="Arial"/>
          <w:sz w:val="17"/>
          <w:szCs w:val="17"/>
          <w:i w:val="1"/>
          <w:iCs w:val="1"/>
          <w:color w:val="auto"/>
        </w:rPr>
        <w:t>Losses</w:t>
      </w:r>
      <w:r>
        <w:rPr>
          <w:rFonts w:ascii="Arial" w:cs="Arial" w:eastAsia="Arial" w:hAnsi="Arial"/>
          <w:sz w:val="17"/>
          <w:szCs w:val="17"/>
          <w:color w:val="auto"/>
        </w:rPr>
        <w:t>”) to which the Company and the Placement Agent may be subject in such proportion as is appropriate to reflect the relative benefits received by the Company on the one hand and by the Placement Agent on the other from the offering of the Securities. If the allocation provided by the immediately preceding sentence is unavailable for any reason, the Company and the Placement Agent severally shall contribute in such proportion as is appropriate to reflect not only such relative benefits but also the relative fault of the Company on the one hand and of the Placement Agent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Placement Agent shall be deemed to be equal to the Placement Fee,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Placement Agent on the other, the intent of the parties and their relative knowledge, access to information and opportunity to correct or prevent such untrue statement or omission. The Company and the Placement Agent agree that it would not be just and equitable if contribution were determined by pro rata allocation or any other method of allocation which does not take account of the equitable considerations referred to above. Notwithstanding the provisions of this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64" w:name="page65"/>
    <w:bookmarkEnd w:id="64"/>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paragraph (d), in no event shall the Placement Agent be required to contribute any amount in excess of the amount by which the Placement Fee received by the Placement Agent with respect to the offering of the Securities exceeds the amount of any damages that the Placement Agent has otherwise been required to pay by reason of such untrue or alleged untrue statement or omission or alleged omission. Notwithstanding the provisions of this paragraph (d), no person guilty of fraudulent misrepresentation (within the meaning of Section 11(f) of the Act) shall be entitled to contribution from any person who was not guilty of such fraudulent misrepresentation. For purposes of this </w:t>
      </w:r>
      <w:r>
        <w:rPr>
          <w:rFonts w:ascii="Arial" w:cs="Arial" w:eastAsia="Arial" w:hAnsi="Arial"/>
          <w:sz w:val="17"/>
          <w:szCs w:val="17"/>
          <w:u w:val="single" w:color="auto"/>
          <w:color w:val="auto"/>
        </w:rPr>
        <w:t>Section 6</w:t>
      </w:r>
      <w:r>
        <w:rPr>
          <w:rFonts w:ascii="Arial" w:cs="Arial" w:eastAsia="Arial" w:hAnsi="Arial"/>
          <w:sz w:val="17"/>
          <w:szCs w:val="17"/>
          <w:color w:val="auto"/>
        </w:rPr>
        <w:t>, each person who controls the Placement Agent within the meaning of either the Act or the Exchange Act and each director, officer, employee, affiliate and agent of the Placement Agent shall have the same rights to contribution as the Placement Agent,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182" w:lineRule="exact"/>
        <w:rPr>
          <w:sz w:val="20"/>
          <w:szCs w:val="20"/>
          <w:color w:val="auto"/>
        </w:rPr>
      </w:pPr>
    </w:p>
    <w:p>
      <w:pPr>
        <w:ind w:firstLine="464"/>
        <w:spacing w:after="0" w:line="253" w:lineRule="auto"/>
        <w:tabs>
          <w:tab w:leader="none" w:pos="701"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Representations and Agreements to Survive Delivery</w:t>
      </w:r>
      <w:r>
        <w:rPr>
          <w:rFonts w:ascii="Arial" w:cs="Arial" w:eastAsia="Arial" w:hAnsi="Arial"/>
          <w:sz w:val="18"/>
          <w:szCs w:val="18"/>
          <w:color w:val="auto"/>
        </w:rPr>
        <w:t>. The obligations of the Company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in addition to any liability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Company may otherwise have. The indemnity and contribution agreements of the parties contained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and the covenants, warranties and representations of the Company contained in this Agreement shall remain operative and in full force and effect regardless of (i) any termination of this Agreement, (ii) any investigation made by or on behalf of the Placement Agent, any person who controls the Placement Agent within the meaning of either the Act or the Exchange Act or any affiliate of the Placement Agent, or by or on behalf of the Company, its directors or officers or any person who controls the Company within the meaning of either the Act or the Exchange Act, and (iii) the issuance and delivery of the Securities. The Company and the Placement Agent agree promptly to notify each other of the commencement of any proceeding against it and, in the case of the Company, against any of the Company’s officers or directors in connection with the issuance and sale of the Securities, or in connection with the Registration Statement, the Disclosure Package or the Final Prospectus.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Termination</w:t>
      </w:r>
      <w:r>
        <w:rPr>
          <w:rFonts w:ascii="Arial" w:cs="Arial" w:eastAsia="Arial" w:hAnsi="Arial"/>
          <w:sz w:val="18"/>
          <w:szCs w:val="18"/>
          <w:i w:val="1"/>
          <w:iCs w:val="1"/>
          <w:color w:val="auto"/>
        </w:rPr>
        <w:t>.</w:t>
      </w:r>
    </w:p>
    <w:p>
      <w:pPr>
        <w:spacing w:after="0" w:line="229" w:lineRule="exact"/>
        <w:rPr>
          <w:sz w:val="20"/>
          <w:szCs w:val="20"/>
          <w:color w:val="auto"/>
        </w:rPr>
      </w:pPr>
    </w:p>
    <w:p>
      <w:pPr>
        <w:ind w:firstLine="464"/>
        <w:spacing w:after="0" w:line="257" w:lineRule="auto"/>
        <w:tabs>
          <w:tab w:leader="none" w:pos="7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If this Agreement shall be terminated by the Placement Agent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or (2) the sale of the Securities to Investors is not consummated because of any failure, refusal or inability on the part of the Company to comply with the terms or perform any agreement or obligation of this Agreement or any Subscription Agreement, other than by reason of a default by the Placement Agent, the Company will, in addition to paying the amounts described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reimburse the Placement Agent for all of its reasonable, documented and actual out-of-pocket disbursements (including, but not limited to, the reasonable and documented fees and disbursements of its outside counsel).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Notices</w:t>
      </w:r>
      <w:r>
        <w:rPr>
          <w:rFonts w:ascii="Arial" w:cs="Arial" w:eastAsia="Arial" w:hAnsi="Arial"/>
          <w:sz w:val="18"/>
          <w:szCs w:val="18"/>
          <w:i w:val="1"/>
          <w:i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statements, requests, notices and agreements hereunder shall be in writing or by facsimile,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if to the Placement Agent, shall be delivered or sent by mail, telex or facsimile transmission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Equity Syndicate Desk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(212) 622-8358</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65" w:name="page66"/>
    <w:bookmarkEnd w:id="6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Morrison &amp; Foerster LLP</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250 West 55</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Anna Pinedo,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(212) 468-7900</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if to the Company shall be delivered or sent by mail, telex or facsimile transmission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Weatherford International public limited company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Bahnhofstrasse 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Baar, 6340, Switzerland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legalweatherford@weatherford.com</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811 Main Street, Suite 3700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Sean T. Wheeler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Sean.Wheeler@lw.com</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Any such notice shall be effective only upon receipt. Any party to this Agreement may change such address for notices by sending to the parties to this Agreement written notice of a new address for such purpose.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Persons Entitled to Benefit of Agreement</w:t>
      </w:r>
      <w:r>
        <w:rPr>
          <w:rFonts w:ascii="Arial" w:cs="Arial" w:eastAsia="Arial" w:hAnsi="Arial"/>
          <w:sz w:val="18"/>
          <w:szCs w:val="18"/>
          <w:color w:val="auto"/>
        </w:rPr>
        <w:t>.</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This Agreement shall inure to the benefit of and shall be binding upon the Placement Agent, the Company and their respective successors and assigns and the controlling persons, officers and directors referred to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Nothing in this Agreement is intended or shall be construed to give to any other person, firm or corporation, other than the persons, firms or corporations mentioned in the preceding sentence, any legal or equitable remedy or claim under or in respect of this Agreement, or any provision herein contained. The term “successors and assigns” as herein used shall not include any purchaser of the Securities by reason merely of such purchase.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Governing Law</w:t>
      </w:r>
      <w:r>
        <w:rPr>
          <w:rFonts w:ascii="Arial" w:cs="Arial" w:eastAsia="Arial" w:hAnsi="Arial"/>
          <w:sz w:val="18"/>
          <w:szCs w:val="18"/>
          <w:color w:val="auto"/>
        </w:rPr>
        <w:t>.</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This Agreement and any claim, controversy or dispute arising under or related to this Agreement shall be governed by and construed in accordance with the laws of the State of New York, without giving effect to the conflicts of laws provisions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No Fiduciary Relationship</w:t>
      </w:r>
      <w:r>
        <w:rPr>
          <w:rFonts w:ascii="Arial" w:cs="Arial" w:eastAsia="Arial" w:hAnsi="Arial"/>
          <w:sz w:val="18"/>
          <w:szCs w:val="18"/>
          <w:color w:val="auto"/>
        </w:rPr>
        <w:t>.</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Company acknowledges and agrees that the Placement Agent shall act as an independent contractor, and not as a fiduciary, and any duties of the Placement Agent with respect to providing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274" w:right="339" w:bottom="1440" w:gutter="0" w:footer="0" w:header="0"/>
        </w:sectPr>
      </w:pPr>
    </w:p>
    <w:bookmarkStart w:id="66" w:name="page67"/>
    <w:bookmarkEnd w:id="66"/>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banking services to the Company, including the offering of the Securities contemplated hereby (including in connection with determining the terms of the Offering), shall be contractual in nature, as expressly set forth herein, and shall be owed solely to the Company. Each party hereto disclaims any intention to impose any fiduciary or similar duty on any other party hereto. Additionally, the Placement Agent has not acted as a financial advisor, nor has advised or is advising, the Company or any other person as to any legal, tax, investment, accounting or regulatory matters in any jurisdiction with respect to the transactions contemplated hereby. The Company shall consult with its own advisors concerning such matters and shall be responsible for making its own independent investigation and appraisal of the transactions contemplated hereby, and the Placement Agent shall have no responsibility or liability to the Company with respect thereto. Any review by the Placement Agent of the Company, the transactions contemplated hereby or other matters relating to such transactions has been and will be performed solely for the benefit of the Placement Agent and has not been and shall not be performed on behalf of the Company or any other person. It is understood that the Placement Agent has not and will not be rendering an opinion to the Company as to the fairness of the terms of the Offering. Notwithstanding anything in this Agreement to the contrary, the Company acknowledges that the Placement Agent may have financial interests in the success of the Offering contemplated hereby that are not limited to the Placement Fee. The Company hereby waives and releases, to the fullest extent permitted by law, any claims that the Company may have against the Placement Agent with respect to any breach or alleged breach of fiduciary duty.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Headings.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Section headings in this Agreement have been inserted as a matter of convenience of reference and are not a part of this Agreement.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Amendments and Waivers</w:t>
      </w:r>
      <w:r>
        <w:rPr>
          <w:rFonts w:ascii="Arial" w:cs="Arial" w:eastAsia="Arial" w:hAnsi="Arial"/>
          <w:sz w:val="18"/>
          <w:szCs w:val="18"/>
          <w:color w:val="auto"/>
        </w:rPr>
        <w:t>.</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 supplement, modification or waiver of this Agreement shall be binding unless executed in writing by the party to be bound thereby. The failure of a party to exercise any right or remedy shall not be deemed or constitute a waiver of such right or remedy in the future. No waiver of any of the provisions of this Agreement shall be deemed or shall constitute a waiver of any other provision hereof (regardless of whether similar), nor shall any such waiver constitute a continuing waiver unless otherwise expressly provided.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Submission to Jurisdiction</w:t>
      </w:r>
      <w:r>
        <w:rPr>
          <w:rFonts w:ascii="Arial" w:cs="Arial" w:eastAsia="Arial" w:hAnsi="Arial"/>
          <w:sz w:val="18"/>
          <w:szCs w:val="18"/>
          <w:color w:val="auto"/>
        </w:rPr>
        <w:t>.</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By the execution and delivery of this Agreement, the Company submits to the non-exclusive jurisdiction of any federal or New York State court located in the City of New York in any suit or proceeding arising out of or relating to the Securities or this Agreement.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in any New York State or federal court in the City of New York, or any appellate court with respect to any of the foregoing. Each of the parties hereto hereby irrevocably waives, to the fullest extent permitted by law, the defense of an inconvenient forum to the maintenance of such action or proceeding in any such court. To the extent that the Company has or hereafter may acquire any immunity from jurisdiction of any court (including, without limitation, any court in the United States, the State of New York, Ireland, Switzerland or any political subdivision thereof) or from any legal process (whether through service of notice, attachment prior to judgment, attachment in aid of execution, execution or otherwise) with respect to itself or its property or assets, this Agreement, or any other actions to enforce judgments in respect of any thereof, the Company hereby irrevocably waives such immunity, and any defense based on such immunity, in respect of their respective obligations under the above-referenced documents and the transactions contemplated thereby, to the fullest extent permitted by law.</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67" w:name="page68"/>
    <w:bookmarkEnd w:id="67"/>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addition to the foregoing, the Company agrees to irrevocably appoint CT Corporation Systems as its authorized agent on which any and all legal process may be served in any such action, suit or proceeding brought in the courts specified in the preceding paragraph. The Company agrees that service of process in respect of it upon such agent shall be deemed to be effective service of process upon it in any such action, suit or proceeding. The Company agrees that the failure of such agent to give notice to it of any such service shall not impair or affect the validity of such service or any judgment rendered in any such action, suit or proceeding based thereon. If for any reason such agent shall cease to be available to act as such, the Company agrees to irrevocably appoint another such agent in New York City as its authorized agent for service of process, on the terms and for the purposes of this </w:t>
      </w:r>
      <w:r>
        <w:rPr>
          <w:rFonts w:ascii="Arial" w:cs="Arial" w:eastAsia="Arial" w:hAnsi="Arial"/>
          <w:sz w:val="17"/>
          <w:szCs w:val="17"/>
          <w:u w:val="single" w:color="auto"/>
          <w:color w:val="auto"/>
        </w:rPr>
        <w:t>Section 14</w:t>
      </w:r>
      <w:r>
        <w:rPr>
          <w:rFonts w:ascii="Arial" w:cs="Arial" w:eastAsia="Arial" w:hAnsi="Arial"/>
          <w:sz w:val="17"/>
          <w:szCs w:val="17"/>
          <w:color w:val="auto"/>
        </w:rPr>
        <w:t>. Nothing herein shall in any way be deemed to limit the ability of the Placement Agent or any other person to serve any such legal process in any other manner permitted by applicable law or to obtain jurisdiction over the Company or bring actions, suits or proceedings against it in such other jurisdiction, and in such matter, as may be permitted by applicable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Counterparts</w:t>
      </w:r>
      <w:r>
        <w:rPr>
          <w:rFonts w:ascii="Arial" w:cs="Arial" w:eastAsia="Arial" w:hAnsi="Arial"/>
          <w:sz w:val="18"/>
          <w:szCs w:val="18"/>
          <w:color w:val="auto"/>
        </w:rPr>
        <w:t>.</w:t>
      </w:r>
    </w:p>
    <w:p>
      <w:pPr>
        <w:spacing w:after="0" w:line="229"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This Agreement may be executed in one or more counterparts and, if executed in more than one counterpart, the executed counterparts shall each be deemed to be an original and all such counterparts shall together constitute one and the same instrument. Delivery of an executed counterpart by facsimile shall be effective as delivery of a manually executed counterpart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 Definitions. </w:t>
      </w:r>
      <w:r>
        <w:rPr>
          <w:rFonts w:ascii="Arial" w:cs="Arial" w:eastAsia="Arial" w:hAnsi="Arial"/>
          <w:sz w:val="18"/>
          <w:szCs w:val="18"/>
          <w:color w:val="auto"/>
        </w:rPr>
        <w:t>The terms that follow, when used in this Agreement, shall have the meanings indicated.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w:t>
      </w:r>
      <w:r>
        <w:rPr>
          <w:rFonts w:ascii="Arial" w:cs="Arial" w:eastAsia="Arial" w:hAnsi="Arial"/>
          <w:sz w:val="18"/>
          <w:szCs w:val="18"/>
          <w:color w:val="auto"/>
        </w:rPr>
        <w:t>” shall mean the Securities Act of 1933, as amended, and the rules and regulations of the Commission promulgated thereunder.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Base Prospectus</w:t>
      </w:r>
      <w:r>
        <w:rPr>
          <w:rFonts w:ascii="Arial" w:cs="Arial" w:eastAsia="Arial" w:hAnsi="Arial"/>
          <w:sz w:val="16"/>
          <w:szCs w:val="16"/>
          <w:color w:val="auto"/>
        </w:rPr>
        <w:t xml:space="preserve">” shall mean the base prospectus referred to in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above contained in the Registration Statement at the Execution Time.</w:t>
      </w:r>
    </w:p>
    <w:p>
      <w:pPr>
        <w:spacing w:after="0" w:line="24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Disclosure Package</w:t>
      </w:r>
      <w:r>
        <w:rPr>
          <w:rFonts w:ascii="Arial" w:cs="Arial" w:eastAsia="Arial" w:hAnsi="Arial"/>
          <w:sz w:val="18"/>
          <w:szCs w:val="18"/>
          <w:color w:val="auto"/>
        </w:rPr>
        <w:t xml:space="preserve">” shall mean (i) the Base Prospectus, (ii) the Preliminary Prospectus used most recently prior to the Execution Time, (iii) the Issuer Free Writing Prospectuses, if any, identified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(iv) the price to the public and the number of Securities to be included on the cover page of the Final Prospectus, and (vi) any other Free Writing Prospectus that the parties hereto shall hereafter expressly agree in writing to treat as part of the Disclosure Package.</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shall mean each date and time that the Registration Statement and any post-effective amendment or amendments thereto became or becomes effective.</w:t>
      </w:r>
    </w:p>
    <w:p>
      <w:pPr>
        <w:spacing w:after="0" w:line="170"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Execution Time</w:t>
      </w:r>
      <w:r>
        <w:rPr>
          <w:rFonts w:ascii="Arial" w:cs="Arial" w:eastAsia="Arial" w:hAnsi="Arial"/>
          <w:sz w:val="18"/>
          <w:szCs w:val="18"/>
          <w:color w:val="auto"/>
        </w:rPr>
        <w:t>” shall mean the date and time that this Agreement is executed and delivered by the parties hereto.</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Prospectus</w:t>
      </w:r>
      <w:r>
        <w:rPr>
          <w:rFonts w:ascii="Arial" w:cs="Arial" w:eastAsia="Arial" w:hAnsi="Arial"/>
          <w:sz w:val="18"/>
          <w:szCs w:val="18"/>
          <w:color w:val="auto"/>
        </w:rPr>
        <w:t>” shall mean the prospectus supplement relating to the Securities that was first filed pursuant to Rule 424(b) after the Execution Time, together with the Base Prospectus.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Free Writing Prospectus</w:t>
      </w:r>
      <w:r>
        <w:rPr>
          <w:rFonts w:ascii="Arial" w:cs="Arial" w:eastAsia="Arial" w:hAnsi="Arial"/>
          <w:sz w:val="18"/>
          <w:szCs w:val="18"/>
          <w:color w:val="auto"/>
        </w:rPr>
        <w:t>” shall mean a free writing prospectus, as defined in Rule 405.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 Free Writing Prospectus</w:t>
      </w:r>
      <w:r>
        <w:rPr>
          <w:rFonts w:ascii="Arial" w:cs="Arial" w:eastAsia="Arial" w:hAnsi="Arial"/>
          <w:sz w:val="18"/>
          <w:szCs w:val="18"/>
          <w:color w:val="auto"/>
        </w:rPr>
        <w:t>” shall mean an issuer free writing prospectus, as defined in Rule 433.</w:t>
      </w:r>
    </w:p>
    <w:p>
      <w:pPr>
        <w:spacing w:after="0" w:line="225" w:lineRule="exact"/>
        <w:rPr>
          <w:sz w:val="20"/>
          <w:szCs w:val="20"/>
          <w:color w:val="auto"/>
        </w:rPr>
      </w:pPr>
    </w:p>
    <w:p>
      <w:pPr>
        <w:jc w:val="both"/>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Preliminary Prospectus</w:t>
      </w:r>
      <w:r>
        <w:rPr>
          <w:rFonts w:ascii="Arial" w:cs="Arial" w:eastAsia="Arial" w:hAnsi="Arial"/>
          <w:sz w:val="18"/>
          <w:szCs w:val="18"/>
          <w:color w:val="auto"/>
        </w:rPr>
        <w:t xml:space="preserve">” shall mean any preliminary prospectus supplement to the Base Prospectus referred to in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above which is used prior to the filing of the Final Prospectus, together with the Base Prospectus.</w:t>
      </w:r>
    </w:p>
    <w:p>
      <w:pPr>
        <w:spacing w:after="0" w:line="17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Statement</w:t>
      </w:r>
      <w:r>
        <w:rPr>
          <w:rFonts w:ascii="Arial" w:cs="Arial" w:eastAsia="Arial" w:hAnsi="Arial"/>
          <w:sz w:val="18"/>
          <w:szCs w:val="18"/>
          <w:color w:val="auto"/>
        </w:rPr>
        <w:t xml:space="preserve">” shall mean the registration statement referred to in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above, including exhibits and financial statements and any prospectus supplement relating to the Securities that is filed with the Commission pursuant to Rule 424(b) and deemed part of such registration statement pursuant to Rule 430B, as amended on each Effective Date and, in the event any post-effective amendment thereto becomes effective prior to the Closing Date, shall also mean such registration statement as so amended.</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158</w:t>
      </w:r>
      <w:r>
        <w:rPr>
          <w:rFonts w:ascii="Arial" w:cs="Arial" w:eastAsia="Arial" w:hAnsi="Arial"/>
          <w:sz w:val="18"/>
          <w:szCs w:val="18"/>
          <w:color w:val="auto"/>
        </w:rPr>
        <w:t>”, “</w:t>
      </w:r>
      <w:r>
        <w:rPr>
          <w:rFonts w:ascii="Arial" w:cs="Arial" w:eastAsia="Arial" w:hAnsi="Arial"/>
          <w:sz w:val="18"/>
          <w:szCs w:val="18"/>
          <w:i w:val="1"/>
          <w:iCs w:val="1"/>
          <w:color w:val="auto"/>
        </w:rPr>
        <w:t>Rule 163</w:t>
      </w:r>
      <w:r>
        <w:rPr>
          <w:rFonts w:ascii="Arial" w:cs="Arial" w:eastAsia="Arial" w:hAnsi="Arial"/>
          <w:sz w:val="18"/>
          <w:szCs w:val="18"/>
          <w:color w:val="auto"/>
        </w:rPr>
        <w:t>”, “</w:t>
      </w:r>
      <w:r>
        <w:rPr>
          <w:rFonts w:ascii="Arial" w:cs="Arial" w:eastAsia="Arial" w:hAnsi="Arial"/>
          <w:sz w:val="18"/>
          <w:szCs w:val="18"/>
          <w:i w:val="1"/>
          <w:iCs w:val="1"/>
          <w:color w:val="auto"/>
        </w:rPr>
        <w:t>Rule 164</w:t>
      </w:r>
      <w:r>
        <w:rPr>
          <w:rFonts w:ascii="Arial" w:cs="Arial" w:eastAsia="Arial" w:hAnsi="Arial"/>
          <w:sz w:val="18"/>
          <w:szCs w:val="18"/>
          <w:color w:val="auto"/>
        </w:rPr>
        <w:t>”, “</w:t>
      </w:r>
      <w:r>
        <w:rPr>
          <w:rFonts w:ascii="Arial" w:cs="Arial" w:eastAsia="Arial" w:hAnsi="Arial"/>
          <w:sz w:val="18"/>
          <w:szCs w:val="18"/>
          <w:i w:val="1"/>
          <w:iCs w:val="1"/>
          <w:color w:val="auto"/>
        </w:rPr>
        <w:t>Rule 172</w:t>
      </w:r>
      <w:r>
        <w:rPr>
          <w:rFonts w:ascii="Arial" w:cs="Arial" w:eastAsia="Arial" w:hAnsi="Arial"/>
          <w:sz w:val="18"/>
          <w:szCs w:val="18"/>
          <w:color w:val="auto"/>
        </w:rPr>
        <w:t>”, “</w:t>
      </w:r>
      <w:r>
        <w:rPr>
          <w:rFonts w:ascii="Arial" w:cs="Arial" w:eastAsia="Arial" w:hAnsi="Arial"/>
          <w:sz w:val="18"/>
          <w:szCs w:val="18"/>
          <w:i w:val="1"/>
          <w:iCs w:val="1"/>
          <w:color w:val="auto"/>
        </w:rPr>
        <w:t>Rule 405</w:t>
      </w:r>
      <w:r>
        <w:rPr>
          <w:rFonts w:ascii="Arial" w:cs="Arial" w:eastAsia="Arial" w:hAnsi="Arial"/>
          <w:sz w:val="18"/>
          <w:szCs w:val="18"/>
          <w:color w:val="auto"/>
        </w:rPr>
        <w:t>”, “</w:t>
      </w:r>
      <w:r>
        <w:rPr>
          <w:rFonts w:ascii="Arial" w:cs="Arial" w:eastAsia="Arial" w:hAnsi="Arial"/>
          <w:sz w:val="18"/>
          <w:szCs w:val="18"/>
          <w:i w:val="1"/>
          <w:iCs w:val="1"/>
          <w:color w:val="auto"/>
        </w:rPr>
        <w:t>Rule 415</w:t>
      </w:r>
      <w:r>
        <w:rPr>
          <w:rFonts w:ascii="Arial" w:cs="Arial" w:eastAsia="Arial" w:hAnsi="Arial"/>
          <w:sz w:val="18"/>
          <w:szCs w:val="18"/>
          <w:color w:val="auto"/>
        </w:rPr>
        <w:t>”, “</w:t>
      </w:r>
      <w:r>
        <w:rPr>
          <w:rFonts w:ascii="Arial" w:cs="Arial" w:eastAsia="Arial" w:hAnsi="Arial"/>
          <w:sz w:val="18"/>
          <w:szCs w:val="18"/>
          <w:i w:val="1"/>
          <w:iCs w:val="1"/>
          <w:color w:val="auto"/>
        </w:rPr>
        <w:t>Rule 424</w:t>
      </w:r>
      <w:r>
        <w:rPr>
          <w:rFonts w:ascii="Arial" w:cs="Arial" w:eastAsia="Arial" w:hAnsi="Arial"/>
          <w:sz w:val="18"/>
          <w:szCs w:val="18"/>
          <w:color w:val="auto"/>
        </w:rPr>
        <w:t>”, “</w:t>
      </w:r>
      <w:r>
        <w:rPr>
          <w:rFonts w:ascii="Arial" w:cs="Arial" w:eastAsia="Arial" w:hAnsi="Arial"/>
          <w:sz w:val="18"/>
          <w:szCs w:val="18"/>
          <w:i w:val="1"/>
          <w:iCs w:val="1"/>
          <w:color w:val="auto"/>
        </w:rPr>
        <w:t>Rule 430B</w:t>
      </w:r>
      <w:r>
        <w:rPr>
          <w:rFonts w:ascii="Arial" w:cs="Arial" w:eastAsia="Arial" w:hAnsi="Arial"/>
          <w:sz w:val="18"/>
          <w:szCs w:val="18"/>
          <w:color w:val="auto"/>
        </w:rPr>
        <w:t>”, “</w:t>
      </w:r>
      <w:r>
        <w:rPr>
          <w:rFonts w:ascii="Arial" w:cs="Arial" w:eastAsia="Arial" w:hAnsi="Arial"/>
          <w:sz w:val="18"/>
          <w:szCs w:val="18"/>
          <w:i w:val="1"/>
          <w:iCs w:val="1"/>
          <w:color w:val="auto"/>
        </w:rPr>
        <w:t>Rule 462(b)</w:t>
      </w:r>
      <w:r>
        <w:rPr>
          <w:rFonts w:ascii="Arial" w:cs="Arial" w:eastAsia="Arial" w:hAnsi="Arial"/>
          <w:sz w:val="18"/>
          <w:szCs w:val="18"/>
          <w:color w:val="auto"/>
        </w:rPr>
        <w:t>” and “</w:t>
      </w:r>
      <w:r>
        <w:rPr>
          <w:rFonts w:ascii="Arial" w:cs="Arial" w:eastAsia="Arial" w:hAnsi="Arial"/>
          <w:sz w:val="18"/>
          <w:szCs w:val="18"/>
          <w:i w:val="1"/>
          <w:iCs w:val="1"/>
          <w:color w:val="auto"/>
        </w:rPr>
        <w:t>Rule 433</w:t>
      </w:r>
      <w:r>
        <w:rPr>
          <w:rFonts w:ascii="Arial" w:cs="Arial" w:eastAsia="Arial" w:hAnsi="Arial"/>
          <w:sz w:val="18"/>
          <w:szCs w:val="18"/>
          <w:color w:val="auto"/>
        </w:rPr>
        <w:t>” refer to such rules under the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Well-Known Seasoned Issuer</w:t>
      </w:r>
      <w:r>
        <w:rPr>
          <w:rFonts w:ascii="Arial" w:cs="Arial" w:eastAsia="Arial" w:hAnsi="Arial"/>
          <w:sz w:val="18"/>
          <w:szCs w:val="18"/>
          <w:color w:val="auto"/>
        </w:rPr>
        <w:t>” shall mean a well-known seasoned issuer, as defined in Rule 405.</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69" w:name="page70"/>
    <w:bookmarkEnd w:id="69"/>
    <w:p>
      <w:pPr>
        <w:ind w:right="2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of the agreement between the Company and the Placement Agent, kindly indicate your acceptance in the space provided for that purpose below.</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WEATHERFORD INTERNATIONAL PLC, an Irish public</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limited company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Rothleitner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Mark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Ricardo McKenzie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Ricardo McKenzie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11180"/>
          </w:cols>
          <w:pgMar w:left="240" w:top="274" w:right="479" w:bottom="1440" w:gutter="0" w:footer="0" w:header="0"/>
        </w:sectPr>
      </w:pPr>
    </w:p>
    <w:bookmarkStart w:id="70" w:name="page71"/>
    <w:bookmarkEnd w:id="7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25" w:lineRule="exact"/>
        <w:rPr>
          <w:sz w:val="20"/>
          <w:szCs w:val="20"/>
          <w:color w:val="auto"/>
        </w:rPr>
      </w:pPr>
    </w:p>
    <w:p>
      <w:pPr>
        <w:jc w:val="right"/>
        <w:ind w:right="3239"/>
        <w:spacing w:after="0"/>
        <w:rPr>
          <w:sz w:val="20"/>
          <w:szCs w:val="20"/>
          <w:color w:val="auto"/>
        </w:rPr>
      </w:pPr>
      <w:r>
        <w:rPr>
          <w:rFonts w:ascii="Arial" w:cs="Arial" w:eastAsia="Arial" w:hAnsi="Arial"/>
          <w:sz w:val="18"/>
          <w:szCs w:val="18"/>
          <w:b w:val="1"/>
          <w:bCs w:val="1"/>
          <w:color w:val="auto"/>
        </w:rPr>
        <w:t>Issuer Free Writing Prospectuses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270" w:right="1440" w:bottom="1440" w:gutter="0" w:footer="0" w:header="0"/>
        </w:sectPr>
      </w:pPr>
    </w:p>
    <w:bookmarkStart w:id="71" w:name="page72"/>
    <w:bookmarkEnd w:id="71"/>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25" w:lineRule="exact"/>
        <w:rPr>
          <w:sz w:val="20"/>
          <w:szCs w:val="20"/>
          <w:color w:val="auto"/>
        </w:rPr>
      </w:pPr>
    </w:p>
    <w:p>
      <w:pPr>
        <w:jc w:val="right"/>
        <w:ind w:right="2399"/>
        <w:spacing w:after="0"/>
        <w:rPr>
          <w:sz w:val="20"/>
          <w:szCs w:val="20"/>
          <w:color w:val="auto"/>
        </w:rPr>
      </w:pPr>
      <w:r>
        <w:rPr>
          <w:rFonts w:ascii="Arial" w:cs="Arial" w:eastAsia="Arial" w:hAnsi="Arial"/>
          <w:sz w:val="18"/>
          <w:szCs w:val="18"/>
          <w:b w:val="1"/>
          <w:bCs w:val="1"/>
          <w:color w:val="auto"/>
        </w:rPr>
        <w:t>Directors and Officers Executing Lock-Up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David J. Butters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D. Gass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Francis S. Kalman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E. Macauley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K Moses,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Guillermo Ortiz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Sir Emyr Jones Parry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Honorable Robert A. Rayne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Mohamed A. Awad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Krishna Shivram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Douglas M. Mills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Christina M. Ibrahim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Mario Ruscev</w:t>
      </w:r>
    </w:p>
    <w:p>
      <w:pPr>
        <w:sectPr>
          <w:pgSz w:w="11900" w:h="16838" w:orient="portrait"/>
          <w:cols w:equalWidth="0" w:num="1">
            <w:col w:w="10219"/>
          </w:cols>
          <w:pgMar w:left="240" w:top="270" w:right="1440" w:bottom="1440" w:gutter="0" w:footer="0" w:header="0"/>
        </w:sectPr>
      </w:pPr>
    </w:p>
    <w:bookmarkStart w:id="72" w:name="page73"/>
    <w:bookmarkEnd w:id="72"/>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right"/>
        <w:ind w:right="3739"/>
        <w:spacing w:after="0"/>
        <w:rPr>
          <w:sz w:val="20"/>
          <w:szCs w:val="20"/>
          <w:color w:val="auto"/>
        </w:rPr>
      </w:pPr>
      <w:r>
        <w:rPr>
          <w:rFonts w:ascii="Arial" w:cs="Arial" w:eastAsia="Arial" w:hAnsi="Arial"/>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Number of Ordinary Shares: 84,500,000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Offering Price per Ordinary Share: $5.40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Ordinary Shares Underlying Warrant: 84,500,000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of Warrant: $6.43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Placement Fee: 1.85% of the gross proceeds from the sale of the Shares</w:t>
      </w:r>
    </w:p>
    <w:p>
      <w:pPr>
        <w:sectPr>
          <w:pgSz w:w="11900" w:h="16838" w:orient="portrait"/>
          <w:cols w:equalWidth="0" w:num="1">
            <w:col w:w="10219"/>
          </w:cols>
          <w:pgMar w:left="240" w:top="270"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16,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 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ind w:left="1500"/>
        <w:spacing w:after="0"/>
        <w:tabs>
          <w:tab w:leader="none" w:pos="19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Weatherford International public limited company —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The undersigned understands that you propose to enter into a placement agency agreement (the “</w:t>
      </w:r>
      <w:r>
        <w:rPr>
          <w:rFonts w:ascii="Arial" w:cs="Arial" w:eastAsia="Arial" w:hAnsi="Arial"/>
          <w:sz w:val="18"/>
          <w:szCs w:val="18"/>
          <w:i w:val="1"/>
          <w:iCs w:val="1"/>
          <w:color w:val="auto"/>
        </w:rPr>
        <w:t>Placement Agency Agreement</w:t>
      </w:r>
      <w:r>
        <w:rPr>
          <w:rFonts w:ascii="Arial" w:cs="Arial" w:eastAsia="Arial" w:hAnsi="Arial"/>
          <w:sz w:val="18"/>
          <w:szCs w:val="18"/>
          <w:color w:val="auto"/>
        </w:rPr>
        <w:t>”) with Weatherford International public limited company, an Irish public limited company (the “</w:t>
      </w:r>
      <w:r>
        <w:rPr>
          <w:rFonts w:ascii="Arial" w:cs="Arial" w:eastAsia="Arial" w:hAnsi="Arial"/>
          <w:sz w:val="18"/>
          <w:szCs w:val="18"/>
          <w:i w:val="1"/>
          <w:iCs w:val="1"/>
          <w:color w:val="auto"/>
        </w:rPr>
        <w:t>Company</w:t>
      </w:r>
      <w:r>
        <w:rPr>
          <w:rFonts w:ascii="Arial" w:cs="Arial" w:eastAsia="Arial" w:hAnsi="Arial"/>
          <w:sz w:val="18"/>
          <w:szCs w:val="18"/>
          <w:color w:val="auto"/>
        </w:rPr>
        <w:t>”), providing for the public offering (the “</w:t>
      </w:r>
      <w:r>
        <w:rPr>
          <w:rFonts w:ascii="Arial" w:cs="Arial" w:eastAsia="Arial" w:hAnsi="Arial"/>
          <w:sz w:val="18"/>
          <w:szCs w:val="18"/>
          <w:i w:val="1"/>
          <w:iCs w:val="1"/>
          <w:color w:val="auto"/>
        </w:rPr>
        <w:t>Public Offering</w:t>
      </w:r>
      <w:r>
        <w:rPr>
          <w:rFonts w:ascii="Arial" w:cs="Arial" w:eastAsia="Arial" w:hAnsi="Arial"/>
          <w:sz w:val="18"/>
          <w:szCs w:val="18"/>
          <w:color w:val="auto"/>
        </w:rPr>
        <w:t>”) by the Company, of (i) its ordinary shares, par value $0.001 (the “</w:t>
      </w:r>
      <w:r>
        <w:rPr>
          <w:rFonts w:ascii="Arial" w:cs="Arial" w:eastAsia="Arial" w:hAnsi="Arial"/>
          <w:sz w:val="18"/>
          <w:szCs w:val="18"/>
          <w:i w:val="1"/>
          <w:iCs w:val="1"/>
          <w:color w:val="auto"/>
        </w:rPr>
        <w:t>Ordinary Shares</w:t>
      </w:r>
      <w:r>
        <w:rPr>
          <w:rFonts w:ascii="Arial" w:cs="Arial" w:eastAsia="Arial" w:hAnsi="Arial"/>
          <w:sz w:val="18"/>
          <w:szCs w:val="18"/>
          <w:color w:val="auto"/>
        </w:rPr>
        <w:t>”), and (ii) warrants to purchase Ordinary Shares (the “</w:t>
      </w:r>
      <w:r>
        <w:rPr>
          <w:rFonts w:ascii="Arial" w:cs="Arial" w:eastAsia="Arial" w:hAnsi="Arial"/>
          <w:sz w:val="18"/>
          <w:szCs w:val="18"/>
          <w:i w:val="1"/>
          <w:iCs w:val="1"/>
          <w:color w:val="auto"/>
        </w:rPr>
        <w:t>Warrants</w:t>
      </w:r>
      <w:r>
        <w:rPr>
          <w:rFonts w:ascii="Arial" w:cs="Arial" w:eastAsia="Arial" w:hAnsi="Arial"/>
          <w:sz w:val="18"/>
          <w:szCs w:val="18"/>
          <w:color w:val="auto"/>
        </w:rPr>
        <w:t>” and, together with the Ordinary Shares, the “</w:t>
      </w:r>
      <w:r>
        <w:rPr>
          <w:rFonts w:ascii="Arial" w:cs="Arial" w:eastAsia="Arial" w:hAnsi="Arial"/>
          <w:sz w:val="18"/>
          <w:szCs w:val="18"/>
          <w:i w:val="1"/>
          <w:iCs w:val="1"/>
          <w:color w:val="auto"/>
        </w:rPr>
        <w:t>Securities</w:t>
      </w:r>
      <w:r>
        <w:rPr>
          <w:rFonts w:ascii="Arial" w:cs="Arial" w:eastAsia="Arial" w:hAnsi="Arial"/>
          <w:sz w:val="18"/>
          <w:szCs w:val="18"/>
          <w:color w:val="auto"/>
        </w:rPr>
        <w:t>”). Capitalized terms used herein and not otherwise defined shall have the meanings set forth in the Placement Agency Agreement.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consideration of the Placement Agent’s agreement to participate in the Public Offering of the Securities, and for other good and valuable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consideration receipt of which is hereby acknowledged, the undersigned hereby agrees that, without the prior written consent of J. P. Morgan Securities LLC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Placement Agent</w:t>
      </w:r>
      <w:r>
        <w:rPr>
          <w:rFonts w:ascii="Arial" w:cs="Arial" w:eastAsia="Arial" w:hAnsi="Arial"/>
          <w:sz w:val="17"/>
          <w:szCs w:val="17"/>
          <w:color w:val="auto"/>
        </w:rPr>
        <w:t>”), the undersigned will not, during the period ending 60 days after the date of the prospectus relating to the Public Offering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Prospectus</w:t>
      </w:r>
      <w:r>
        <w:rPr>
          <w:rFonts w:ascii="Arial" w:cs="Arial" w:eastAsia="Arial" w:hAnsi="Arial"/>
          <w:sz w:val="16"/>
          <w:szCs w:val="16"/>
          <w:color w:val="auto"/>
        </w:rPr>
        <w:t>”), (1) offer, pledge, sell, contract to sell, sell any option or contract to purchase, purchase any option or contract to sell, grant any option, right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 to purchase, or otherwise transfer or dispose of, directly or indirectly, any Ordinary Shares or any securities convertible into or exercisable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exchangeable for Ordinary Shares (including without limitation, Ordinary Shares or such other securities which may be deemed to be beneficially owned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in accordance with the rules and regulations of the Securities and Exchange Commission and securities which may be issued upon exercise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stock option or warrant), or publicly disclose the intention to make any offer, sale, pledge or disposition, (2) enter into any swap or other agreement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transfers, in whole or in part, any of the economic consequences of ownership of Ordinary Shares or such other securities, whether any such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described in clause (1) or (2) above is to be settled by delivery of Ordinary Shares or such other securities, in cash or otherwise or (3) make any demand for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 any right with respect to the registration of any Ordinary Shares or any security convertible into or exercisable or exchangeable for Ordinary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each case other than (A) transfers of Ordinary Shares as a bona fide gift or gifts, (B) Ordinary Shares sold by the undersigned pursuant to a trading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Rule 10b5-1 of the Securities Exchange Act of 1934 (the “</w:t>
      </w:r>
      <w:r>
        <w:rPr>
          <w:rFonts w:ascii="Arial" w:cs="Arial" w:eastAsia="Arial" w:hAnsi="Arial"/>
          <w:sz w:val="16"/>
          <w:szCs w:val="16"/>
          <w:i w:val="1"/>
          <w:iCs w:val="1"/>
          <w:color w:val="auto"/>
        </w:rPr>
        <w:t>Exchange Act</w:t>
      </w:r>
      <w:r>
        <w:rPr>
          <w:rFonts w:ascii="Arial" w:cs="Arial" w:eastAsia="Arial" w:hAnsi="Arial"/>
          <w:sz w:val="16"/>
          <w:szCs w:val="16"/>
          <w:color w:val="auto"/>
        </w:rPr>
        <w:t>”) in existence on the date hereof and (C) distributions of Ordinary Shares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members or stockholders of the undersigned;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transfer or distribution pursuant to clause (A) or (B), each donee or distributee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shall execute and deliver to the Placement Agent a lock-up letter in the form of this paragraph;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the case of any transfer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distribution pursuant to clause (A) or (B), no filing by any party (donor, donee, transferor or transferee) under the Exchange Act, or other public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announcement shall be required or shall be made voluntarily in connection with such transfer or distribution (other than a filing on a Form 5 made after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expiration of the 60-day period referred to above). The undersigned agrees not to make any public announcement during the Lock-Up Period of any intention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undertake any of the transactions described in clauses (1), (2) or (3) above.</w:t>
      </w:r>
    </w:p>
    <w:p>
      <w:pPr>
        <w:sectPr>
          <w:pgSz w:w="11900" w:h="16838" w:orient="portrait"/>
          <w:cols w:equalWidth="0" w:num="1">
            <w:col w:w="11420"/>
          </w:cols>
          <w:pgMar w:left="240" w:top="270" w:right="239" w:bottom="1440" w:gutter="0" w:footer="0" w:header="0"/>
        </w:sectPr>
      </w:pPr>
    </w:p>
    <w:bookmarkStart w:id="74" w:name="page75"/>
    <w:bookmarkEnd w:id="74"/>
    <w:p>
      <w:pPr>
        <w:ind w:right="26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24"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undersigned understands that, if the Placement Agency Agreement does not become effective by November 30, 2016, or if the Placement Agency Agreement (other than the provisions thereof which survive termination) shall terminate or be terminated prior to payment for and delivery of the Securities to be sold thereunder, the undersigned shall be released from, all obligations under this Letter Agreement. The undersigned understands that the Placement Agent is entering into the Placement Agency Agreement and participating in the Public Offering in reliance upon this Letter Agreement.</w:t>
      </w:r>
    </w:p>
    <w:p>
      <w:pPr>
        <w:spacing w:after="0" w:line="17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 without regard to the conflict of laws principles thereof.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STOCKHOLDER</w:t>
      </w:r>
      <w:r>
        <w:rPr>
          <w:rFonts w:ascii="Arial" w:cs="Arial" w:eastAsia="Arial" w:hAnsi="Arial"/>
          <w:sz w:val="18"/>
          <w:szCs w:val="18"/>
          <w:color w:val="auto"/>
        </w:rPr>
        <w: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4"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Legal Opinion of Latham &amp; Watkins LLP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provided to Placement Agent]</w:t>
      </w:r>
    </w:p>
    <w:p>
      <w:pPr>
        <w:sectPr>
          <w:pgSz w:w="11900" w:h="16838" w:orient="portrait"/>
          <w:cols w:equalWidth="0" w:num="1">
            <w:col w:w="9019"/>
          </w:cols>
          <w:pgMar w:left="1440" w:top="270" w:right="1440" w:bottom="1440" w:gutter="0" w:footer="0" w:header="0"/>
        </w:sectPr>
      </w:pPr>
    </w:p>
    <w:bookmarkStart w:id="76" w:name="page77"/>
    <w:bookmarkEnd w:id="7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Negative Assurance Letter of Latham &amp; Watkins LLP</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be provided to Placement Agent]</w:t>
      </w:r>
    </w:p>
    <w:p>
      <w:pPr>
        <w:sectPr>
          <w:pgSz w:w="11900" w:h="16838" w:orient="portrait"/>
          <w:cols w:equalWidth="0" w:num="1">
            <w:col w:w="9019"/>
          </w:cols>
          <w:pgMar w:left="1440" w:top="270"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Legal Opinion of Matheson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be provided to Placement Agent]</w:t>
      </w:r>
    </w:p>
    <w:p>
      <w:pPr>
        <w:sectPr>
          <w:pgSz w:w="11900" w:h="16838" w:orient="portrait"/>
          <w:cols w:equalWidth="0" w:num="1">
            <w:col w:w="9019"/>
          </w:cols>
          <w:pgMar w:left="1440" w:top="270" w:right="1440" w:bottom="1440" w:gutter="0" w:footer="0" w:header="0"/>
        </w:sectPr>
      </w:pPr>
    </w:p>
    <w:bookmarkStart w:id="78" w:name="page79"/>
    <w:bookmarkEnd w:id="7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Legal Opinion of the Executive Vice President, General Counsel and Corporate</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Secretary of the Company</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be provided to Placement Agent]</w:t>
      </w:r>
    </w:p>
    <w:p>
      <w:pPr>
        <w:sectPr>
          <w:pgSz w:w="11900" w:h="16838" w:orient="portrait"/>
          <w:cols w:equalWidth="0" w:num="1">
            <w:col w:w="9019"/>
          </w:cols>
          <w:pgMar w:left="1440" w:top="270" w:right="1440"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Legal Opinion of PwC Switzerland, Special Advisor to the Company</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be provided to Placement Agent]</w:t>
      </w:r>
    </w:p>
    <w:p>
      <w:pPr>
        <w:sectPr>
          <w:pgSz w:w="11900" w:h="16838" w:orient="portrait"/>
          <w:cols w:equalWidth="0" w:num="1">
            <w:col w:w="9019"/>
          </w:cols>
          <w:pgMar w:left="1440" w:top="270"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189230</wp:posOffset>
            </wp:positionV>
            <wp:extent cx="724662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248920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 Bermuda exempted company,</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Issuer,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 Irish public limited company,</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Parent Guarantor,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WEATHERFORD INTERNATIONAL, INC.,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Subsidiary Guarantor,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DEUTSCHE BANK TRUST COMPANY AMERICAS,</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Trustee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ELEVENTH SUPPLEMENTAL INDENTURE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November 18, 2016</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to Indenture</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dated as of October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240665</wp:posOffset>
            </wp:positionV>
            <wp:extent cx="15176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9.875% Senior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206375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231775</wp:posOffset>
            </wp:positionV>
            <wp:extent cx="72466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60" w:type="dxa"/>
            <w:vAlign w:val="bottom"/>
          </w:tcPr>
          <w:p>
            <w:pPr>
              <w:ind w:left="3900"/>
              <w:spacing w:after="0"/>
              <w:rPr>
                <w:sz w:val="20"/>
                <w:szCs w:val="20"/>
                <w:color w:val="auto"/>
              </w:rPr>
            </w:pPr>
            <w:r>
              <w:rPr>
                <w:rFonts w:ascii="Arial" w:cs="Arial" w:eastAsia="Arial" w:hAnsi="Arial"/>
                <w:sz w:val="18"/>
                <w:szCs w:val="18"/>
                <w:b w:val="1"/>
                <w:bCs w:val="1"/>
                <w:color w:val="auto"/>
              </w:rPr>
              <w:t>CROSS-REFERENCE TABLE</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TIA</w:t>
            </w:r>
          </w:p>
        </w:tc>
        <w:tc>
          <w:tcPr>
            <w:tcW w:w="936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4"/>
                <w:szCs w:val="14"/>
                <w:b w:val="1"/>
                <w:bCs w:val="1"/>
                <w:color w:val="auto"/>
              </w:rPr>
              <w:t>Indenture</w:t>
            </w:r>
          </w:p>
        </w:tc>
        <w:tc>
          <w:tcPr>
            <w:tcW w:w="0" w:type="dxa"/>
            <w:vAlign w:val="bottom"/>
          </w:tcPr>
          <w:p>
            <w:pPr>
              <w:spacing w:after="0"/>
              <w:rPr>
                <w:sz w:val="1"/>
                <w:szCs w:val="1"/>
                <w:color w:val="auto"/>
              </w:rPr>
            </w:pPr>
          </w:p>
        </w:tc>
      </w:tr>
      <w:tr>
        <w:trPr>
          <w:trHeight w:val="191"/>
        </w:trPr>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(a)(1)</w:t>
            </w:r>
          </w:p>
        </w:tc>
        <w:tc>
          <w:tcPr>
            <w:tcW w:w="1460" w:type="dxa"/>
            <w:vAlign w:val="bottom"/>
          </w:tcPr>
          <w:p>
            <w:pPr>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189"/>
        </w:trPr>
        <w:tc>
          <w:tcPr>
            <w:tcW w:w="4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310</w:t>
            </w:r>
          </w:p>
        </w:tc>
        <w:tc>
          <w:tcPr>
            <w:tcW w:w="140" w:type="dxa"/>
            <w:vAlign w:val="bottom"/>
          </w:tcPr>
          <w:p>
            <w:pPr>
              <w:spacing w:after="0"/>
              <w:rPr>
                <w:sz w:val="16"/>
                <w:szCs w:val="16"/>
                <w:color w:val="auto"/>
              </w:rPr>
            </w:pPr>
          </w:p>
        </w:tc>
        <w:tc>
          <w:tcPr>
            <w:tcW w:w="9360" w:type="dxa"/>
            <w:vAlign w:val="bottom"/>
            <w:vMerge w:val="continue"/>
          </w:tcPr>
          <w:p>
            <w:pPr>
              <w:spacing w:after="0"/>
              <w:rPr>
                <w:sz w:val="16"/>
                <w:szCs w:val="16"/>
                <w:color w:val="auto"/>
              </w:rPr>
            </w:pPr>
          </w:p>
        </w:tc>
        <w:tc>
          <w:tcPr>
            <w:tcW w:w="14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(a)(2)</w:t>
            </w:r>
          </w:p>
        </w:tc>
        <w:tc>
          <w:tcPr>
            <w:tcW w:w="1460" w:type="dxa"/>
            <w:vAlign w:val="bottom"/>
          </w:tcPr>
          <w:p>
            <w:pPr>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(a)(3)</w:t>
            </w:r>
          </w:p>
        </w:tc>
        <w:tc>
          <w:tcPr>
            <w:tcW w:w="146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(a)(4)</w:t>
            </w:r>
          </w:p>
        </w:tc>
        <w:tc>
          <w:tcPr>
            <w:tcW w:w="146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(b)</w:t>
            </w:r>
          </w:p>
        </w:tc>
        <w:tc>
          <w:tcPr>
            <w:tcW w:w="1460" w:type="dxa"/>
            <w:vAlign w:val="bottom"/>
          </w:tcPr>
          <w:p>
            <w:pPr>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(b)</w:t>
            </w:r>
          </w:p>
        </w:tc>
        <w:tc>
          <w:tcPr>
            <w:tcW w:w="1460" w:type="dxa"/>
            <w:vAlign w:val="bottom"/>
          </w:tcPr>
          <w:p>
            <w:pPr>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(a)</w:t>
            </w:r>
          </w:p>
        </w:tc>
        <w:tc>
          <w:tcPr>
            <w:tcW w:w="1460" w:type="dxa"/>
            <w:vAlign w:val="bottom"/>
          </w:tcPr>
          <w:p>
            <w:pPr>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(b)</w:t>
            </w:r>
          </w:p>
        </w:tc>
        <w:tc>
          <w:tcPr>
            <w:tcW w:w="1460" w:type="dxa"/>
            <w:vAlign w:val="bottom"/>
          </w:tcPr>
          <w:p>
            <w:pPr>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(a)</w:t>
            </w:r>
          </w:p>
        </w:tc>
        <w:tc>
          <w:tcPr>
            <w:tcW w:w="1460" w:type="dxa"/>
            <w:vAlign w:val="bottom"/>
          </w:tcPr>
          <w:p>
            <w:pPr>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(a)</w:t>
            </w:r>
          </w:p>
        </w:tc>
        <w:tc>
          <w:tcPr>
            <w:tcW w:w="1460" w:type="dxa"/>
            <w:vAlign w:val="bottom"/>
          </w:tcPr>
          <w:p>
            <w:pPr>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(b)</w:t>
            </w:r>
          </w:p>
        </w:tc>
        <w:tc>
          <w:tcPr>
            <w:tcW w:w="1460" w:type="dxa"/>
            <w:vAlign w:val="bottom"/>
          </w:tcPr>
          <w:p>
            <w:pPr>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(c)</w:t>
            </w:r>
          </w:p>
        </w:tc>
        <w:tc>
          <w:tcPr>
            <w:tcW w:w="1460" w:type="dxa"/>
            <w:vAlign w:val="bottom"/>
          </w:tcPr>
          <w:p>
            <w:pPr>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(a)</w:t>
            </w:r>
          </w:p>
        </w:tc>
        <w:tc>
          <w:tcPr>
            <w:tcW w:w="1460" w:type="dxa"/>
            <w:vAlign w:val="bottom"/>
          </w:tcPr>
          <w:p>
            <w:pPr>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(b)</w:t>
            </w:r>
          </w:p>
        </w:tc>
        <w:tc>
          <w:tcPr>
            <w:tcW w:w="1460" w:type="dxa"/>
            <w:vAlign w:val="bottom"/>
          </w:tcPr>
          <w:p>
            <w:pPr>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(c)</w:t>
            </w:r>
          </w:p>
        </w:tc>
        <w:tc>
          <w:tcPr>
            <w:tcW w:w="1460" w:type="dxa"/>
            <w:vAlign w:val="bottom"/>
          </w:tcPr>
          <w:p>
            <w:pPr>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(d)</w:t>
            </w:r>
          </w:p>
        </w:tc>
        <w:tc>
          <w:tcPr>
            <w:tcW w:w="1460" w:type="dxa"/>
            <w:vAlign w:val="bottom"/>
          </w:tcPr>
          <w:p>
            <w:pPr>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314</w:t>
            </w: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(a)</w:t>
            </w:r>
          </w:p>
        </w:tc>
        <w:tc>
          <w:tcPr>
            <w:tcW w:w="1460" w:type="dxa"/>
            <w:vAlign w:val="bottom"/>
          </w:tcPr>
          <w:p>
            <w:pPr>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(a)(4)</w:t>
            </w:r>
          </w:p>
        </w:tc>
        <w:tc>
          <w:tcPr>
            <w:tcW w:w="1460" w:type="dxa"/>
            <w:vAlign w:val="bottom"/>
          </w:tcPr>
          <w:p>
            <w:pPr>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(a)(4)</w:t>
            </w:r>
          </w:p>
        </w:tc>
        <w:tc>
          <w:tcPr>
            <w:tcW w:w="1460" w:type="dxa"/>
            <w:vAlign w:val="bottom"/>
          </w:tcPr>
          <w:p>
            <w:pPr>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(b)</w:t>
            </w:r>
          </w:p>
        </w:tc>
        <w:tc>
          <w:tcPr>
            <w:tcW w:w="146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(c)(1)</w:t>
            </w:r>
          </w:p>
        </w:tc>
        <w:tc>
          <w:tcPr>
            <w:tcW w:w="1460" w:type="dxa"/>
            <w:vAlign w:val="bottom"/>
          </w:tcPr>
          <w:p>
            <w:pPr>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(c)(2)</w:t>
            </w:r>
          </w:p>
        </w:tc>
        <w:tc>
          <w:tcPr>
            <w:tcW w:w="1460" w:type="dxa"/>
            <w:vAlign w:val="bottom"/>
          </w:tcPr>
          <w:p>
            <w:pPr>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(c)(3)</w:t>
            </w:r>
          </w:p>
        </w:tc>
        <w:tc>
          <w:tcPr>
            <w:tcW w:w="146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(d)</w:t>
            </w:r>
          </w:p>
        </w:tc>
        <w:tc>
          <w:tcPr>
            <w:tcW w:w="146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(e)</w:t>
            </w:r>
          </w:p>
        </w:tc>
        <w:tc>
          <w:tcPr>
            <w:tcW w:w="1460" w:type="dxa"/>
            <w:vAlign w:val="bottom"/>
          </w:tcPr>
          <w:p>
            <w:pPr>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(a)</w:t>
            </w:r>
          </w:p>
        </w:tc>
        <w:tc>
          <w:tcPr>
            <w:tcW w:w="1460" w:type="dxa"/>
            <w:vAlign w:val="bottom"/>
          </w:tcPr>
          <w:p>
            <w:pPr>
              <w:spacing w:after="0"/>
              <w:rPr>
                <w:sz w:val="20"/>
                <w:szCs w:val="20"/>
                <w:color w:val="auto"/>
              </w:rPr>
            </w:pPr>
            <w:r>
              <w:rPr>
                <w:rFonts w:ascii="Arial" w:cs="Arial" w:eastAsia="Arial" w:hAnsi="Arial"/>
                <w:sz w:val="18"/>
                <w:szCs w:val="18"/>
                <w:color w:val="auto"/>
              </w:rPr>
              <w:t>701;703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(b)</w:t>
            </w:r>
          </w:p>
        </w:tc>
        <w:tc>
          <w:tcPr>
            <w:tcW w:w="1460" w:type="dxa"/>
            <w:vAlign w:val="bottom"/>
          </w:tcPr>
          <w:p>
            <w:pPr>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(c)</w:t>
            </w:r>
          </w:p>
        </w:tc>
        <w:tc>
          <w:tcPr>
            <w:tcW w:w="1460" w:type="dxa"/>
            <w:vAlign w:val="bottom"/>
          </w:tcPr>
          <w:p>
            <w:pPr>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(d)</w:t>
            </w:r>
          </w:p>
        </w:tc>
        <w:tc>
          <w:tcPr>
            <w:tcW w:w="1460" w:type="dxa"/>
            <w:vAlign w:val="bottom"/>
          </w:tcPr>
          <w:p>
            <w:pPr>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(e)</w:t>
            </w:r>
          </w:p>
        </w:tc>
        <w:tc>
          <w:tcPr>
            <w:tcW w:w="1460" w:type="dxa"/>
            <w:vAlign w:val="bottom"/>
          </w:tcPr>
          <w:p>
            <w:pPr>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(a)</w:t>
            </w:r>
          </w:p>
        </w:tc>
        <w:tc>
          <w:tcPr>
            <w:tcW w:w="1460" w:type="dxa"/>
            <w:vAlign w:val="bottom"/>
          </w:tcPr>
          <w:p>
            <w:pPr>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(a)(1)(A)</w:t>
            </w:r>
          </w:p>
        </w:tc>
        <w:tc>
          <w:tcPr>
            <w:tcW w:w="1460" w:type="dxa"/>
            <w:vAlign w:val="bottom"/>
          </w:tcPr>
          <w:p>
            <w:pPr>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(a)(1)(A)</w:t>
            </w:r>
          </w:p>
        </w:tc>
        <w:tc>
          <w:tcPr>
            <w:tcW w:w="1460" w:type="dxa"/>
            <w:vAlign w:val="bottom"/>
          </w:tcPr>
          <w:p>
            <w:pPr>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(a)(1)(B)</w:t>
            </w:r>
          </w:p>
        </w:tc>
        <w:tc>
          <w:tcPr>
            <w:tcW w:w="1460" w:type="dxa"/>
            <w:vAlign w:val="bottom"/>
          </w:tcPr>
          <w:p>
            <w:pPr>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(a)(2)</w:t>
            </w:r>
          </w:p>
        </w:tc>
        <w:tc>
          <w:tcPr>
            <w:tcW w:w="146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(b)</w:t>
            </w:r>
          </w:p>
        </w:tc>
        <w:tc>
          <w:tcPr>
            <w:tcW w:w="1460" w:type="dxa"/>
            <w:vAlign w:val="bottom"/>
          </w:tcPr>
          <w:p>
            <w:pPr>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(c)</w:t>
            </w:r>
          </w:p>
        </w:tc>
        <w:tc>
          <w:tcPr>
            <w:tcW w:w="1460" w:type="dxa"/>
            <w:vAlign w:val="bottom"/>
          </w:tcPr>
          <w:p>
            <w:pPr>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(a)(1)</w:t>
            </w:r>
          </w:p>
        </w:tc>
        <w:tc>
          <w:tcPr>
            <w:tcW w:w="1460" w:type="dxa"/>
            <w:vAlign w:val="bottom"/>
          </w:tcPr>
          <w:p>
            <w:pPr>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(a)(2)</w:t>
            </w:r>
          </w:p>
        </w:tc>
        <w:tc>
          <w:tcPr>
            <w:tcW w:w="1460" w:type="dxa"/>
            <w:vAlign w:val="bottom"/>
          </w:tcPr>
          <w:p>
            <w:pPr>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(b)</w:t>
            </w:r>
          </w:p>
        </w:tc>
        <w:tc>
          <w:tcPr>
            <w:tcW w:w="1460" w:type="dxa"/>
            <w:vAlign w:val="bottom"/>
          </w:tcPr>
          <w:p>
            <w:pPr>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20"/>
                <w:szCs w:val="20"/>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(a)</w:t>
            </w:r>
          </w:p>
        </w:tc>
        <w:tc>
          <w:tcPr>
            <w:tcW w:w="1460" w:type="dxa"/>
            <w:vAlign w:val="bottom"/>
          </w:tcPr>
          <w:p>
            <w:pPr>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432"/>
        </w:trPr>
        <w:tc>
          <w:tcPr>
            <w:tcW w:w="9960" w:type="dxa"/>
            <w:vAlign w:val="bottom"/>
            <w:gridSpan w:val="3"/>
          </w:tcPr>
          <w:p>
            <w:pPr>
              <w:spacing w:after="0"/>
              <w:rPr>
                <w:sz w:val="20"/>
                <w:szCs w:val="20"/>
                <w:color w:val="auto"/>
              </w:rPr>
            </w:pPr>
            <w:r>
              <w:rPr>
                <w:rFonts w:ascii="Arial" w:cs="Arial" w:eastAsia="Arial" w:hAnsi="Arial"/>
                <w:sz w:val="18"/>
                <w:szCs w:val="18"/>
                <w:color w:val="auto"/>
              </w:rPr>
              <w:t>N.A. means Not Applicable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0" w:type="dxa"/>
            <w:vAlign w:val="bottom"/>
            <w:gridSpan w:val="2"/>
          </w:tcPr>
          <w:p>
            <w:pPr>
              <w:spacing w:after="0"/>
              <w:rPr>
                <w:sz w:val="20"/>
                <w:szCs w:val="20"/>
                <w:color w:val="auto"/>
              </w:rPr>
            </w:pPr>
            <w:r>
              <w:rPr>
                <w:rFonts w:ascii="Arial" w:cs="Arial" w:eastAsia="Arial" w:hAnsi="Arial"/>
                <w:sz w:val="18"/>
                <w:szCs w:val="18"/>
                <w:color w:val="auto"/>
              </w:rPr>
              <w:t>NOTE:</w:t>
            </w:r>
          </w:p>
        </w:tc>
        <w:tc>
          <w:tcPr>
            <w:tcW w:w="9360" w:type="dxa"/>
            <w:vAlign w:val="bottom"/>
          </w:tcPr>
          <w:p>
            <w:pPr>
              <w:ind w:left="200"/>
              <w:spacing w:after="0"/>
              <w:rPr>
                <w:sz w:val="20"/>
                <w:szCs w:val="20"/>
                <w:color w:val="auto"/>
              </w:rPr>
            </w:pPr>
            <w:r>
              <w:rPr>
                <w:rFonts w:ascii="Arial" w:cs="Arial" w:eastAsia="Arial" w:hAnsi="Arial"/>
                <w:sz w:val="18"/>
                <w:szCs w:val="18"/>
                <w:color w:val="auto"/>
              </w:rPr>
              <w:t>This Cross Reference Table shall not, for any purpose, be deemed to be a part of the Supplemental Indenture.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82" w:name="page83"/>
    <w:bookmarkEnd w:id="82"/>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9780" w:type="dxa"/>
            <w:vAlign w:val="bottom"/>
          </w:tcPr>
          <w:p>
            <w:pPr>
              <w:ind w:left="35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40" w:type="dxa"/>
            <w:vAlign w:val="bottom"/>
          </w:tcPr>
          <w:p>
            <w:pPr>
              <w:spacing w:after="0"/>
              <w:rPr>
                <w:sz w:val="24"/>
                <w:szCs w:val="24"/>
                <w:color w:val="auto"/>
              </w:rPr>
            </w:pPr>
          </w:p>
        </w:tc>
        <w:tc>
          <w:tcPr>
            <w:tcW w:w="9780" w:type="dxa"/>
            <w:vAlign w:val="bottom"/>
            <w:vMerge w:val="restart"/>
          </w:tcPr>
          <w:p>
            <w:pPr>
              <w:jc w:val="center"/>
              <w:ind w:right="850"/>
              <w:spacing w:after="0"/>
              <w:rPr>
                <w:sz w:val="20"/>
                <w:szCs w:val="20"/>
                <w:color w:val="auto"/>
              </w:rPr>
            </w:pPr>
            <w:r>
              <w:rPr>
                <w:rFonts w:ascii="Arial" w:cs="Arial" w:eastAsia="Arial" w:hAnsi="Arial"/>
                <w:sz w:val="18"/>
                <w:szCs w:val="18"/>
                <w:color w:val="auto"/>
                <w:w w:val="96"/>
              </w:rPr>
              <w:t>ARTICLE ONE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9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9780" w:type="dxa"/>
            <w:vAlign w:val="bottom"/>
          </w:tcPr>
          <w:p>
            <w:pPr>
              <w:jc w:val="center"/>
              <w:ind w:right="830"/>
              <w:spacing w:after="0"/>
              <w:rPr>
                <w:sz w:val="20"/>
                <w:szCs w:val="20"/>
                <w:color w:val="auto"/>
              </w:rPr>
            </w:pPr>
            <w:r>
              <w:rPr>
                <w:rFonts w:ascii="Arial" w:cs="Arial" w:eastAsia="Arial" w:hAnsi="Arial"/>
                <w:sz w:val="18"/>
                <w:szCs w:val="18"/>
                <w:color w:val="auto"/>
                <w:w w:val="96"/>
              </w:rPr>
              <w:t>APPLICATION OF SUPPLEMENTAL INDENTURE</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850"/>
              <w:spacing w:after="0"/>
              <w:rPr>
                <w:sz w:val="20"/>
                <w:szCs w:val="20"/>
                <w:color w:val="auto"/>
              </w:rPr>
            </w:pPr>
            <w:r>
              <w:rPr>
                <w:rFonts w:ascii="Arial" w:cs="Arial" w:eastAsia="Arial" w:hAnsi="Arial"/>
                <w:sz w:val="18"/>
                <w:szCs w:val="18"/>
                <w:color w:val="auto"/>
                <w:w w:val="97"/>
              </w:rPr>
              <w:t>AND CREATION OF THE INITIAL NOTES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Section 101.</w:t>
            </w:r>
          </w:p>
        </w:tc>
        <w:tc>
          <w:tcPr>
            <w:tcW w:w="9780" w:type="dxa"/>
            <w:vAlign w:val="bottom"/>
          </w:tcPr>
          <w:p>
            <w:pPr>
              <w:ind w:left="320"/>
              <w:spacing w:after="0"/>
              <w:rPr>
                <w:sz w:val="20"/>
                <w:szCs w:val="20"/>
                <w:color w:val="auto"/>
              </w:rPr>
            </w:pPr>
            <w:r>
              <w:rPr>
                <w:rFonts w:ascii="Arial" w:cs="Arial" w:eastAsia="Arial" w:hAnsi="Arial"/>
                <w:sz w:val="18"/>
                <w:szCs w:val="18"/>
                <w:color w:val="auto"/>
              </w:rPr>
              <w:t>Application of this Supplemental Indenture</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102.</w:t>
            </w:r>
          </w:p>
        </w:tc>
        <w:tc>
          <w:tcPr>
            <w:tcW w:w="9780" w:type="dxa"/>
            <w:vAlign w:val="bottom"/>
          </w:tcPr>
          <w:p>
            <w:pPr>
              <w:ind w:left="320"/>
              <w:spacing w:after="0"/>
              <w:rPr>
                <w:sz w:val="20"/>
                <w:szCs w:val="20"/>
                <w:color w:val="auto"/>
              </w:rPr>
            </w:pPr>
            <w:r>
              <w:rPr>
                <w:rFonts w:ascii="Arial" w:cs="Arial" w:eastAsia="Arial" w:hAnsi="Arial"/>
                <w:sz w:val="18"/>
                <w:szCs w:val="18"/>
                <w:color w:val="auto"/>
              </w:rPr>
              <w:t>Effect of Supplemental Indenture</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4"/>
                <w:szCs w:val="24"/>
                <w:color w:val="auto"/>
              </w:rPr>
            </w:pPr>
          </w:p>
        </w:tc>
        <w:tc>
          <w:tcPr>
            <w:tcW w:w="9780" w:type="dxa"/>
            <w:vAlign w:val="bottom"/>
          </w:tcPr>
          <w:p>
            <w:pPr>
              <w:jc w:val="center"/>
              <w:ind w:right="850"/>
              <w:spacing w:after="0"/>
              <w:rPr>
                <w:sz w:val="20"/>
                <w:szCs w:val="20"/>
                <w:color w:val="auto"/>
              </w:rPr>
            </w:pPr>
            <w:r>
              <w:rPr>
                <w:rFonts w:ascii="Arial" w:cs="Arial" w:eastAsia="Arial" w:hAnsi="Arial"/>
                <w:sz w:val="18"/>
                <w:szCs w:val="18"/>
                <w:color w:val="auto"/>
                <w:w w:val="97"/>
              </w:rPr>
              <w:t>ARTICLE TWO</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9780" w:type="dxa"/>
            <w:vAlign w:val="bottom"/>
          </w:tcPr>
          <w:p>
            <w:pPr>
              <w:jc w:val="center"/>
              <w:ind w:right="830"/>
              <w:spacing w:after="0"/>
              <w:rPr>
                <w:sz w:val="20"/>
                <w:szCs w:val="20"/>
                <w:color w:val="auto"/>
              </w:rPr>
            </w:pPr>
            <w:r>
              <w:rPr>
                <w:rFonts w:ascii="Arial" w:cs="Arial" w:eastAsia="Arial" w:hAnsi="Arial"/>
                <w:sz w:val="18"/>
                <w:szCs w:val="18"/>
                <w:color w:val="auto"/>
                <w:w w:val="96"/>
              </w:rPr>
              <w:t>DEFINITIONS AND OTHER PROVISIONS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850"/>
              <w:spacing w:after="0"/>
              <w:rPr>
                <w:sz w:val="20"/>
                <w:szCs w:val="20"/>
                <w:color w:val="auto"/>
              </w:rPr>
            </w:pPr>
            <w:r>
              <w:rPr>
                <w:rFonts w:ascii="Arial" w:cs="Arial" w:eastAsia="Arial" w:hAnsi="Arial"/>
                <w:sz w:val="18"/>
                <w:szCs w:val="18"/>
                <w:color w:val="auto"/>
                <w:w w:val="96"/>
              </w:rPr>
              <w:t>OF GENERAL APPLICATION</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Section 201.</w:t>
            </w:r>
          </w:p>
        </w:tc>
        <w:tc>
          <w:tcPr>
            <w:tcW w:w="978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202.</w:t>
            </w:r>
          </w:p>
        </w:tc>
        <w:tc>
          <w:tcPr>
            <w:tcW w:w="9780" w:type="dxa"/>
            <w:vAlign w:val="bottom"/>
          </w:tcPr>
          <w:p>
            <w:pPr>
              <w:ind w:left="320"/>
              <w:spacing w:after="0"/>
              <w:rPr>
                <w:sz w:val="20"/>
                <w:szCs w:val="20"/>
                <w:color w:val="auto"/>
              </w:rPr>
            </w:pPr>
            <w:r>
              <w:rPr>
                <w:rFonts w:ascii="Arial" w:cs="Arial" w:eastAsia="Arial" w:hAnsi="Arial"/>
                <w:sz w:val="18"/>
                <w:szCs w:val="18"/>
                <w:color w:val="auto"/>
              </w:rPr>
              <w:t>Compliance Certificates and Opinions</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203.</w:t>
            </w:r>
          </w:p>
        </w:tc>
        <w:tc>
          <w:tcPr>
            <w:tcW w:w="9780" w:type="dxa"/>
            <w:vAlign w:val="bottom"/>
          </w:tcPr>
          <w:p>
            <w:pPr>
              <w:ind w:left="320"/>
              <w:spacing w:after="0"/>
              <w:rPr>
                <w:sz w:val="20"/>
                <w:szCs w:val="20"/>
                <w:color w:val="auto"/>
              </w:rPr>
            </w:pPr>
            <w:r>
              <w:rPr>
                <w:rFonts w:ascii="Arial" w:cs="Arial" w:eastAsia="Arial" w:hAnsi="Arial"/>
                <w:sz w:val="18"/>
                <w:szCs w:val="18"/>
                <w:color w:val="auto"/>
              </w:rPr>
              <w:t>Form of Documents Delivered to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204.</w:t>
            </w:r>
          </w:p>
        </w:tc>
        <w:tc>
          <w:tcPr>
            <w:tcW w:w="9780" w:type="dxa"/>
            <w:vAlign w:val="bottom"/>
          </w:tcPr>
          <w:p>
            <w:pPr>
              <w:ind w:left="320"/>
              <w:spacing w:after="0"/>
              <w:rPr>
                <w:sz w:val="20"/>
                <w:szCs w:val="20"/>
                <w:color w:val="auto"/>
              </w:rPr>
            </w:pPr>
            <w:r>
              <w:rPr>
                <w:rFonts w:ascii="Arial" w:cs="Arial" w:eastAsia="Arial" w:hAnsi="Arial"/>
                <w:sz w:val="18"/>
                <w:szCs w:val="18"/>
                <w:color w:val="auto"/>
              </w:rPr>
              <w:t>Acts of Holders; Record Dates</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205.</w:t>
            </w:r>
          </w:p>
        </w:tc>
        <w:tc>
          <w:tcPr>
            <w:tcW w:w="9780" w:type="dxa"/>
            <w:vAlign w:val="bottom"/>
          </w:tcPr>
          <w:p>
            <w:pPr>
              <w:ind w:left="320"/>
              <w:spacing w:after="0"/>
              <w:rPr>
                <w:sz w:val="20"/>
                <w:szCs w:val="20"/>
                <w:color w:val="auto"/>
              </w:rPr>
            </w:pPr>
            <w:r>
              <w:rPr>
                <w:rFonts w:ascii="Arial" w:cs="Arial" w:eastAsia="Arial" w:hAnsi="Arial"/>
                <w:sz w:val="18"/>
                <w:szCs w:val="18"/>
                <w:color w:val="auto"/>
              </w:rPr>
              <w:t>Notices, Etc., to Trustee, Issuer and Guarantors</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206.</w:t>
            </w:r>
          </w:p>
        </w:tc>
        <w:tc>
          <w:tcPr>
            <w:tcW w:w="9780" w:type="dxa"/>
            <w:vAlign w:val="bottom"/>
          </w:tcPr>
          <w:p>
            <w:pPr>
              <w:ind w:left="320"/>
              <w:spacing w:after="0"/>
              <w:rPr>
                <w:sz w:val="20"/>
                <w:szCs w:val="20"/>
                <w:color w:val="auto"/>
              </w:rPr>
            </w:pPr>
            <w:r>
              <w:rPr>
                <w:rFonts w:ascii="Arial" w:cs="Arial" w:eastAsia="Arial" w:hAnsi="Arial"/>
                <w:sz w:val="18"/>
                <w:szCs w:val="18"/>
                <w:color w:val="auto"/>
              </w:rPr>
              <w:t>Notice to Holders; Waiver</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207.</w:t>
            </w:r>
          </w:p>
        </w:tc>
        <w:tc>
          <w:tcPr>
            <w:tcW w:w="9780" w:type="dxa"/>
            <w:vAlign w:val="bottom"/>
          </w:tcPr>
          <w:p>
            <w:pPr>
              <w:ind w:left="320"/>
              <w:spacing w:after="0"/>
              <w:rPr>
                <w:sz w:val="20"/>
                <w:szCs w:val="20"/>
                <w:color w:val="auto"/>
              </w:rPr>
            </w:pPr>
            <w:r>
              <w:rPr>
                <w:rFonts w:ascii="Arial" w:cs="Arial" w:eastAsia="Arial" w:hAnsi="Arial"/>
                <w:sz w:val="18"/>
                <w:szCs w:val="18"/>
                <w:color w:val="auto"/>
              </w:rPr>
              <w:t>Conflict with Trust Indenture Act</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208.</w:t>
            </w:r>
          </w:p>
        </w:tc>
        <w:tc>
          <w:tcPr>
            <w:tcW w:w="9780" w:type="dxa"/>
            <w:vAlign w:val="bottom"/>
          </w:tcPr>
          <w:p>
            <w:pPr>
              <w:ind w:left="320"/>
              <w:spacing w:after="0"/>
              <w:rPr>
                <w:sz w:val="20"/>
                <w:szCs w:val="20"/>
                <w:color w:val="auto"/>
              </w:rPr>
            </w:pPr>
            <w:r>
              <w:rPr>
                <w:rFonts w:ascii="Arial" w:cs="Arial" w:eastAsia="Arial" w:hAnsi="Arial"/>
                <w:sz w:val="18"/>
                <w:szCs w:val="18"/>
                <w:color w:val="auto"/>
              </w:rPr>
              <w:t>Effect of Headings and Table of Contents</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209.</w:t>
            </w:r>
          </w:p>
        </w:tc>
        <w:tc>
          <w:tcPr>
            <w:tcW w:w="9780" w:type="dxa"/>
            <w:vAlign w:val="bottom"/>
          </w:tcPr>
          <w:p>
            <w:pPr>
              <w:ind w:left="320"/>
              <w:spacing w:after="0"/>
              <w:rPr>
                <w:sz w:val="20"/>
                <w:szCs w:val="20"/>
                <w:color w:val="auto"/>
              </w:rPr>
            </w:pPr>
            <w:r>
              <w:rPr>
                <w:rFonts w:ascii="Arial" w:cs="Arial" w:eastAsia="Arial" w:hAnsi="Arial"/>
                <w:sz w:val="18"/>
                <w:szCs w:val="18"/>
                <w:color w:val="auto"/>
              </w:rPr>
              <w:t>Successors and Assigns</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210.</w:t>
            </w:r>
          </w:p>
        </w:tc>
        <w:tc>
          <w:tcPr>
            <w:tcW w:w="9780" w:type="dxa"/>
            <w:vAlign w:val="bottom"/>
          </w:tcPr>
          <w:p>
            <w:pPr>
              <w:ind w:left="320"/>
              <w:spacing w:after="0"/>
              <w:rPr>
                <w:sz w:val="20"/>
                <w:szCs w:val="20"/>
                <w:color w:val="auto"/>
              </w:rPr>
            </w:pPr>
            <w:r>
              <w:rPr>
                <w:rFonts w:ascii="Arial" w:cs="Arial" w:eastAsia="Arial" w:hAnsi="Arial"/>
                <w:sz w:val="18"/>
                <w:szCs w:val="18"/>
                <w:color w:val="auto"/>
              </w:rPr>
              <w:t>Separability Clause</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211.</w:t>
            </w:r>
          </w:p>
        </w:tc>
        <w:tc>
          <w:tcPr>
            <w:tcW w:w="9780" w:type="dxa"/>
            <w:vAlign w:val="bottom"/>
          </w:tcPr>
          <w:p>
            <w:pPr>
              <w:ind w:left="320"/>
              <w:spacing w:after="0"/>
              <w:rPr>
                <w:sz w:val="20"/>
                <w:szCs w:val="20"/>
                <w:color w:val="auto"/>
              </w:rPr>
            </w:pPr>
            <w:r>
              <w:rPr>
                <w:rFonts w:ascii="Arial" w:cs="Arial" w:eastAsia="Arial" w:hAnsi="Arial"/>
                <w:sz w:val="18"/>
                <w:szCs w:val="18"/>
                <w:color w:val="auto"/>
              </w:rPr>
              <w:t>Benefits of Indenture</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212.</w:t>
            </w:r>
          </w:p>
        </w:tc>
        <w:tc>
          <w:tcPr>
            <w:tcW w:w="9780" w:type="dxa"/>
            <w:vAlign w:val="bottom"/>
          </w:tcPr>
          <w:p>
            <w:pPr>
              <w:ind w:left="320"/>
              <w:spacing w:after="0"/>
              <w:rPr>
                <w:sz w:val="20"/>
                <w:szCs w:val="20"/>
                <w:color w:val="auto"/>
              </w:rPr>
            </w:pPr>
            <w:r>
              <w:rPr>
                <w:rFonts w:ascii="Arial" w:cs="Arial" w:eastAsia="Arial" w:hAnsi="Arial"/>
                <w:sz w:val="18"/>
                <w:szCs w:val="18"/>
                <w:color w:val="auto"/>
              </w:rPr>
              <w:t>Governing Law; Submission to Jurisdiction</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213.</w:t>
            </w:r>
          </w:p>
        </w:tc>
        <w:tc>
          <w:tcPr>
            <w:tcW w:w="9780" w:type="dxa"/>
            <w:vAlign w:val="bottom"/>
          </w:tcPr>
          <w:p>
            <w:pPr>
              <w:ind w:left="320"/>
              <w:spacing w:after="0"/>
              <w:rPr>
                <w:sz w:val="20"/>
                <w:szCs w:val="20"/>
                <w:color w:val="auto"/>
              </w:rPr>
            </w:pPr>
            <w:r>
              <w:rPr>
                <w:rFonts w:ascii="Arial" w:cs="Arial" w:eastAsia="Arial" w:hAnsi="Arial"/>
                <w:sz w:val="18"/>
                <w:szCs w:val="18"/>
                <w:color w:val="auto"/>
              </w:rPr>
              <w:t>Legal Holidays</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214.</w:t>
            </w:r>
          </w:p>
        </w:tc>
        <w:tc>
          <w:tcPr>
            <w:tcW w:w="9780" w:type="dxa"/>
            <w:vAlign w:val="bottom"/>
          </w:tcPr>
          <w:p>
            <w:pPr>
              <w:ind w:left="320"/>
              <w:spacing w:after="0"/>
              <w:rPr>
                <w:sz w:val="20"/>
                <w:szCs w:val="20"/>
                <w:color w:val="auto"/>
              </w:rPr>
            </w:pPr>
            <w:r>
              <w:rPr>
                <w:rFonts w:ascii="Arial" w:cs="Arial" w:eastAsia="Arial" w:hAnsi="Arial"/>
                <w:sz w:val="18"/>
                <w:szCs w:val="18"/>
                <w:color w:val="auto"/>
              </w:rPr>
              <w:t>No Personal Liability of Directors, Officers, Employees and Shareholders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215.</w:t>
            </w:r>
          </w:p>
        </w:tc>
        <w:tc>
          <w:tcPr>
            <w:tcW w:w="9780" w:type="dxa"/>
            <w:vAlign w:val="bottom"/>
          </w:tcPr>
          <w:p>
            <w:pPr>
              <w:ind w:left="320"/>
              <w:spacing w:after="0"/>
              <w:rPr>
                <w:sz w:val="20"/>
                <w:szCs w:val="20"/>
                <w:color w:val="auto"/>
              </w:rPr>
            </w:pPr>
            <w:r>
              <w:rPr>
                <w:rFonts w:ascii="Arial" w:cs="Arial" w:eastAsia="Arial" w:hAnsi="Arial"/>
                <w:sz w:val="18"/>
                <w:szCs w:val="18"/>
                <w:color w:val="auto"/>
              </w:rPr>
              <w:t>No Adverse Interpretation of Other Agreements</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216.</w:t>
            </w:r>
          </w:p>
        </w:tc>
        <w:tc>
          <w:tcPr>
            <w:tcW w:w="9780" w:type="dxa"/>
            <w:vAlign w:val="bottom"/>
          </w:tcPr>
          <w:p>
            <w:pPr>
              <w:ind w:left="320"/>
              <w:spacing w:after="0"/>
              <w:rPr>
                <w:sz w:val="20"/>
                <w:szCs w:val="20"/>
                <w:color w:val="auto"/>
              </w:rPr>
            </w:pPr>
            <w:r>
              <w:rPr>
                <w:rFonts w:ascii="Arial" w:cs="Arial" w:eastAsia="Arial" w:hAnsi="Arial"/>
                <w:sz w:val="18"/>
                <w:szCs w:val="18"/>
                <w:color w:val="auto"/>
              </w:rPr>
              <w:t>U.S.A. PATRIOT Act</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217.</w:t>
            </w:r>
          </w:p>
        </w:tc>
        <w:tc>
          <w:tcPr>
            <w:tcW w:w="9780" w:type="dxa"/>
            <w:vAlign w:val="bottom"/>
          </w:tcPr>
          <w:p>
            <w:pPr>
              <w:ind w:left="320"/>
              <w:spacing w:after="0"/>
              <w:rPr>
                <w:sz w:val="20"/>
                <w:szCs w:val="20"/>
                <w:color w:val="auto"/>
              </w:rPr>
            </w:pPr>
            <w:r>
              <w:rPr>
                <w:rFonts w:ascii="Arial" w:cs="Arial" w:eastAsia="Arial" w:hAnsi="Arial"/>
                <w:sz w:val="18"/>
                <w:szCs w:val="18"/>
                <w:color w:val="auto"/>
              </w:rPr>
              <w:t>Payment in Required Currency; Judgment Currency</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218.</w:t>
            </w:r>
          </w:p>
        </w:tc>
        <w:tc>
          <w:tcPr>
            <w:tcW w:w="9780" w:type="dxa"/>
            <w:vAlign w:val="bottom"/>
          </w:tcPr>
          <w:p>
            <w:pPr>
              <w:ind w:left="320"/>
              <w:spacing w:after="0"/>
              <w:rPr>
                <w:sz w:val="20"/>
                <w:szCs w:val="20"/>
                <w:color w:val="auto"/>
              </w:rPr>
            </w:pPr>
            <w:r>
              <w:rPr>
                <w:rFonts w:ascii="Arial" w:cs="Arial" w:eastAsia="Arial" w:hAnsi="Arial"/>
                <w:sz w:val="18"/>
                <w:szCs w:val="18"/>
                <w:color w:val="auto"/>
              </w:rPr>
              <w:t>Language of Notices, Etc.</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219.</w:t>
            </w:r>
          </w:p>
        </w:tc>
        <w:tc>
          <w:tcPr>
            <w:tcW w:w="9780" w:type="dxa"/>
            <w:vAlign w:val="bottom"/>
          </w:tcPr>
          <w:p>
            <w:pPr>
              <w:ind w:left="320"/>
              <w:spacing w:after="0"/>
              <w:rPr>
                <w:sz w:val="20"/>
                <w:szCs w:val="20"/>
                <w:color w:val="auto"/>
              </w:rPr>
            </w:pPr>
            <w:r>
              <w:rPr>
                <w:rFonts w:ascii="Arial" w:cs="Arial" w:eastAsia="Arial" w:hAnsi="Arial"/>
                <w:sz w:val="18"/>
                <w:szCs w:val="18"/>
                <w:color w:val="auto"/>
              </w:rPr>
              <w:t>Counterpart Originals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4"/>
                <w:szCs w:val="24"/>
                <w:color w:val="auto"/>
              </w:rPr>
            </w:pPr>
          </w:p>
        </w:tc>
        <w:tc>
          <w:tcPr>
            <w:tcW w:w="9780" w:type="dxa"/>
            <w:vAlign w:val="bottom"/>
          </w:tcPr>
          <w:p>
            <w:pPr>
              <w:jc w:val="center"/>
              <w:ind w:right="830"/>
              <w:spacing w:after="0"/>
              <w:rPr>
                <w:sz w:val="20"/>
                <w:szCs w:val="20"/>
                <w:color w:val="auto"/>
              </w:rPr>
            </w:pPr>
            <w:r>
              <w:rPr>
                <w:rFonts w:ascii="Arial" w:cs="Arial" w:eastAsia="Arial" w:hAnsi="Arial"/>
                <w:sz w:val="18"/>
                <w:szCs w:val="18"/>
                <w:color w:val="auto"/>
                <w:w w:val="97"/>
              </w:rPr>
              <w:t>ARTICLE THREE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830"/>
              <w:spacing w:after="0"/>
              <w:rPr>
                <w:sz w:val="20"/>
                <w:szCs w:val="20"/>
                <w:color w:val="auto"/>
              </w:rPr>
            </w:pPr>
            <w:r>
              <w:rPr>
                <w:rFonts w:ascii="Arial" w:cs="Arial" w:eastAsia="Arial" w:hAnsi="Arial"/>
                <w:sz w:val="18"/>
                <w:szCs w:val="18"/>
                <w:color w:val="auto"/>
                <w:w w:val="94"/>
              </w:rPr>
              <w:t>NOTE FORMS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Section 301.</w:t>
            </w:r>
          </w:p>
        </w:tc>
        <w:tc>
          <w:tcPr>
            <w:tcW w:w="9780" w:type="dxa"/>
            <w:vAlign w:val="bottom"/>
          </w:tcPr>
          <w:p>
            <w:pPr>
              <w:ind w:left="320"/>
              <w:spacing w:after="0"/>
              <w:rPr>
                <w:sz w:val="20"/>
                <w:szCs w:val="20"/>
                <w:color w:val="auto"/>
              </w:rPr>
            </w:pPr>
            <w:r>
              <w:rPr>
                <w:rFonts w:ascii="Arial" w:cs="Arial" w:eastAsia="Arial" w:hAnsi="Arial"/>
                <w:sz w:val="18"/>
                <w:szCs w:val="18"/>
                <w:color w:val="auto"/>
              </w:rPr>
              <w:t>Forms Generally</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302.</w:t>
            </w:r>
          </w:p>
        </w:tc>
        <w:tc>
          <w:tcPr>
            <w:tcW w:w="9780" w:type="dxa"/>
            <w:vAlign w:val="bottom"/>
          </w:tcPr>
          <w:p>
            <w:pPr>
              <w:ind w:left="320"/>
              <w:spacing w:after="0"/>
              <w:rPr>
                <w:sz w:val="20"/>
                <w:szCs w:val="20"/>
                <w:color w:val="auto"/>
              </w:rPr>
            </w:pPr>
            <w:r>
              <w:rPr>
                <w:rFonts w:ascii="Arial" w:cs="Arial" w:eastAsia="Arial" w:hAnsi="Arial"/>
                <w:sz w:val="18"/>
                <w:szCs w:val="18"/>
                <w:color w:val="auto"/>
              </w:rPr>
              <w:t>Legends for Notes</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303.</w:t>
            </w:r>
          </w:p>
        </w:tc>
        <w:tc>
          <w:tcPr>
            <w:tcW w:w="9780" w:type="dxa"/>
            <w:vAlign w:val="bottom"/>
          </w:tcPr>
          <w:p>
            <w:pPr>
              <w:ind w:left="320"/>
              <w:spacing w:after="0"/>
              <w:rPr>
                <w:sz w:val="20"/>
                <w:szCs w:val="20"/>
                <w:color w:val="auto"/>
              </w:rPr>
            </w:pPr>
            <w:r>
              <w:rPr>
                <w:rFonts w:ascii="Arial" w:cs="Arial" w:eastAsia="Arial" w:hAnsi="Arial"/>
                <w:sz w:val="18"/>
                <w:szCs w:val="18"/>
                <w:color w:val="auto"/>
              </w:rPr>
              <w:t>Global Notes</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4"/>
                <w:szCs w:val="24"/>
                <w:color w:val="auto"/>
              </w:rPr>
            </w:pPr>
          </w:p>
        </w:tc>
        <w:tc>
          <w:tcPr>
            <w:tcW w:w="9780" w:type="dxa"/>
            <w:vAlign w:val="bottom"/>
          </w:tcPr>
          <w:p>
            <w:pPr>
              <w:jc w:val="center"/>
              <w:ind w:right="850"/>
              <w:spacing w:after="0"/>
              <w:rPr>
                <w:sz w:val="20"/>
                <w:szCs w:val="20"/>
                <w:color w:val="auto"/>
              </w:rPr>
            </w:pPr>
            <w:r>
              <w:rPr>
                <w:rFonts w:ascii="Arial" w:cs="Arial" w:eastAsia="Arial" w:hAnsi="Arial"/>
                <w:sz w:val="18"/>
                <w:szCs w:val="18"/>
                <w:color w:val="auto"/>
                <w:w w:val="96"/>
              </w:rPr>
              <w:t>ARTICLE FOUR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830"/>
              <w:spacing w:after="0"/>
              <w:rPr>
                <w:sz w:val="20"/>
                <w:szCs w:val="20"/>
                <w:color w:val="auto"/>
              </w:rPr>
            </w:pPr>
            <w:r>
              <w:rPr>
                <w:rFonts w:ascii="Arial" w:cs="Arial" w:eastAsia="Arial" w:hAnsi="Arial"/>
                <w:sz w:val="18"/>
                <w:szCs w:val="18"/>
                <w:color w:val="auto"/>
                <w:w w:val="95"/>
              </w:rPr>
              <w:t>THE NOTES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Section 401.</w:t>
            </w:r>
          </w:p>
        </w:tc>
        <w:tc>
          <w:tcPr>
            <w:tcW w:w="9780" w:type="dxa"/>
            <w:vAlign w:val="bottom"/>
          </w:tcPr>
          <w:p>
            <w:pPr>
              <w:ind w:left="320"/>
              <w:spacing w:after="0"/>
              <w:rPr>
                <w:sz w:val="20"/>
                <w:szCs w:val="20"/>
                <w:color w:val="auto"/>
              </w:rPr>
            </w:pPr>
            <w:r>
              <w:rPr>
                <w:rFonts w:ascii="Arial" w:cs="Arial" w:eastAsia="Arial" w:hAnsi="Arial"/>
                <w:sz w:val="18"/>
                <w:szCs w:val="18"/>
                <w:color w:val="auto"/>
              </w:rPr>
              <w:t>Title and Terms</w:t>
            </w: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402.</w:t>
            </w:r>
          </w:p>
        </w:tc>
        <w:tc>
          <w:tcPr>
            <w:tcW w:w="9780" w:type="dxa"/>
            <w:vAlign w:val="bottom"/>
          </w:tcPr>
          <w:p>
            <w:pPr>
              <w:ind w:left="320"/>
              <w:spacing w:after="0"/>
              <w:rPr>
                <w:sz w:val="20"/>
                <w:szCs w:val="20"/>
                <w:color w:val="auto"/>
              </w:rPr>
            </w:pPr>
            <w:r>
              <w:rPr>
                <w:rFonts w:ascii="Arial" w:cs="Arial" w:eastAsia="Arial" w:hAnsi="Arial"/>
                <w:sz w:val="18"/>
                <w:szCs w:val="18"/>
                <w:color w:val="auto"/>
              </w:rPr>
              <w:t>Denominations</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403.</w:t>
            </w:r>
          </w:p>
        </w:tc>
        <w:tc>
          <w:tcPr>
            <w:tcW w:w="9780" w:type="dxa"/>
            <w:vAlign w:val="bottom"/>
          </w:tcPr>
          <w:p>
            <w:pPr>
              <w:ind w:left="320"/>
              <w:spacing w:after="0"/>
              <w:rPr>
                <w:sz w:val="20"/>
                <w:szCs w:val="20"/>
                <w:color w:val="auto"/>
              </w:rPr>
            </w:pPr>
            <w:r>
              <w:rPr>
                <w:rFonts w:ascii="Arial" w:cs="Arial" w:eastAsia="Arial" w:hAnsi="Arial"/>
                <w:sz w:val="18"/>
                <w:szCs w:val="18"/>
                <w:color w:val="auto"/>
              </w:rPr>
              <w:t>Execution, Authentication, Delivery and Dating</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404.</w:t>
            </w:r>
          </w:p>
        </w:tc>
        <w:tc>
          <w:tcPr>
            <w:tcW w:w="9780" w:type="dxa"/>
            <w:vAlign w:val="bottom"/>
          </w:tcPr>
          <w:p>
            <w:pPr>
              <w:ind w:left="320"/>
              <w:spacing w:after="0"/>
              <w:rPr>
                <w:sz w:val="20"/>
                <w:szCs w:val="20"/>
                <w:color w:val="auto"/>
              </w:rPr>
            </w:pPr>
            <w:r>
              <w:rPr>
                <w:rFonts w:ascii="Arial" w:cs="Arial" w:eastAsia="Arial" w:hAnsi="Arial"/>
                <w:sz w:val="18"/>
                <w:szCs w:val="18"/>
                <w:color w:val="auto"/>
              </w:rPr>
              <w:t>Temporary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405.</w:t>
            </w:r>
          </w:p>
        </w:tc>
        <w:tc>
          <w:tcPr>
            <w:tcW w:w="9780" w:type="dxa"/>
            <w:vAlign w:val="bottom"/>
          </w:tcPr>
          <w:p>
            <w:pPr>
              <w:ind w:left="320"/>
              <w:spacing w:after="0"/>
              <w:rPr>
                <w:sz w:val="20"/>
                <w:szCs w:val="20"/>
                <w:color w:val="auto"/>
              </w:rPr>
            </w:pPr>
            <w:r>
              <w:rPr>
                <w:rFonts w:ascii="Arial" w:cs="Arial" w:eastAsia="Arial" w:hAnsi="Arial"/>
                <w:sz w:val="18"/>
                <w:szCs w:val="18"/>
                <w:color w:val="auto"/>
              </w:rPr>
              <w:t>Registrar, Global Notes and Definitive Notes</w:t>
            </w: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71"/>
        </w:trPr>
        <w:tc>
          <w:tcPr>
            <w:tcW w:w="1240" w:type="dxa"/>
            <w:vAlign w:val="bottom"/>
            <w:vMerge w:val="restart"/>
          </w:tcPr>
          <w:p>
            <w:pPr>
              <w:spacing w:after="0"/>
              <w:rPr>
                <w:sz w:val="20"/>
                <w:szCs w:val="20"/>
                <w:color w:val="auto"/>
              </w:rPr>
            </w:pPr>
            <w:r>
              <w:rPr>
                <w:rFonts w:ascii="Arial" w:cs="Arial" w:eastAsia="Arial" w:hAnsi="Arial"/>
                <w:sz w:val="18"/>
                <w:szCs w:val="18"/>
                <w:color w:val="auto"/>
              </w:rPr>
              <w:t>Section 406.</w:t>
            </w:r>
          </w:p>
        </w:tc>
        <w:tc>
          <w:tcPr>
            <w:tcW w:w="9780" w:type="dxa"/>
            <w:vAlign w:val="bottom"/>
            <w:vMerge w:val="restart"/>
          </w:tcPr>
          <w:p>
            <w:pPr>
              <w:ind w:left="320"/>
              <w:spacing w:after="0"/>
              <w:rPr>
                <w:sz w:val="20"/>
                <w:szCs w:val="20"/>
                <w:color w:val="auto"/>
              </w:rPr>
            </w:pPr>
            <w:r>
              <w:rPr>
                <w:rFonts w:ascii="Arial" w:cs="Arial" w:eastAsia="Arial" w:hAnsi="Arial"/>
                <w:sz w:val="18"/>
                <w:szCs w:val="18"/>
                <w:color w:val="auto"/>
              </w:rPr>
              <w:t>Mutilated, Destroyed, Lost and Stolen Notes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240" w:type="dxa"/>
            <w:vAlign w:val="bottom"/>
            <w:vMerge w:val="continue"/>
          </w:tcPr>
          <w:p>
            <w:pPr>
              <w:spacing w:after="0"/>
              <w:rPr>
                <w:sz w:val="16"/>
                <w:szCs w:val="16"/>
                <w:color w:val="auto"/>
              </w:rPr>
            </w:pPr>
          </w:p>
        </w:tc>
        <w:tc>
          <w:tcPr>
            <w:tcW w:w="9780" w:type="dxa"/>
            <w:vAlign w:val="bottom"/>
            <w:vMerge w:val="continue"/>
          </w:tcPr>
          <w:p>
            <w:pPr>
              <w:spacing w:after="0"/>
              <w:rPr>
                <w:sz w:val="16"/>
                <w:szCs w:val="16"/>
                <w:color w:val="auto"/>
              </w:rPr>
            </w:pP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407.</w:t>
            </w:r>
          </w:p>
        </w:tc>
        <w:tc>
          <w:tcPr>
            <w:tcW w:w="9780" w:type="dxa"/>
            <w:vAlign w:val="bottom"/>
          </w:tcPr>
          <w:p>
            <w:pPr>
              <w:ind w:left="320"/>
              <w:spacing w:after="0"/>
              <w:rPr>
                <w:sz w:val="20"/>
                <w:szCs w:val="20"/>
                <w:color w:val="auto"/>
              </w:rPr>
            </w:pPr>
            <w:r>
              <w:rPr>
                <w:rFonts w:ascii="Arial" w:cs="Arial" w:eastAsia="Arial" w:hAnsi="Arial"/>
                <w:sz w:val="18"/>
                <w:szCs w:val="18"/>
                <w:color w:val="auto"/>
              </w:rPr>
              <w:t>Payment of Interest; Interest Rights Preserved</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408.</w:t>
            </w:r>
          </w:p>
        </w:tc>
        <w:tc>
          <w:tcPr>
            <w:tcW w:w="9780" w:type="dxa"/>
            <w:vAlign w:val="bottom"/>
          </w:tcPr>
          <w:p>
            <w:pPr>
              <w:ind w:left="320"/>
              <w:spacing w:after="0"/>
              <w:rPr>
                <w:sz w:val="20"/>
                <w:szCs w:val="20"/>
                <w:color w:val="auto"/>
              </w:rPr>
            </w:pPr>
            <w:r>
              <w:rPr>
                <w:rFonts w:ascii="Arial" w:cs="Arial" w:eastAsia="Arial" w:hAnsi="Arial"/>
                <w:sz w:val="18"/>
                <w:szCs w:val="18"/>
                <w:color w:val="auto"/>
              </w:rPr>
              <w:t>Persons Deemed Owners</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409.</w:t>
            </w:r>
          </w:p>
        </w:tc>
        <w:tc>
          <w:tcPr>
            <w:tcW w:w="9780" w:type="dxa"/>
            <w:vAlign w:val="bottom"/>
          </w:tcPr>
          <w:p>
            <w:pPr>
              <w:ind w:left="320"/>
              <w:spacing w:after="0"/>
              <w:rPr>
                <w:sz w:val="20"/>
                <w:szCs w:val="20"/>
                <w:color w:val="auto"/>
              </w:rPr>
            </w:pPr>
            <w:r>
              <w:rPr>
                <w:rFonts w:ascii="Arial" w:cs="Arial" w:eastAsia="Arial" w:hAnsi="Arial"/>
                <w:sz w:val="18"/>
                <w:szCs w:val="18"/>
                <w:color w:val="auto"/>
              </w:rPr>
              <w:t>Cancellation</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410.</w:t>
            </w:r>
          </w:p>
        </w:tc>
        <w:tc>
          <w:tcPr>
            <w:tcW w:w="9780" w:type="dxa"/>
            <w:vAlign w:val="bottom"/>
          </w:tcPr>
          <w:p>
            <w:pPr>
              <w:ind w:left="320"/>
              <w:spacing w:after="0"/>
              <w:rPr>
                <w:sz w:val="20"/>
                <w:szCs w:val="20"/>
                <w:color w:val="auto"/>
              </w:rPr>
            </w:pPr>
            <w:r>
              <w:rPr>
                <w:rFonts w:ascii="Arial" w:cs="Arial" w:eastAsia="Arial" w:hAnsi="Arial"/>
                <w:sz w:val="18"/>
                <w:szCs w:val="18"/>
                <w:color w:val="auto"/>
              </w:rPr>
              <w:t>Computation of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411.</w:t>
            </w:r>
          </w:p>
        </w:tc>
        <w:tc>
          <w:tcPr>
            <w:tcW w:w="9780" w:type="dxa"/>
            <w:vAlign w:val="bottom"/>
          </w:tcPr>
          <w:p>
            <w:pPr>
              <w:ind w:left="320"/>
              <w:spacing w:after="0"/>
              <w:rPr>
                <w:sz w:val="20"/>
                <w:szCs w:val="20"/>
                <w:color w:val="auto"/>
              </w:rPr>
            </w:pPr>
            <w:r>
              <w:rPr>
                <w:rFonts w:ascii="Arial" w:cs="Arial" w:eastAsia="Arial" w:hAnsi="Arial"/>
                <w:sz w:val="18"/>
                <w:szCs w:val="18"/>
                <w:color w:val="auto"/>
              </w:rPr>
              <w:t>Transfer and Exchange</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4"/>
                <w:szCs w:val="24"/>
                <w:color w:val="auto"/>
              </w:rPr>
            </w:pPr>
          </w:p>
        </w:tc>
        <w:tc>
          <w:tcPr>
            <w:tcW w:w="9780" w:type="dxa"/>
            <w:vAlign w:val="bottom"/>
          </w:tcPr>
          <w:p>
            <w:pPr>
              <w:jc w:val="center"/>
              <w:ind w:right="850"/>
              <w:spacing w:after="0"/>
              <w:rPr>
                <w:sz w:val="20"/>
                <w:szCs w:val="20"/>
                <w:color w:val="auto"/>
              </w:rPr>
            </w:pPr>
            <w:r>
              <w:rPr>
                <w:rFonts w:ascii="Arial" w:cs="Arial" w:eastAsia="Arial" w:hAnsi="Arial"/>
                <w:sz w:val="18"/>
                <w:szCs w:val="18"/>
                <w:color w:val="auto"/>
                <w:w w:val="99"/>
              </w:rPr>
              <w:t>ARTICLE FIVE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850"/>
              <w:spacing w:after="0"/>
              <w:rPr>
                <w:sz w:val="20"/>
                <w:szCs w:val="20"/>
                <w:color w:val="auto"/>
              </w:rPr>
            </w:pPr>
            <w:r>
              <w:rPr>
                <w:rFonts w:ascii="Arial" w:cs="Arial" w:eastAsia="Arial" w:hAnsi="Arial"/>
                <w:sz w:val="18"/>
                <w:szCs w:val="18"/>
                <w:color w:val="auto"/>
                <w:w w:val="96"/>
              </w:rPr>
              <w:t>SATISFACTION AND DISCHARGE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Section 501.</w:t>
            </w:r>
          </w:p>
        </w:tc>
        <w:tc>
          <w:tcPr>
            <w:tcW w:w="9780" w:type="dxa"/>
            <w:vAlign w:val="bottom"/>
          </w:tcPr>
          <w:p>
            <w:pPr>
              <w:ind w:left="320"/>
              <w:spacing w:after="0"/>
              <w:rPr>
                <w:sz w:val="20"/>
                <w:szCs w:val="20"/>
                <w:color w:val="auto"/>
              </w:rPr>
            </w:pPr>
            <w:r>
              <w:rPr>
                <w:rFonts w:ascii="Arial" w:cs="Arial" w:eastAsia="Arial" w:hAnsi="Arial"/>
                <w:sz w:val="18"/>
                <w:szCs w:val="18"/>
                <w:color w:val="auto"/>
              </w:rPr>
              <w:t>Satisfaction and Discharge of Indenture</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502.</w:t>
            </w:r>
          </w:p>
        </w:tc>
        <w:tc>
          <w:tcPr>
            <w:tcW w:w="9780" w:type="dxa"/>
            <w:vAlign w:val="bottom"/>
          </w:tcPr>
          <w:p>
            <w:pPr>
              <w:ind w:left="320"/>
              <w:spacing w:after="0"/>
              <w:rPr>
                <w:sz w:val="20"/>
                <w:szCs w:val="20"/>
                <w:color w:val="auto"/>
              </w:rPr>
            </w:pPr>
            <w:r>
              <w:rPr>
                <w:rFonts w:ascii="Arial" w:cs="Arial" w:eastAsia="Arial" w:hAnsi="Arial"/>
                <w:sz w:val="18"/>
                <w:szCs w:val="18"/>
                <w:color w:val="auto"/>
              </w:rPr>
              <w:t>Application of Trust Money</w:t>
            </w: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4"/>
                <w:szCs w:val="24"/>
                <w:color w:val="auto"/>
              </w:rPr>
            </w:pPr>
          </w:p>
        </w:tc>
        <w:tc>
          <w:tcPr>
            <w:tcW w:w="9780" w:type="dxa"/>
            <w:vAlign w:val="bottom"/>
          </w:tcPr>
          <w:p>
            <w:pPr>
              <w:jc w:val="center"/>
              <w:ind w:right="850"/>
              <w:spacing w:after="0"/>
              <w:rPr>
                <w:sz w:val="20"/>
                <w:szCs w:val="20"/>
                <w:color w:val="auto"/>
              </w:rPr>
            </w:pPr>
            <w:r>
              <w:rPr>
                <w:rFonts w:ascii="Arial" w:cs="Arial" w:eastAsia="Arial" w:hAnsi="Arial"/>
                <w:sz w:val="18"/>
                <w:szCs w:val="18"/>
                <w:color w:val="auto"/>
                <w:w w:val="98"/>
              </w:rPr>
              <w:t>ARTICLE SIX</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830"/>
              <w:spacing w:after="0"/>
              <w:rPr>
                <w:sz w:val="20"/>
                <w:szCs w:val="20"/>
                <w:color w:val="auto"/>
              </w:rPr>
            </w:pPr>
            <w:r>
              <w:rPr>
                <w:rFonts w:ascii="Arial" w:cs="Arial" w:eastAsia="Arial" w:hAnsi="Arial"/>
                <w:sz w:val="18"/>
                <w:szCs w:val="18"/>
                <w:color w:val="auto"/>
                <w:w w:val="95"/>
              </w:rPr>
              <w:t>REMEDIES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Section 601.</w:t>
            </w:r>
          </w:p>
        </w:tc>
        <w:tc>
          <w:tcPr>
            <w:tcW w:w="9780" w:type="dxa"/>
            <w:vAlign w:val="bottom"/>
          </w:tcPr>
          <w:p>
            <w:pPr>
              <w:ind w:left="320"/>
              <w:spacing w:after="0"/>
              <w:rPr>
                <w:sz w:val="20"/>
                <w:szCs w:val="20"/>
                <w:color w:val="auto"/>
              </w:rPr>
            </w:pPr>
            <w:r>
              <w:rPr>
                <w:rFonts w:ascii="Arial" w:cs="Arial" w:eastAsia="Arial" w:hAnsi="Arial"/>
                <w:sz w:val="18"/>
                <w:szCs w:val="18"/>
                <w:color w:val="auto"/>
              </w:rPr>
              <w:t>Events of Default</w:t>
            </w: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602.</w:t>
            </w:r>
          </w:p>
        </w:tc>
        <w:tc>
          <w:tcPr>
            <w:tcW w:w="9780" w:type="dxa"/>
            <w:vAlign w:val="bottom"/>
          </w:tcPr>
          <w:p>
            <w:pPr>
              <w:ind w:left="320"/>
              <w:spacing w:after="0"/>
              <w:rPr>
                <w:sz w:val="20"/>
                <w:szCs w:val="20"/>
                <w:color w:val="auto"/>
              </w:rPr>
            </w:pPr>
            <w:r>
              <w:rPr>
                <w:rFonts w:ascii="Arial" w:cs="Arial" w:eastAsia="Arial" w:hAnsi="Arial"/>
                <w:sz w:val="18"/>
                <w:szCs w:val="18"/>
                <w:color w:val="auto"/>
              </w:rPr>
              <w:t>Acceleration of Maturity; Rescission and Annulment</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603.</w:t>
            </w:r>
          </w:p>
        </w:tc>
        <w:tc>
          <w:tcPr>
            <w:tcW w:w="9780" w:type="dxa"/>
            <w:vAlign w:val="bottom"/>
          </w:tcPr>
          <w:p>
            <w:pPr>
              <w:ind w:left="320"/>
              <w:spacing w:after="0"/>
              <w:rPr>
                <w:sz w:val="20"/>
                <w:szCs w:val="20"/>
                <w:color w:val="auto"/>
              </w:rPr>
            </w:pPr>
            <w:r>
              <w:rPr>
                <w:rFonts w:ascii="Arial" w:cs="Arial" w:eastAsia="Arial" w:hAnsi="Arial"/>
                <w:sz w:val="18"/>
                <w:szCs w:val="18"/>
                <w:color w:val="auto"/>
              </w:rPr>
              <w:t>Collection of Indebtedness and Suits for Enforcement by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604.</w:t>
            </w:r>
          </w:p>
        </w:tc>
        <w:tc>
          <w:tcPr>
            <w:tcW w:w="9780" w:type="dxa"/>
            <w:vAlign w:val="bottom"/>
          </w:tcPr>
          <w:p>
            <w:pPr>
              <w:ind w:left="320"/>
              <w:spacing w:after="0"/>
              <w:rPr>
                <w:sz w:val="20"/>
                <w:szCs w:val="20"/>
                <w:color w:val="auto"/>
              </w:rPr>
            </w:pPr>
            <w:r>
              <w:rPr>
                <w:rFonts w:ascii="Arial" w:cs="Arial" w:eastAsia="Arial" w:hAnsi="Arial"/>
                <w:sz w:val="18"/>
                <w:szCs w:val="18"/>
                <w:color w:val="auto"/>
              </w:rPr>
              <w:t>Trustee May File Proofs of Claim</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605.</w:t>
            </w:r>
          </w:p>
        </w:tc>
        <w:tc>
          <w:tcPr>
            <w:tcW w:w="9780" w:type="dxa"/>
            <w:vAlign w:val="bottom"/>
          </w:tcPr>
          <w:p>
            <w:pPr>
              <w:ind w:left="320"/>
              <w:spacing w:after="0"/>
              <w:rPr>
                <w:sz w:val="20"/>
                <w:szCs w:val="20"/>
                <w:color w:val="auto"/>
              </w:rPr>
            </w:pPr>
            <w:r>
              <w:rPr>
                <w:rFonts w:ascii="Arial" w:cs="Arial" w:eastAsia="Arial" w:hAnsi="Arial"/>
                <w:sz w:val="18"/>
                <w:szCs w:val="18"/>
                <w:color w:val="auto"/>
              </w:rPr>
              <w:t>Trustee May Enforce Claims Without Possession of Notes</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606.</w:t>
            </w:r>
          </w:p>
        </w:tc>
        <w:tc>
          <w:tcPr>
            <w:tcW w:w="9780" w:type="dxa"/>
            <w:vAlign w:val="bottom"/>
          </w:tcPr>
          <w:p>
            <w:pPr>
              <w:ind w:left="320"/>
              <w:spacing w:after="0"/>
              <w:rPr>
                <w:sz w:val="20"/>
                <w:szCs w:val="20"/>
                <w:color w:val="auto"/>
              </w:rPr>
            </w:pPr>
            <w:r>
              <w:rPr>
                <w:rFonts w:ascii="Arial" w:cs="Arial" w:eastAsia="Arial" w:hAnsi="Arial"/>
                <w:sz w:val="18"/>
                <w:szCs w:val="18"/>
                <w:color w:val="auto"/>
              </w:rPr>
              <w:t>Application of Money Collected</w:t>
            </w: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607.</w:t>
            </w:r>
          </w:p>
        </w:tc>
        <w:tc>
          <w:tcPr>
            <w:tcW w:w="9780" w:type="dxa"/>
            <w:vAlign w:val="bottom"/>
          </w:tcPr>
          <w:p>
            <w:pPr>
              <w:ind w:left="320"/>
              <w:spacing w:after="0"/>
              <w:rPr>
                <w:sz w:val="20"/>
                <w:szCs w:val="20"/>
                <w:color w:val="auto"/>
              </w:rPr>
            </w:pPr>
            <w:r>
              <w:rPr>
                <w:rFonts w:ascii="Arial" w:cs="Arial" w:eastAsia="Arial" w:hAnsi="Arial"/>
                <w:sz w:val="18"/>
                <w:szCs w:val="18"/>
                <w:color w:val="auto"/>
              </w:rPr>
              <w:t>Limitation on Suits</w:t>
            </w: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608.</w:t>
            </w:r>
          </w:p>
        </w:tc>
        <w:tc>
          <w:tcPr>
            <w:tcW w:w="9780" w:type="dxa"/>
            <w:vAlign w:val="bottom"/>
          </w:tcPr>
          <w:p>
            <w:pPr>
              <w:ind w:left="320"/>
              <w:spacing w:after="0"/>
              <w:rPr>
                <w:sz w:val="20"/>
                <w:szCs w:val="20"/>
                <w:color w:val="auto"/>
              </w:rPr>
            </w:pPr>
            <w:r>
              <w:rPr>
                <w:rFonts w:ascii="Arial" w:cs="Arial" w:eastAsia="Arial" w:hAnsi="Arial"/>
                <w:sz w:val="18"/>
                <w:szCs w:val="18"/>
                <w:color w:val="auto"/>
              </w:rPr>
              <w:t>Unconditional Right of Holders to Receive Principal, Premium and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609.</w:t>
            </w:r>
          </w:p>
        </w:tc>
        <w:tc>
          <w:tcPr>
            <w:tcW w:w="9780" w:type="dxa"/>
            <w:vAlign w:val="bottom"/>
          </w:tcPr>
          <w:p>
            <w:pPr>
              <w:ind w:left="320"/>
              <w:spacing w:after="0"/>
              <w:rPr>
                <w:sz w:val="20"/>
                <w:szCs w:val="20"/>
                <w:color w:val="auto"/>
              </w:rPr>
            </w:pPr>
            <w:r>
              <w:rPr>
                <w:rFonts w:ascii="Arial" w:cs="Arial" w:eastAsia="Arial" w:hAnsi="Arial"/>
                <w:sz w:val="18"/>
                <w:szCs w:val="18"/>
                <w:color w:val="auto"/>
              </w:rPr>
              <w:t>Restoration of Rights and Remedies</w:t>
            </w: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610.</w:t>
            </w:r>
          </w:p>
        </w:tc>
        <w:tc>
          <w:tcPr>
            <w:tcW w:w="9780" w:type="dxa"/>
            <w:vAlign w:val="bottom"/>
          </w:tcPr>
          <w:p>
            <w:pPr>
              <w:ind w:left="320"/>
              <w:spacing w:after="0"/>
              <w:rPr>
                <w:sz w:val="20"/>
                <w:szCs w:val="20"/>
                <w:color w:val="auto"/>
              </w:rPr>
            </w:pPr>
            <w:r>
              <w:rPr>
                <w:rFonts w:ascii="Arial" w:cs="Arial" w:eastAsia="Arial" w:hAnsi="Arial"/>
                <w:sz w:val="18"/>
                <w:szCs w:val="18"/>
                <w:color w:val="auto"/>
              </w:rPr>
              <w:t>Rights and Remedies Cumulative</w:t>
            </w: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611.</w:t>
            </w:r>
          </w:p>
        </w:tc>
        <w:tc>
          <w:tcPr>
            <w:tcW w:w="9780" w:type="dxa"/>
            <w:vAlign w:val="bottom"/>
          </w:tcPr>
          <w:p>
            <w:pPr>
              <w:ind w:left="320"/>
              <w:spacing w:after="0"/>
              <w:rPr>
                <w:sz w:val="20"/>
                <w:szCs w:val="20"/>
                <w:color w:val="auto"/>
              </w:rPr>
            </w:pPr>
            <w:r>
              <w:rPr>
                <w:rFonts w:ascii="Arial" w:cs="Arial" w:eastAsia="Arial" w:hAnsi="Arial"/>
                <w:sz w:val="18"/>
                <w:szCs w:val="18"/>
                <w:color w:val="auto"/>
              </w:rPr>
              <w:t>Delay or Omission Not Waiver</w:t>
            </w: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612.</w:t>
            </w:r>
          </w:p>
        </w:tc>
        <w:tc>
          <w:tcPr>
            <w:tcW w:w="9780" w:type="dxa"/>
            <w:vAlign w:val="bottom"/>
          </w:tcPr>
          <w:p>
            <w:pPr>
              <w:ind w:left="320"/>
              <w:spacing w:after="0"/>
              <w:rPr>
                <w:sz w:val="20"/>
                <w:szCs w:val="20"/>
                <w:color w:val="auto"/>
              </w:rPr>
            </w:pPr>
            <w:r>
              <w:rPr>
                <w:rFonts w:ascii="Arial" w:cs="Arial" w:eastAsia="Arial" w:hAnsi="Arial"/>
                <w:sz w:val="18"/>
                <w:szCs w:val="18"/>
                <w:color w:val="auto"/>
              </w:rPr>
              <w:t>Control by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613.</w:t>
            </w:r>
          </w:p>
        </w:tc>
        <w:tc>
          <w:tcPr>
            <w:tcW w:w="9780" w:type="dxa"/>
            <w:vAlign w:val="bottom"/>
          </w:tcPr>
          <w:p>
            <w:pPr>
              <w:ind w:left="320"/>
              <w:spacing w:after="0"/>
              <w:rPr>
                <w:sz w:val="20"/>
                <w:szCs w:val="20"/>
                <w:color w:val="auto"/>
              </w:rPr>
            </w:pPr>
            <w:r>
              <w:rPr>
                <w:rFonts w:ascii="Arial" w:cs="Arial" w:eastAsia="Arial" w:hAnsi="Arial"/>
                <w:sz w:val="18"/>
                <w:szCs w:val="18"/>
                <w:color w:val="auto"/>
              </w:rPr>
              <w:t>Waiver of Existing Defaults</w:t>
            </w: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614.</w:t>
            </w:r>
          </w:p>
        </w:tc>
        <w:tc>
          <w:tcPr>
            <w:tcW w:w="9780" w:type="dxa"/>
            <w:vAlign w:val="bottom"/>
          </w:tcPr>
          <w:p>
            <w:pPr>
              <w:ind w:left="320"/>
              <w:spacing w:after="0"/>
              <w:rPr>
                <w:sz w:val="20"/>
                <w:szCs w:val="20"/>
                <w:color w:val="auto"/>
              </w:rPr>
            </w:pPr>
            <w:r>
              <w:rPr>
                <w:rFonts w:ascii="Arial" w:cs="Arial" w:eastAsia="Arial" w:hAnsi="Arial"/>
                <w:sz w:val="18"/>
                <w:szCs w:val="18"/>
                <w:color w:val="auto"/>
              </w:rPr>
              <w:t>Undertaking for Costs</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615.</w:t>
            </w:r>
          </w:p>
        </w:tc>
        <w:tc>
          <w:tcPr>
            <w:tcW w:w="9780" w:type="dxa"/>
            <w:vAlign w:val="bottom"/>
          </w:tcPr>
          <w:p>
            <w:pPr>
              <w:ind w:left="320"/>
              <w:spacing w:after="0"/>
              <w:rPr>
                <w:sz w:val="20"/>
                <w:szCs w:val="20"/>
                <w:color w:val="auto"/>
              </w:rPr>
            </w:pPr>
            <w:r>
              <w:rPr>
                <w:rFonts w:ascii="Arial" w:cs="Arial" w:eastAsia="Arial" w:hAnsi="Arial"/>
                <w:sz w:val="18"/>
                <w:szCs w:val="18"/>
                <w:color w:val="auto"/>
              </w:rPr>
              <w:t>Waiver of Usury, Stay or Extension Laws</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4"/>
                <w:szCs w:val="24"/>
                <w:color w:val="auto"/>
              </w:rPr>
            </w:pPr>
          </w:p>
        </w:tc>
        <w:tc>
          <w:tcPr>
            <w:tcW w:w="9780" w:type="dxa"/>
            <w:vAlign w:val="bottom"/>
          </w:tcPr>
          <w:p>
            <w:pPr>
              <w:jc w:val="center"/>
              <w:ind w:right="830"/>
              <w:spacing w:after="0"/>
              <w:rPr>
                <w:sz w:val="20"/>
                <w:szCs w:val="20"/>
                <w:color w:val="auto"/>
              </w:rPr>
            </w:pPr>
            <w:r>
              <w:rPr>
                <w:rFonts w:ascii="Arial" w:cs="Arial" w:eastAsia="Arial" w:hAnsi="Arial"/>
                <w:sz w:val="18"/>
                <w:szCs w:val="18"/>
                <w:color w:val="auto"/>
                <w:w w:val="97"/>
              </w:rPr>
              <w:t>ARTICLE SEVEN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830"/>
              <w:spacing w:after="0"/>
              <w:rPr>
                <w:sz w:val="20"/>
                <w:szCs w:val="20"/>
                <w:color w:val="auto"/>
              </w:rPr>
            </w:pPr>
            <w:r>
              <w:rPr>
                <w:rFonts w:ascii="Arial" w:cs="Arial" w:eastAsia="Arial" w:hAnsi="Arial"/>
                <w:sz w:val="18"/>
                <w:szCs w:val="18"/>
                <w:color w:val="auto"/>
                <w:w w:val="94"/>
              </w:rPr>
              <w:t>THE TRUSTEE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Section 701.</w:t>
            </w:r>
          </w:p>
        </w:tc>
        <w:tc>
          <w:tcPr>
            <w:tcW w:w="9780" w:type="dxa"/>
            <w:vAlign w:val="bottom"/>
          </w:tcPr>
          <w:p>
            <w:pPr>
              <w:ind w:left="320"/>
              <w:spacing w:after="0"/>
              <w:rPr>
                <w:sz w:val="20"/>
                <w:szCs w:val="20"/>
                <w:color w:val="auto"/>
              </w:rPr>
            </w:pPr>
            <w:r>
              <w:rPr>
                <w:rFonts w:ascii="Arial" w:cs="Arial" w:eastAsia="Arial" w:hAnsi="Arial"/>
                <w:sz w:val="18"/>
                <w:szCs w:val="18"/>
                <w:color w:val="auto"/>
              </w:rPr>
              <w:t>Certain Duties and Responsibilities</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702.</w:t>
            </w:r>
          </w:p>
        </w:tc>
        <w:tc>
          <w:tcPr>
            <w:tcW w:w="9780" w:type="dxa"/>
            <w:vAlign w:val="bottom"/>
          </w:tcPr>
          <w:p>
            <w:pPr>
              <w:ind w:left="320"/>
              <w:spacing w:after="0"/>
              <w:rPr>
                <w:sz w:val="20"/>
                <w:szCs w:val="20"/>
                <w:color w:val="auto"/>
              </w:rPr>
            </w:pPr>
            <w:r>
              <w:rPr>
                <w:rFonts w:ascii="Arial" w:cs="Arial" w:eastAsia="Arial" w:hAnsi="Arial"/>
                <w:sz w:val="18"/>
                <w:szCs w:val="18"/>
                <w:color w:val="auto"/>
              </w:rPr>
              <w:t>Notice of Defaults</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703.</w:t>
            </w:r>
          </w:p>
        </w:tc>
        <w:tc>
          <w:tcPr>
            <w:tcW w:w="9780" w:type="dxa"/>
            <w:vAlign w:val="bottom"/>
          </w:tcPr>
          <w:p>
            <w:pPr>
              <w:ind w:left="320"/>
              <w:spacing w:after="0"/>
              <w:rPr>
                <w:sz w:val="20"/>
                <w:szCs w:val="20"/>
                <w:color w:val="auto"/>
              </w:rPr>
            </w:pPr>
            <w:r>
              <w:rPr>
                <w:rFonts w:ascii="Arial" w:cs="Arial" w:eastAsia="Arial" w:hAnsi="Arial"/>
                <w:sz w:val="18"/>
                <w:szCs w:val="18"/>
                <w:color w:val="auto"/>
              </w:rPr>
              <w:t>Certain Rights of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704.</w:t>
            </w:r>
          </w:p>
        </w:tc>
        <w:tc>
          <w:tcPr>
            <w:tcW w:w="9780" w:type="dxa"/>
            <w:vAlign w:val="bottom"/>
          </w:tcPr>
          <w:p>
            <w:pPr>
              <w:ind w:left="320"/>
              <w:spacing w:after="0"/>
              <w:rPr>
                <w:sz w:val="20"/>
                <w:szCs w:val="20"/>
                <w:color w:val="auto"/>
              </w:rPr>
            </w:pPr>
            <w:r>
              <w:rPr>
                <w:rFonts w:ascii="Arial" w:cs="Arial" w:eastAsia="Arial" w:hAnsi="Arial"/>
                <w:sz w:val="18"/>
                <w:szCs w:val="18"/>
                <w:color w:val="auto"/>
              </w:rPr>
              <w:t>Not Responsible for Recitals or Issuance of Notes</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705.</w:t>
            </w:r>
          </w:p>
        </w:tc>
        <w:tc>
          <w:tcPr>
            <w:tcW w:w="9780" w:type="dxa"/>
            <w:vAlign w:val="bottom"/>
          </w:tcPr>
          <w:p>
            <w:pPr>
              <w:ind w:left="320"/>
              <w:spacing w:after="0"/>
              <w:rPr>
                <w:sz w:val="20"/>
                <w:szCs w:val="20"/>
                <w:color w:val="auto"/>
              </w:rPr>
            </w:pPr>
            <w:r>
              <w:rPr>
                <w:rFonts w:ascii="Arial" w:cs="Arial" w:eastAsia="Arial" w:hAnsi="Arial"/>
                <w:sz w:val="18"/>
                <w:szCs w:val="18"/>
                <w:color w:val="auto"/>
              </w:rPr>
              <w:t>May Hold Notes</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706.</w:t>
            </w:r>
          </w:p>
        </w:tc>
        <w:tc>
          <w:tcPr>
            <w:tcW w:w="9780" w:type="dxa"/>
            <w:vAlign w:val="bottom"/>
          </w:tcPr>
          <w:p>
            <w:pPr>
              <w:ind w:left="320"/>
              <w:spacing w:after="0"/>
              <w:rPr>
                <w:sz w:val="20"/>
                <w:szCs w:val="20"/>
                <w:color w:val="auto"/>
              </w:rPr>
            </w:pPr>
            <w:r>
              <w:rPr>
                <w:rFonts w:ascii="Arial" w:cs="Arial" w:eastAsia="Arial" w:hAnsi="Arial"/>
                <w:sz w:val="18"/>
                <w:szCs w:val="18"/>
                <w:color w:val="auto"/>
              </w:rPr>
              <w:t>Money Held in Trust</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707.</w:t>
            </w:r>
          </w:p>
        </w:tc>
        <w:tc>
          <w:tcPr>
            <w:tcW w:w="9780" w:type="dxa"/>
            <w:vAlign w:val="bottom"/>
          </w:tcPr>
          <w:p>
            <w:pPr>
              <w:ind w:left="320"/>
              <w:spacing w:after="0"/>
              <w:rPr>
                <w:sz w:val="20"/>
                <w:szCs w:val="20"/>
                <w:color w:val="auto"/>
              </w:rPr>
            </w:pPr>
            <w:r>
              <w:rPr>
                <w:rFonts w:ascii="Arial" w:cs="Arial" w:eastAsia="Arial" w:hAnsi="Arial"/>
                <w:sz w:val="18"/>
                <w:szCs w:val="18"/>
                <w:color w:val="auto"/>
              </w:rPr>
              <w:t>Compensation and Reimbursement</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708.</w:t>
            </w:r>
          </w:p>
        </w:tc>
        <w:tc>
          <w:tcPr>
            <w:tcW w:w="9780" w:type="dxa"/>
            <w:vAlign w:val="bottom"/>
          </w:tcPr>
          <w:p>
            <w:pPr>
              <w:ind w:left="320"/>
              <w:spacing w:after="0"/>
              <w:rPr>
                <w:sz w:val="20"/>
                <w:szCs w:val="20"/>
                <w:color w:val="auto"/>
              </w:rPr>
            </w:pPr>
            <w:r>
              <w:rPr>
                <w:rFonts w:ascii="Arial" w:cs="Arial" w:eastAsia="Arial" w:hAnsi="Arial"/>
                <w:sz w:val="18"/>
                <w:szCs w:val="18"/>
                <w:color w:val="auto"/>
              </w:rPr>
              <w:t>Conflicting Interests</w:t>
            </w: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709.</w:t>
            </w:r>
          </w:p>
        </w:tc>
        <w:tc>
          <w:tcPr>
            <w:tcW w:w="9780" w:type="dxa"/>
            <w:vAlign w:val="bottom"/>
          </w:tcPr>
          <w:p>
            <w:pPr>
              <w:ind w:left="320"/>
              <w:spacing w:after="0"/>
              <w:rPr>
                <w:sz w:val="20"/>
                <w:szCs w:val="20"/>
                <w:color w:val="auto"/>
              </w:rPr>
            </w:pPr>
            <w:r>
              <w:rPr>
                <w:rFonts w:ascii="Arial" w:cs="Arial" w:eastAsia="Arial" w:hAnsi="Arial"/>
                <w:sz w:val="18"/>
                <w:szCs w:val="18"/>
                <w:color w:val="auto"/>
              </w:rPr>
              <w:t>Corporate Trustee Required; Eligibility</w:t>
            </w: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710.</w:t>
            </w:r>
          </w:p>
        </w:tc>
        <w:tc>
          <w:tcPr>
            <w:tcW w:w="9780" w:type="dxa"/>
            <w:vAlign w:val="bottom"/>
          </w:tcPr>
          <w:p>
            <w:pPr>
              <w:ind w:left="320"/>
              <w:spacing w:after="0"/>
              <w:rPr>
                <w:sz w:val="20"/>
                <w:szCs w:val="20"/>
                <w:color w:val="auto"/>
              </w:rPr>
            </w:pPr>
            <w:r>
              <w:rPr>
                <w:rFonts w:ascii="Arial" w:cs="Arial" w:eastAsia="Arial" w:hAnsi="Arial"/>
                <w:sz w:val="18"/>
                <w:szCs w:val="18"/>
                <w:color w:val="auto"/>
              </w:rPr>
              <w:t>Resignation and Removal; Appointment of Successor</w:t>
            </w: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711.</w:t>
            </w:r>
          </w:p>
        </w:tc>
        <w:tc>
          <w:tcPr>
            <w:tcW w:w="9780" w:type="dxa"/>
            <w:vAlign w:val="bottom"/>
          </w:tcPr>
          <w:p>
            <w:pPr>
              <w:ind w:left="320"/>
              <w:spacing w:after="0"/>
              <w:rPr>
                <w:sz w:val="20"/>
                <w:szCs w:val="20"/>
                <w:color w:val="auto"/>
              </w:rPr>
            </w:pPr>
            <w:r>
              <w:rPr>
                <w:rFonts w:ascii="Arial" w:cs="Arial" w:eastAsia="Arial" w:hAnsi="Arial"/>
                <w:sz w:val="18"/>
                <w:szCs w:val="18"/>
                <w:color w:val="auto"/>
              </w:rPr>
              <w:t>Acceptance of Appointment by Successor</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712.</w:t>
            </w:r>
          </w:p>
        </w:tc>
        <w:tc>
          <w:tcPr>
            <w:tcW w:w="9780" w:type="dxa"/>
            <w:vAlign w:val="bottom"/>
          </w:tcPr>
          <w:p>
            <w:pPr>
              <w:ind w:left="320"/>
              <w:spacing w:after="0"/>
              <w:rPr>
                <w:sz w:val="20"/>
                <w:szCs w:val="20"/>
                <w:color w:val="auto"/>
              </w:rPr>
            </w:pPr>
            <w:r>
              <w:rPr>
                <w:rFonts w:ascii="Arial" w:cs="Arial" w:eastAsia="Arial" w:hAnsi="Arial"/>
                <w:sz w:val="18"/>
                <w:szCs w:val="18"/>
                <w:color w:val="auto"/>
              </w:rPr>
              <w:t>Merger, Conversion, Consolidation or Succession to Business</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713.</w:t>
            </w:r>
          </w:p>
        </w:tc>
        <w:tc>
          <w:tcPr>
            <w:tcW w:w="9780" w:type="dxa"/>
            <w:vAlign w:val="bottom"/>
          </w:tcPr>
          <w:p>
            <w:pPr>
              <w:ind w:left="320"/>
              <w:spacing w:after="0"/>
              <w:rPr>
                <w:sz w:val="20"/>
                <w:szCs w:val="20"/>
                <w:color w:val="auto"/>
              </w:rPr>
            </w:pPr>
            <w:r>
              <w:rPr>
                <w:rFonts w:ascii="Arial" w:cs="Arial" w:eastAsia="Arial" w:hAnsi="Arial"/>
                <w:sz w:val="18"/>
                <w:szCs w:val="18"/>
                <w:color w:val="auto"/>
              </w:rPr>
              <w:t>Preferential Collection of Claims Against Issuer</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714.</w:t>
            </w:r>
          </w:p>
        </w:tc>
        <w:tc>
          <w:tcPr>
            <w:tcW w:w="9780" w:type="dxa"/>
            <w:vAlign w:val="bottom"/>
          </w:tcPr>
          <w:p>
            <w:pPr>
              <w:ind w:left="320"/>
              <w:spacing w:after="0"/>
              <w:rPr>
                <w:sz w:val="20"/>
                <w:szCs w:val="20"/>
                <w:color w:val="auto"/>
              </w:rPr>
            </w:pPr>
            <w:r>
              <w:rPr>
                <w:rFonts w:ascii="Arial" w:cs="Arial" w:eastAsia="Arial" w:hAnsi="Arial"/>
                <w:sz w:val="18"/>
                <w:szCs w:val="18"/>
                <w:color w:val="auto"/>
              </w:rPr>
              <w:t>Appointment of Authenticating Agent</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333"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90"/>
        </w:trPr>
        <w:tc>
          <w:tcPr>
            <w:tcW w:w="1280" w:type="dxa"/>
            <w:vAlign w:val="bottom"/>
          </w:tcPr>
          <w:p>
            <w:pPr>
              <w:spacing w:after="0"/>
              <w:rPr>
                <w:sz w:val="24"/>
                <w:szCs w:val="24"/>
                <w:color w:val="auto"/>
              </w:rPr>
            </w:pPr>
          </w:p>
        </w:tc>
        <w:tc>
          <w:tcPr>
            <w:tcW w:w="9740" w:type="dxa"/>
            <w:vAlign w:val="bottom"/>
          </w:tcPr>
          <w:p>
            <w:pPr>
              <w:jc w:val="center"/>
              <w:ind w:right="870"/>
              <w:spacing w:after="0"/>
              <w:rPr>
                <w:sz w:val="20"/>
                <w:szCs w:val="20"/>
                <w:color w:val="auto"/>
              </w:rPr>
            </w:pPr>
            <w:r>
              <w:rPr>
                <w:rFonts w:ascii="Arial" w:cs="Arial" w:eastAsia="Arial" w:hAnsi="Arial"/>
                <w:sz w:val="18"/>
                <w:szCs w:val="18"/>
                <w:color w:val="auto"/>
                <w:w w:val="98"/>
              </w:rPr>
              <w:t>ARTICLE EIGHT</w:t>
            </w:r>
          </w:p>
        </w:tc>
        <w:tc>
          <w:tcPr>
            <w:tcW w:w="30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9740" w:type="dxa"/>
            <w:vAlign w:val="bottom"/>
          </w:tcPr>
          <w:p>
            <w:pPr>
              <w:jc w:val="center"/>
              <w:ind w:right="870"/>
              <w:spacing w:after="0"/>
              <w:rPr>
                <w:sz w:val="20"/>
                <w:szCs w:val="20"/>
                <w:color w:val="auto"/>
              </w:rPr>
            </w:pPr>
            <w:r>
              <w:rPr>
                <w:rFonts w:ascii="Arial" w:cs="Arial" w:eastAsia="Arial" w:hAnsi="Arial"/>
                <w:sz w:val="18"/>
                <w:szCs w:val="18"/>
                <w:color w:val="auto"/>
                <w:w w:val="95"/>
              </w:rPr>
              <w:t>HOLDERS’ LISTS AND REPORTS BY TRUSTEE AND ISSUER</w:t>
            </w:r>
          </w:p>
        </w:tc>
        <w:tc>
          <w:tcPr>
            <w:tcW w:w="300" w:type="dxa"/>
            <w:vAlign w:val="bottom"/>
          </w:tcPr>
          <w:p>
            <w:pPr>
              <w:spacing w:after="0"/>
              <w:rPr>
                <w:sz w:val="20"/>
                <w:szCs w:val="20"/>
                <w:color w:val="auto"/>
              </w:rPr>
            </w:pP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Section 801.</w:t>
            </w:r>
          </w:p>
        </w:tc>
        <w:tc>
          <w:tcPr>
            <w:tcW w:w="9740" w:type="dxa"/>
            <w:vAlign w:val="bottom"/>
          </w:tcPr>
          <w:p>
            <w:pPr>
              <w:ind w:left="280"/>
              <w:spacing w:after="0"/>
              <w:rPr>
                <w:sz w:val="20"/>
                <w:szCs w:val="20"/>
                <w:color w:val="auto"/>
              </w:rPr>
            </w:pPr>
            <w:r>
              <w:rPr>
                <w:rFonts w:ascii="Arial" w:cs="Arial" w:eastAsia="Arial" w:hAnsi="Arial"/>
                <w:sz w:val="18"/>
                <w:szCs w:val="18"/>
                <w:color w:val="auto"/>
              </w:rPr>
              <w:t>Issuer to Furnish Trustee Names and Addresses of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802.</w:t>
            </w:r>
          </w:p>
        </w:tc>
        <w:tc>
          <w:tcPr>
            <w:tcW w:w="9740" w:type="dxa"/>
            <w:vAlign w:val="bottom"/>
          </w:tcPr>
          <w:p>
            <w:pPr>
              <w:ind w:left="280"/>
              <w:spacing w:after="0"/>
              <w:rPr>
                <w:sz w:val="20"/>
                <w:szCs w:val="20"/>
                <w:color w:val="auto"/>
              </w:rPr>
            </w:pPr>
            <w:r>
              <w:rPr>
                <w:rFonts w:ascii="Arial" w:cs="Arial" w:eastAsia="Arial" w:hAnsi="Arial"/>
                <w:sz w:val="18"/>
                <w:szCs w:val="18"/>
                <w:color w:val="auto"/>
              </w:rPr>
              <w:t>Preservation of Information; Communications to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803.</w:t>
            </w:r>
          </w:p>
        </w:tc>
        <w:tc>
          <w:tcPr>
            <w:tcW w:w="9740" w:type="dxa"/>
            <w:vAlign w:val="bottom"/>
          </w:tcPr>
          <w:p>
            <w:pPr>
              <w:ind w:left="280"/>
              <w:spacing w:after="0"/>
              <w:rPr>
                <w:sz w:val="20"/>
                <w:szCs w:val="20"/>
                <w:color w:val="auto"/>
              </w:rPr>
            </w:pPr>
            <w:r>
              <w:rPr>
                <w:rFonts w:ascii="Arial" w:cs="Arial" w:eastAsia="Arial" w:hAnsi="Arial"/>
                <w:sz w:val="18"/>
                <w:szCs w:val="18"/>
                <w:color w:val="auto"/>
              </w:rPr>
              <w:t>Reports by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804.</w:t>
            </w:r>
          </w:p>
        </w:tc>
        <w:tc>
          <w:tcPr>
            <w:tcW w:w="9740" w:type="dxa"/>
            <w:vAlign w:val="bottom"/>
          </w:tcPr>
          <w:p>
            <w:pPr>
              <w:ind w:left="280"/>
              <w:spacing w:after="0"/>
              <w:rPr>
                <w:sz w:val="20"/>
                <w:szCs w:val="20"/>
                <w:color w:val="auto"/>
              </w:rPr>
            </w:pPr>
            <w:r>
              <w:rPr>
                <w:rFonts w:ascii="Arial" w:cs="Arial" w:eastAsia="Arial" w:hAnsi="Arial"/>
                <w:sz w:val="18"/>
                <w:szCs w:val="18"/>
                <w:color w:val="auto"/>
              </w:rPr>
              <w:t>Reports by Issuer</w:t>
            </w: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10"/>
        </w:trPr>
        <w:tc>
          <w:tcPr>
            <w:tcW w:w="1280" w:type="dxa"/>
            <w:vAlign w:val="bottom"/>
          </w:tcPr>
          <w:p>
            <w:pPr>
              <w:spacing w:after="0"/>
              <w:rPr>
                <w:sz w:val="24"/>
                <w:szCs w:val="24"/>
                <w:color w:val="auto"/>
              </w:rPr>
            </w:pPr>
          </w:p>
        </w:tc>
        <w:tc>
          <w:tcPr>
            <w:tcW w:w="9740" w:type="dxa"/>
            <w:vAlign w:val="bottom"/>
          </w:tcPr>
          <w:p>
            <w:pPr>
              <w:jc w:val="center"/>
              <w:ind w:right="870"/>
              <w:spacing w:after="0"/>
              <w:rPr>
                <w:sz w:val="20"/>
                <w:szCs w:val="20"/>
                <w:color w:val="auto"/>
              </w:rPr>
            </w:pPr>
            <w:r>
              <w:rPr>
                <w:rFonts w:ascii="Arial" w:cs="Arial" w:eastAsia="Arial" w:hAnsi="Arial"/>
                <w:sz w:val="18"/>
                <w:szCs w:val="18"/>
                <w:color w:val="auto"/>
                <w:w w:val="98"/>
              </w:rPr>
              <w:t>ARTICLE NINE</w:t>
            </w:r>
          </w:p>
        </w:tc>
        <w:tc>
          <w:tcPr>
            <w:tcW w:w="30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9740" w:type="dxa"/>
            <w:vAlign w:val="bottom"/>
          </w:tcPr>
          <w:p>
            <w:pPr>
              <w:jc w:val="center"/>
              <w:ind w:right="870"/>
              <w:spacing w:after="0"/>
              <w:rPr>
                <w:sz w:val="20"/>
                <w:szCs w:val="20"/>
                <w:color w:val="auto"/>
              </w:rPr>
            </w:pPr>
            <w:r>
              <w:rPr>
                <w:rFonts w:ascii="Arial" w:cs="Arial" w:eastAsia="Arial" w:hAnsi="Arial"/>
                <w:sz w:val="18"/>
                <w:szCs w:val="18"/>
                <w:color w:val="auto"/>
                <w:w w:val="95"/>
              </w:rPr>
              <w:t>CONSOLIDATION, MERGER, CONVEYANCE, TRANSFER OR LEASE</w:t>
            </w:r>
          </w:p>
        </w:tc>
        <w:tc>
          <w:tcPr>
            <w:tcW w:w="300" w:type="dxa"/>
            <w:vAlign w:val="bottom"/>
          </w:tcPr>
          <w:p>
            <w:pPr>
              <w:spacing w:after="0"/>
              <w:rPr>
                <w:sz w:val="20"/>
                <w:szCs w:val="20"/>
                <w:color w:val="auto"/>
              </w:rPr>
            </w:pP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Section 901.</w:t>
            </w:r>
          </w:p>
        </w:tc>
        <w:tc>
          <w:tcPr>
            <w:tcW w:w="9740" w:type="dxa"/>
            <w:vAlign w:val="bottom"/>
          </w:tcPr>
          <w:p>
            <w:pPr>
              <w:ind w:left="280"/>
              <w:spacing w:after="0"/>
              <w:rPr>
                <w:sz w:val="20"/>
                <w:szCs w:val="20"/>
                <w:color w:val="auto"/>
              </w:rPr>
            </w:pPr>
            <w:r>
              <w:rPr>
                <w:rFonts w:ascii="Arial" w:cs="Arial" w:eastAsia="Arial" w:hAnsi="Arial"/>
                <w:sz w:val="18"/>
                <w:szCs w:val="18"/>
                <w:color w:val="auto"/>
              </w:rPr>
              <w:t>Issuer and Guarantors May Consolidate, Etc., Only on Certain Terms</w:t>
            </w: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902.</w:t>
            </w:r>
          </w:p>
        </w:tc>
        <w:tc>
          <w:tcPr>
            <w:tcW w:w="9740" w:type="dxa"/>
            <w:vAlign w:val="bottom"/>
          </w:tcPr>
          <w:p>
            <w:pPr>
              <w:ind w:left="280"/>
              <w:spacing w:after="0"/>
              <w:rPr>
                <w:sz w:val="20"/>
                <w:szCs w:val="20"/>
                <w:color w:val="auto"/>
              </w:rPr>
            </w:pPr>
            <w:r>
              <w:rPr>
                <w:rFonts w:ascii="Arial" w:cs="Arial" w:eastAsia="Arial" w:hAnsi="Arial"/>
                <w:sz w:val="18"/>
                <w:szCs w:val="18"/>
                <w:color w:val="auto"/>
              </w:rPr>
              <w:t>Successor Substituted</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0"/>
        </w:trPr>
        <w:tc>
          <w:tcPr>
            <w:tcW w:w="1280" w:type="dxa"/>
            <w:vAlign w:val="bottom"/>
          </w:tcPr>
          <w:p>
            <w:pPr>
              <w:spacing w:after="0"/>
              <w:rPr>
                <w:sz w:val="24"/>
                <w:szCs w:val="24"/>
                <w:color w:val="auto"/>
              </w:rPr>
            </w:pPr>
          </w:p>
        </w:tc>
        <w:tc>
          <w:tcPr>
            <w:tcW w:w="9740" w:type="dxa"/>
            <w:vAlign w:val="bottom"/>
          </w:tcPr>
          <w:p>
            <w:pPr>
              <w:jc w:val="center"/>
              <w:ind w:right="870"/>
              <w:spacing w:after="0"/>
              <w:rPr>
                <w:sz w:val="20"/>
                <w:szCs w:val="20"/>
                <w:color w:val="auto"/>
              </w:rPr>
            </w:pPr>
            <w:r>
              <w:rPr>
                <w:rFonts w:ascii="Arial" w:cs="Arial" w:eastAsia="Arial" w:hAnsi="Arial"/>
                <w:sz w:val="18"/>
                <w:szCs w:val="18"/>
                <w:color w:val="auto"/>
                <w:w w:val="97"/>
              </w:rPr>
              <w:t>ARTICLE TEN</w:t>
            </w:r>
          </w:p>
        </w:tc>
        <w:tc>
          <w:tcPr>
            <w:tcW w:w="30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9740" w:type="dxa"/>
            <w:vAlign w:val="bottom"/>
          </w:tcPr>
          <w:p>
            <w:pPr>
              <w:jc w:val="center"/>
              <w:ind w:right="890"/>
              <w:spacing w:after="0"/>
              <w:rPr>
                <w:sz w:val="20"/>
                <w:szCs w:val="20"/>
                <w:color w:val="auto"/>
              </w:rPr>
            </w:pPr>
            <w:r>
              <w:rPr>
                <w:rFonts w:ascii="Arial" w:cs="Arial" w:eastAsia="Arial" w:hAnsi="Arial"/>
                <w:sz w:val="18"/>
                <w:szCs w:val="18"/>
                <w:color w:val="auto"/>
                <w:w w:val="96"/>
              </w:rPr>
              <w:t>SUPPLEMENTAL INDENTURES</w:t>
            </w:r>
          </w:p>
        </w:tc>
        <w:tc>
          <w:tcPr>
            <w:tcW w:w="300" w:type="dxa"/>
            <w:vAlign w:val="bottom"/>
          </w:tcPr>
          <w:p>
            <w:pPr>
              <w:spacing w:after="0"/>
              <w:rPr>
                <w:sz w:val="20"/>
                <w:szCs w:val="20"/>
                <w:color w:val="auto"/>
              </w:rPr>
            </w:pP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Section 1001.</w:t>
            </w:r>
          </w:p>
        </w:tc>
        <w:tc>
          <w:tcPr>
            <w:tcW w:w="9740" w:type="dxa"/>
            <w:vAlign w:val="bottom"/>
          </w:tcPr>
          <w:p>
            <w:pPr>
              <w:ind w:left="280"/>
              <w:spacing w:after="0"/>
              <w:rPr>
                <w:sz w:val="20"/>
                <w:szCs w:val="20"/>
                <w:color w:val="auto"/>
              </w:rPr>
            </w:pPr>
            <w:r>
              <w:rPr>
                <w:rFonts w:ascii="Arial" w:cs="Arial" w:eastAsia="Arial" w:hAnsi="Arial"/>
                <w:sz w:val="18"/>
                <w:szCs w:val="18"/>
                <w:color w:val="auto"/>
              </w:rPr>
              <w:t>Supplemental Indentures Without Consent of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1002.</w:t>
            </w:r>
          </w:p>
        </w:tc>
        <w:tc>
          <w:tcPr>
            <w:tcW w:w="9740" w:type="dxa"/>
            <w:vAlign w:val="bottom"/>
          </w:tcPr>
          <w:p>
            <w:pPr>
              <w:ind w:left="280"/>
              <w:spacing w:after="0"/>
              <w:rPr>
                <w:sz w:val="20"/>
                <w:szCs w:val="20"/>
                <w:color w:val="auto"/>
              </w:rPr>
            </w:pPr>
            <w:r>
              <w:rPr>
                <w:rFonts w:ascii="Arial" w:cs="Arial" w:eastAsia="Arial" w:hAnsi="Arial"/>
                <w:sz w:val="18"/>
                <w:szCs w:val="18"/>
                <w:color w:val="auto"/>
              </w:rPr>
              <w:t>Supplemental Indentures With Consent of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1003.</w:t>
            </w:r>
          </w:p>
        </w:tc>
        <w:tc>
          <w:tcPr>
            <w:tcW w:w="9740" w:type="dxa"/>
            <w:vAlign w:val="bottom"/>
          </w:tcPr>
          <w:p>
            <w:pPr>
              <w:ind w:left="280"/>
              <w:spacing w:after="0"/>
              <w:rPr>
                <w:sz w:val="20"/>
                <w:szCs w:val="20"/>
                <w:color w:val="auto"/>
              </w:rPr>
            </w:pPr>
            <w:r>
              <w:rPr>
                <w:rFonts w:ascii="Arial" w:cs="Arial" w:eastAsia="Arial" w:hAnsi="Arial"/>
                <w:sz w:val="18"/>
                <w:szCs w:val="18"/>
                <w:color w:val="auto"/>
              </w:rPr>
              <w:t>Execution of Supplemental Indentures</w:t>
            </w:r>
          </w:p>
        </w:tc>
        <w:tc>
          <w:tcPr>
            <w:tcW w:w="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1004.</w:t>
            </w:r>
          </w:p>
        </w:tc>
        <w:tc>
          <w:tcPr>
            <w:tcW w:w="9740" w:type="dxa"/>
            <w:vAlign w:val="bottom"/>
          </w:tcPr>
          <w:p>
            <w:pPr>
              <w:ind w:left="280"/>
              <w:spacing w:after="0"/>
              <w:rPr>
                <w:sz w:val="20"/>
                <w:szCs w:val="20"/>
                <w:color w:val="auto"/>
              </w:rPr>
            </w:pPr>
            <w:r>
              <w:rPr>
                <w:rFonts w:ascii="Arial" w:cs="Arial" w:eastAsia="Arial" w:hAnsi="Arial"/>
                <w:sz w:val="18"/>
                <w:szCs w:val="18"/>
                <w:color w:val="auto"/>
              </w:rPr>
              <w:t>Effect of Supplemental Indentures</w:t>
            </w:r>
          </w:p>
        </w:tc>
        <w:tc>
          <w:tcPr>
            <w:tcW w:w="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1005.</w:t>
            </w:r>
          </w:p>
        </w:tc>
        <w:tc>
          <w:tcPr>
            <w:tcW w:w="9740" w:type="dxa"/>
            <w:vAlign w:val="bottom"/>
          </w:tcPr>
          <w:p>
            <w:pPr>
              <w:ind w:left="280"/>
              <w:spacing w:after="0"/>
              <w:rPr>
                <w:sz w:val="20"/>
                <w:szCs w:val="20"/>
                <w:color w:val="auto"/>
              </w:rPr>
            </w:pPr>
            <w:r>
              <w:rPr>
                <w:rFonts w:ascii="Arial" w:cs="Arial" w:eastAsia="Arial" w:hAnsi="Arial"/>
                <w:sz w:val="18"/>
                <w:szCs w:val="18"/>
                <w:color w:val="auto"/>
              </w:rPr>
              <w:t>Conformity with Trust Indenture Act</w:t>
            </w:r>
          </w:p>
        </w:tc>
        <w:tc>
          <w:tcPr>
            <w:tcW w:w="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1006.</w:t>
            </w:r>
          </w:p>
        </w:tc>
        <w:tc>
          <w:tcPr>
            <w:tcW w:w="9740" w:type="dxa"/>
            <w:vAlign w:val="bottom"/>
          </w:tcPr>
          <w:p>
            <w:pPr>
              <w:ind w:left="280"/>
              <w:spacing w:after="0"/>
              <w:rPr>
                <w:sz w:val="20"/>
                <w:szCs w:val="20"/>
                <w:color w:val="auto"/>
              </w:rPr>
            </w:pPr>
            <w:r>
              <w:rPr>
                <w:rFonts w:ascii="Arial" w:cs="Arial" w:eastAsia="Arial" w:hAnsi="Arial"/>
                <w:sz w:val="18"/>
                <w:szCs w:val="18"/>
                <w:color w:val="auto"/>
              </w:rPr>
              <w:t>Reference in Notes to Supplemental Indentures</w:t>
            </w:r>
          </w:p>
        </w:tc>
        <w:tc>
          <w:tcPr>
            <w:tcW w:w="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0"/>
        </w:trPr>
        <w:tc>
          <w:tcPr>
            <w:tcW w:w="1280" w:type="dxa"/>
            <w:vAlign w:val="bottom"/>
          </w:tcPr>
          <w:p>
            <w:pPr>
              <w:spacing w:after="0"/>
              <w:rPr>
                <w:sz w:val="24"/>
                <w:szCs w:val="24"/>
                <w:color w:val="auto"/>
              </w:rPr>
            </w:pPr>
          </w:p>
        </w:tc>
        <w:tc>
          <w:tcPr>
            <w:tcW w:w="9740" w:type="dxa"/>
            <w:vAlign w:val="bottom"/>
          </w:tcPr>
          <w:p>
            <w:pPr>
              <w:jc w:val="center"/>
              <w:ind w:right="870"/>
              <w:spacing w:after="0"/>
              <w:rPr>
                <w:sz w:val="20"/>
                <w:szCs w:val="20"/>
                <w:color w:val="auto"/>
              </w:rPr>
            </w:pPr>
            <w:r>
              <w:rPr>
                <w:rFonts w:ascii="Arial" w:cs="Arial" w:eastAsia="Arial" w:hAnsi="Arial"/>
                <w:sz w:val="18"/>
                <w:szCs w:val="18"/>
                <w:color w:val="auto"/>
                <w:w w:val="98"/>
              </w:rPr>
              <w:t>ARTICLE ELEVEN</w:t>
            </w:r>
          </w:p>
        </w:tc>
        <w:tc>
          <w:tcPr>
            <w:tcW w:w="30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9740" w:type="dxa"/>
            <w:vAlign w:val="bottom"/>
          </w:tcPr>
          <w:p>
            <w:pPr>
              <w:jc w:val="center"/>
              <w:ind w:right="870"/>
              <w:spacing w:after="0"/>
              <w:rPr>
                <w:sz w:val="20"/>
                <w:szCs w:val="20"/>
                <w:color w:val="auto"/>
              </w:rPr>
            </w:pPr>
            <w:r>
              <w:rPr>
                <w:rFonts w:ascii="Arial" w:cs="Arial" w:eastAsia="Arial" w:hAnsi="Arial"/>
                <w:sz w:val="18"/>
                <w:szCs w:val="18"/>
                <w:color w:val="auto"/>
                <w:w w:val="98"/>
              </w:rPr>
              <w:t>COVENANTS</w:t>
            </w:r>
          </w:p>
        </w:tc>
        <w:tc>
          <w:tcPr>
            <w:tcW w:w="300" w:type="dxa"/>
            <w:vAlign w:val="bottom"/>
          </w:tcPr>
          <w:p>
            <w:pPr>
              <w:spacing w:after="0"/>
              <w:rPr>
                <w:sz w:val="20"/>
                <w:szCs w:val="20"/>
                <w:color w:val="auto"/>
              </w:rPr>
            </w:pP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Section 1101.</w:t>
            </w:r>
          </w:p>
        </w:tc>
        <w:tc>
          <w:tcPr>
            <w:tcW w:w="9740" w:type="dxa"/>
            <w:vAlign w:val="bottom"/>
          </w:tcPr>
          <w:p>
            <w:pPr>
              <w:ind w:left="280"/>
              <w:spacing w:after="0"/>
              <w:rPr>
                <w:sz w:val="20"/>
                <w:szCs w:val="20"/>
                <w:color w:val="auto"/>
              </w:rPr>
            </w:pPr>
            <w:r>
              <w:rPr>
                <w:rFonts w:ascii="Arial" w:cs="Arial" w:eastAsia="Arial" w:hAnsi="Arial"/>
                <w:sz w:val="18"/>
                <w:szCs w:val="18"/>
                <w:color w:val="auto"/>
              </w:rPr>
              <w:t>Payment of Principal, Premium, Interest and Additional Amounts</w:t>
            </w:r>
          </w:p>
        </w:tc>
        <w:tc>
          <w:tcPr>
            <w:tcW w:w="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1102.</w:t>
            </w:r>
          </w:p>
        </w:tc>
        <w:tc>
          <w:tcPr>
            <w:tcW w:w="9740" w:type="dxa"/>
            <w:vAlign w:val="bottom"/>
          </w:tcPr>
          <w:p>
            <w:pPr>
              <w:ind w:left="280"/>
              <w:spacing w:after="0"/>
              <w:rPr>
                <w:sz w:val="20"/>
                <w:szCs w:val="20"/>
                <w:color w:val="auto"/>
              </w:rPr>
            </w:pPr>
            <w:r>
              <w:rPr>
                <w:rFonts w:ascii="Arial" w:cs="Arial" w:eastAsia="Arial" w:hAnsi="Arial"/>
                <w:sz w:val="18"/>
                <w:szCs w:val="18"/>
                <w:color w:val="auto"/>
              </w:rPr>
              <w:t>Maintenance of Office or Agency</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1103.</w:t>
            </w:r>
          </w:p>
        </w:tc>
        <w:tc>
          <w:tcPr>
            <w:tcW w:w="9740" w:type="dxa"/>
            <w:vAlign w:val="bottom"/>
          </w:tcPr>
          <w:p>
            <w:pPr>
              <w:ind w:left="280"/>
              <w:spacing w:after="0"/>
              <w:rPr>
                <w:sz w:val="20"/>
                <w:szCs w:val="20"/>
                <w:color w:val="auto"/>
              </w:rPr>
            </w:pPr>
            <w:r>
              <w:rPr>
                <w:rFonts w:ascii="Arial" w:cs="Arial" w:eastAsia="Arial" w:hAnsi="Arial"/>
                <w:sz w:val="18"/>
                <w:szCs w:val="18"/>
                <w:color w:val="auto"/>
              </w:rPr>
              <w:t>Money for Notes Payments to Be Held in Trust</w:t>
            </w: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1104.</w:t>
            </w:r>
          </w:p>
        </w:tc>
        <w:tc>
          <w:tcPr>
            <w:tcW w:w="9740" w:type="dxa"/>
            <w:vAlign w:val="bottom"/>
          </w:tcPr>
          <w:p>
            <w:pPr>
              <w:ind w:left="280"/>
              <w:spacing w:after="0"/>
              <w:rPr>
                <w:sz w:val="20"/>
                <w:szCs w:val="20"/>
                <w:color w:val="auto"/>
              </w:rPr>
            </w:pPr>
            <w:r>
              <w:rPr>
                <w:rFonts w:ascii="Arial" w:cs="Arial" w:eastAsia="Arial" w:hAnsi="Arial"/>
                <w:sz w:val="18"/>
                <w:szCs w:val="18"/>
                <w:color w:val="auto"/>
              </w:rPr>
              <w:t>Annual Compliance Certificate; Statement by Officers as to Default</w:t>
            </w: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1105.</w:t>
            </w:r>
          </w:p>
        </w:tc>
        <w:tc>
          <w:tcPr>
            <w:tcW w:w="9740" w:type="dxa"/>
            <w:vAlign w:val="bottom"/>
          </w:tcPr>
          <w:p>
            <w:pPr>
              <w:ind w:left="280"/>
              <w:spacing w:after="0"/>
              <w:rPr>
                <w:sz w:val="20"/>
                <w:szCs w:val="20"/>
                <w:color w:val="auto"/>
              </w:rPr>
            </w:pPr>
            <w:r>
              <w:rPr>
                <w:rFonts w:ascii="Arial" w:cs="Arial" w:eastAsia="Arial" w:hAnsi="Arial"/>
                <w:sz w:val="18"/>
                <w:szCs w:val="18"/>
                <w:color w:val="auto"/>
              </w:rPr>
              <w:t>Existence</w:t>
            </w: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1106.</w:t>
            </w:r>
          </w:p>
        </w:tc>
        <w:tc>
          <w:tcPr>
            <w:tcW w:w="9740" w:type="dxa"/>
            <w:vAlign w:val="bottom"/>
          </w:tcPr>
          <w:p>
            <w:pPr>
              <w:ind w:left="280"/>
              <w:spacing w:after="0"/>
              <w:rPr>
                <w:sz w:val="20"/>
                <w:szCs w:val="20"/>
                <w:color w:val="auto"/>
              </w:rPr>
            </w:pPr>
            <w:r>
              <w:rPr>
                <w:rFonts w:ascii="Arial" w:cs="Arial" w:eastAsia="Arial" w:hAnsi="Arial"/>
                <w:sz w:val="18"/>
                <w:szCs w:val="18"/>
                <w:color w:val="auto"/>
              </w:rPr>
              <w:t>Limitation on Designation of Unrestricted Subsidiaries</w:t>
            </w: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1107.</w:t>
            </w:r>
          </w:p>
        </w:tc>
        <w:tc>
          <w:tcPr>
            <w:tcW w:w="9740" w:type="dxa"/>
            <w:vAlign w:val="bottom"/>
          </w:tcPr>
          <w:p>
            <w:pPr>
              <w:ind w:left="280"/>
              <w:spacing w:after="0"/>
              <w:rPr>
                <w:sz w:val="20"/>
                <w:szCs w:val="20"/>
                <w:color w:val="auto"/>
              </w:rPr>
            </w:pPr>
            <w:r>
              <w:rPr>
                <w:rFonts w:ascii="Arial" w:cs="Arial" w:eastAsia="Arial" w:hAnsi="Arial"/>
                <w:sz w:val="18"/>
                <w:szCs w:val="18"/>
                <w:color w:val="auto"/>
              </w:rPr>
              <w:t>Purchase of Notes Upon a Change of Control</w:t>
            </w:r>
          </w:p>
        </w:tc>
        <w:tc>
          <w:tcPr>
            <w:tcW w:w="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1108.</w:t>
            </w:r>
          </w:p>
        </w:tc>
        <w:tc>
          <w:tcPr>
            <w:tcW w:w="9740" w:type="dxa"/>
            <w:vAlign w:val="bottom"/>
          </w:tcPr>
          <w:p>
            <w:pPr>
              <w:ind w:left="280"/>
              <w:spacing w:after="0"/>
              <w:rPr>
                <w:sz w:val="20"/>
                <w:szCs w:val="20"/>
                <w:color w:val="auto"/>
              </w:rPr>
            </w:pPr>
            <w:r>
              <w:rPr>
                <w:rFonts w:ascii="Arial" w:cs="Arial" w:eastAsia="Arial" w:hAnsi="Arial"/>
                <w:sz w:val="18"/>
                <w:szCs w:val="18"/>
                <w:color w:val="auto"/>
              </w:rPr>
              <w:t>Limitation on Additional Indebtedness</w:t>
            </w:r>
          </w:p>
        </w:tc>
        <w:tc>
          <w:tcPr>
            <w:tcW w:w="3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1109.</w:t>
            </w:r>
          </w:p>
        </w:tc>
        <w:tc>
          <w:tcPr>
            <w:tcW w:w="9740" w:type="dxa"/>
            <w:vAlign w:val="bottom"/>
          </w:tcPr>
          <w:p>
            <w:pPr>
              <w:ind w:left="280"/>
              <w:spacing w:after="0"/>
              <w:rPr>
                <w:sz w:val="20"/>
                <w:szCs w:val="20"/>
                <w:color w:val="auto"/>
              </w:rPr>
            </w:pPr>
            <w:r>
              <w:rPr>
                <w:rFonts w:ascii="Arial" w:cs="Arial" w:eastAsia="Arial" w:hAnsi="Arial"/>
                <w:sz w:val="18"/>
                <w:szCs w:val="18"/>
                <w:color w:val="auto"/>
              </w:rPr>
              <w:t>Limitation on Restricted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1110.</w:t>
            </w:r>
          </w:p>
        </w:tc>
        <w:tc>
          <w:tcPr>
            <w:tcW w:w="9740" w:type="dxa"/>
            <w:vAlign w:val="bottom"/>
          </w:tcPr>
          <w:p>
            <w:pPr>
              <w:ind w:left="280"/>
              <w:spacing w:after="0"/>
              <w:rPr>
                <w:sz w:val="20"/>
                <w:szCs w:val="20"/>
                <w:color w:val="auto"/>
              </w:rPr>
            </w:pPr>
            <w:r>
              <w:rPr>
                <w:rFonts w:ascii="Arial" w:cs="Arial" w:eastAsia="Arial" w:hAnsi="Arial"/>
                <w:sz w:val="18"/>
                <w:szCs w:val="18"/>
                <w:color w:val="auto"/>
              </w:rPr>
              <w:t>Limitation on Liens</w:t>
            </w:r>
          </w:p>
        </w:tc>
        <w:tc>
          <w:tcPr>
            <w:tcW w:w="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1111.</w:t>
            </w:r>
          </w:p>
        </w:tc>
        <w:tc>
          <w:tcPr>
            <w:tcW w:w="9740" w:type="dxa"/>
            <w:vAlign w:val="bottom"/>
          </w:tcPr>
          <w:p>
            <w:pPr>
              <w:ind w:left="280"/>
              <w:spacing w:after="0"/>
              <w:rPr>
                <w:sz w:val="20"/>
                <w:szCs w:val="20"/>
                <w:color w:val="auto"/>
              </w:rPr>
            </w:pPr>
            <w:r>
              <w:rPr>
                <w:rFonts w:ascii="Arial" w:cs="Arial" w:eastAsia="Arial" w:hAnsi="Arial"/>
                <w:sz w:val="18"/>
                <w:szCs w:val="18"/>
                <w:color w:val="auto"/>
              </w:rPr>
              <w:t>Limitation on Dividends and Other Restrictions Affecting Restricted Subsidiaries</w:t>
            </w:r>
          </w:p>
        </w:tc>
        <w:tc>
          <w:tcPr>
            <w:tcW w:w="3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1112.</w:t>
            </w:r>
          </w:p>
        </w:tc>
        <w:tc>
          <w:tcPr>
            <w:tcW w:w="9740" w:type="dxa"/>
            <w:vAlign w:val="bottom"/>
          </w:tcPr>
          <w:p>
            <w:pPr>
              <w:ind w:left="280"/>
              <w:spacing w:after="0"/>
              <w:rPr>
                <w:sz w:val="20"/>
                <w:szCs w:val="20"/>
                <w:color w:val="auto"/>
              </w:rPr>
            </w:pPr>
            <w:r>
              <w:rPr>
                <w:rFonts w:ascii="Arial" w:cs="Arial" w:eastAsia="Arial" w:hAnsi="Arial"/>
                <w:sz w:val="18"/>
                <w:szCs w:val="18"/>
                <w:color w:val="auto"/>
              </w:rPr>
              <w:t>Limitation on Sale-Leaseback Transactions</w:t>
            </w:r>
          </w:p>
        </w:tc>
        <w:tc>
          <w:tcPr>
            <w:tcW w:w="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1113.</w:t>
            </w:r>
          </w:p>
        </w:tc>
        <w:tc>
          <w:tcPr>
            <w:tcW w:w="9740" w:type="dxa"/>
            <w:vAlign w:val="bottom"/>
          </w:tcPr>
          <w:p>
            <w:pPr>
              <w:ind w:left="280"/>
              <w:spacing w:after="0"/>
              <w:rPr>
                <w:sz w:val="20"/>
                <w:szCs w:val="20"/>
                <w:color w:val="auto"/>
              </w:rPr>
            </w:pPr>
            <w:r>
              <w:rPr>
                <w:rFonts w:ascii="Arial" w:cs="Arial" w:eastAsia="Arial" w:hAnsi="Arial"/>
                <w:sz w:val="18"/>
                <w:szCs w:val="18"/>
                <w:color w:val="auto"/>
              </w:rPr>
              <w:t>Limitation on Affiliate Transactions</w:t>
            </w:r>
          </w:p>
        </w:tc>
        <w:tc>
          <w:tcPr>
            <w:tcW w:w="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1114.</w:t>
            </w:r>
          </w:p>
        </w:tc>
        <w:tc>
          <w:tcPr>
            <w:tcW w:w="9740" w:type="dxa"/>
            <w:vAlign w:val="bottom"/>
          </w:tcPr>
          <w:p>
            <w:pPr>
              <w:ind w:left="280"/>
              <w:spacing w:after="0"/>
              <w:rPr>
                <w:sz w:val="20"/>
                <w:szCs w:val="20"/>
                <w:color w:val="auto"/>
              </w:rPr>
            </w:pPr>
            <w:r>
              <w:rPr>
                <w:rFonts w:ascii="Arial" w:cs="Arial" w:eastAsia="Arial" w:hAnsi="Arial"/>
                <w:sz w:val="18"/>
                <w:szCs w:val="18"/>
                <w:color w:val="auto"/>
              </w:rPr>
              <w:t>Additional Guarantees</w:t>
            </w:r>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1115.</w:t>
            </w:r>
          </w:p>
        </w:tc>
        <w:tc>
          <w:tcPr>
            <w:tcW w:w="9740" w:type="dxa"/>
            <w:vAlign w:val="bottom"/>
          </w:tcPr>
          <w:p>
            <w:pPr>
              <w:ind w:left="280"/>
              <w:spacing w:after="0"/>
              <w:rPr>
                <w:sz w:val="20"/>
                <w:szCs w:val="20"/>
                <w:color w:val="auto"/>
              </w:rPr>
            </w:pPr>
            <w:r>
              <w:rPr>
                <w:rFonts w:ascii="Arial" w:cs="Arial" w:eastAsia="Arial" w:hAnsi="Arial"/>
                <w:sz w:val="18"/>
                <w:szCs w:val="18"/>
                <w:color w:val="auto"/>
              </w:rPr>
              <w:t>Covenant Termination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10"/>
        </w:trPr>
        <w:tc>
          <w:tcPr>
            <w:tcW w:w="1280" w:type="dxa"/>
            <w:vAlign w:val="bottom"/>
          </w:tcPr>
          <w:p>
            <w:pPr>
              <w:spacing w:after="0"/>
              <w:rPr>
                <w:sz w:val="24"/>
                <w:szCs w:val="24"/>
                <w:color w:val="auto"/>
              </w:rPr>
            </w:pPr>
          </w:p>
        </w:tc>
        <w:tc>
          <w:tcPr>
            <w:tcW w:w="9740" w:type="dxa"/>
            <w:vAlign w:val="bottom"/>
          </w:tcPr>
          <w:p>
            <w:pPr>
              <w:jc w:val="center"/>
              <w:ind w:right="890"/>
              <w:spacing w:after="0"/>
              <w:rPr>
                <w:sz w:val="20"/>
                <w:szCs w:val="20"/>
                <w:color w:val="auto"/>
              </w:rPr>
            </w:pPr>
            <w:r>
              <w:rPr>
                <w:rFonts w:ascii="Arial" w:cs="Arial" w:eastAsia="Arial" w:hAnsi="Arial"/>
                <w:sz w:val="18"/>
                <w:szCs w:val="18"/>
                <w:color w:val="auto"/>
                <w:w w:val="98"/>
              </w:rPr>
              <w:t>ARTICLE TWELVE</w:t>
            </w:r>
          </w:p>
        </w:tc>
        <w:tc>
          <w:tcPr>
            <w:tcW w:w="30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9740" w:type="dxa"/>
            <w:vAlign w:val="bottom"/>
          </w:tcPr>
          <w:p>
            <w:pPr>
              <w:jc w:val="center"/>
              <w:ind w:right="870"/>
              <w:spacing w:after="0"/>
              <w:rPr>
                <w:sz w:val="20"/>
                <w:szCs w:val="20"/>
                <w:color w:val="auto"/>
              </w:rPr>
            </w:pPr>
            <w:r>
              <w:rPr>
                <w:rFonts w:ascii="Arial" w:cs="Arial" w:eastAsia="Arial" w:hAnsi="Arial"/>
                <w:sz w:val="18"/>
                <w:szCs w:val="18"/>
                <w:color w:val="auto"/>
                <w:w w:val="94"/>
              </w:rPr>
              <w:t>REDEMPTION OF NOTES</w:t>
            </w:r>
          </w:p>
        </w:tc>
        <w:tc>
          <w:tcPr>
            <w:tcW w:w="300" w:type="dxa"/>
            <w:vAlign w:val="bottom"/>
          </w:tcPr>
          <w:p>
            <w:pPr>
              <w:spacing w:after="0"/>
              <w:rPr>
                <w:sz w:val="20"/>
                <w:szCs w:val="20"/>
                <w:color w:val="auto"/>
              </w:rPr>
            </w:pP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Section 1201.</w:t>
            </w:r>
          </w:p>
        </w:tc>
        <w:tc>
          <w:tcPr>
            <w:tcW w:w="9740" w:type="dxa"/>
            <w:vAlign w:val="bottom"/>
          </w:tcPr>
          <w:p>
            <w:pPr>
              <w:ind w:left="280"/>
              <w:spacing w:after="0"/>
              <w:rPr>
                <w:sz w:val="20"/>
                <w:szCs w:val="20"/>
                <w:color w:val="auto"/>
              </w:rPr>
            </w:pPr>
            <w:r>
              <w:rPr>
                <w:rFonts w:ascii="Arial" w:cs="Arial" w:eastAsia="Arial" w:hAnsi="Arial"/>
                <w:sz w:val="18"/>
                <w:szCs w:val="18"/>
                <w:color w:val="auto"/>
              </w:rPr>
              <w:t>Applicability of Article</w:t>
            </w:r>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1202.</w:t>
            </w:r>
          </w:p>
        </w:tc>
        <w:tc>
          <w:tcPr>
            <w:tcW w:w="9740" w:type="dxa"/>
            <w:vAlign w:val="bottom"/>
          </w:tcPr>
          <w:p>
            <w:pPr>
              <w:ind w:left="280"/>
              <w:spacing w:after="0"/>
              <w:rPr>
                <w:sz w:val="20"/>
                <w:szCs w:val="20"/>
                <w:color w:val="auto"/>
              </w:rPr>
            </w:pPr>
            <w:r>
              <w:rPr>
                <w:rFonts w:ascii="Arial" w:cs="Arial" w:eastAsia="Arial" w:hAnsi="Arial"/>
                <w:sz w:val="18"/>
                <w:szCs w:val="18"/>
                <w:color w:val="auto"/>
              </w:rPr>
              <w:t>Election to Redeem; Notice to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1203.</w:t>
            </w:r>
          </w:p>
        </w:tc>
        <w:tc>
          <w:tcPr>
            <w:tcW w:w="9740" w:type="dxa"/>
            <w:vAlign w:val="bottom"/>
          </w:tcPr>
          <w:p>
            <w:pPr>
              <w:ind w:left="280"/>
              <w:spacing w:after="0"/>
              <w:rPr>
                <w:sz w:val="20"/>
                <w:szCs w:val="20"/>
                <w:color w:val="auto"/>
              </w:rPr>
            </w:pPr>
            <w:r>
              <w:rPr>
                <w:rFonts w:ascii="Arial" w:cs="Arial" w:eastAsia="Arial" w:hAnsi="Arial"/>
                <w:sz w:val="18"/>
                <w:szCs w:val="18"/>
                <w:color w:val="auto"/>
              </w:rPr>
              <w:t>Optional Redemption</w:t>
            </w:r>
          </w:p>
        </w:tc>
        <w:tc>
          <w:tcPr>
            <w:tcW w:w="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1204.</w:t>
            </w:r>
          </w:p>
        </w:tc>
        <w:tc>
          <w:tcPr>
            <w:tcW w:w="9740" w:type="dxa"/>
            <w:vAlign w:val="bottom"/>
          </w:tcPr>
          <w:p>
            <w:pPr>
              <w:ind w:left="280"/>
              <w:spacing w:after="0"/>
              <w:rPr>
                <w:sz w:val="20"/>
                <w:szCs w:val="20"/>
                <w:color w:val="auto"/>
              </w:rPr>
            </w:pPr>
            <w:r>
              <w:rPr>
                <w:rFonts w:ascii="Arial" w:cs="Arial" w:eastAsia="Arial" w:hAnsi="Arial"/>
                <w:sz w:val="18"/>
                <w:szCs w:val="18"/>
                <w:color w:val="auto"/>
              </w:rPr>
              <w:t>Selection by Trustee of Notes to Be Redeemed</w:t>
            </w:r>
          </w:p>
        </w:tc>
        <w:tc>
          <w:tcPr>
            <w:tcW w:w="30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333"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71"/>
        </w:trPr>
        <w:tc>
          <w:tcPr>
            <w:tcW w:w="1400" w:type="dxa"/>
            <w:vAlign w:val="bottom"/>
            <w:vMerge w:val="restart"/>
          </w:tcPr>
          <w:p>
            <w:pPr>
              <w:spacing w:after="0"/>
              <w:rPr>
                <w:sz w:val="20"/>
                <w:szCs w:val="20"/>
                <w:color w:val="auto"/>
              </w:rPr>
            </w:pPr>
            <w:r>
              <w:rPr>
                <w:rFonts w:ascii="Arial" w:cs="Arial" w:eastAsia="Arial" w:hAnsi="Arial"/>
                <w:sz w:val="18"/>
                <w:szCs w:val="18"/>
                <w:color w:val="auto"/>
              </w:rPr>
              <w:t>Section 1205.</w:t>
            </w:r>
          </w:p>
        </w:tc>
        <w:tc>
          <w:tcPr>
            <w:tcW w:w="9580" w:type="dxa"/>
            <w:vAlign w:val="bottom"/>
            <w:vMerge w:val="restart"/>
          </w:tcPr>
          <w:p>
            <w:pPr>
              <w:ind w:left="60"/>
              <w:spacing w:after="0"/>
              <w:rPr>
                <w:sz w:val="20"/>
                <w:szCs w:val="20"/>
                <w:color w:val="auto"/>
              </w:rPr>
            </w:pPr>
            <w:r>
              <w:rPr>
                <w:rFonts w:ascii="Arial" w:cs="Arial" w:eastAsia="Arial" w:hAnsi="Arial"/>
                <w:sz w:val="18"/>
                <w:szCs w:val="18"/>
                <w:color w:val="auto"/>
              </w:rPr>
              <w:t>Notice of Redemption</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400" w:type="dxa"/>
            <w:vAlign w:val="bottom"/>
            <w:vMerge w:val="continue"/>
          </w:tcPr>
          <w:p>
            <w:pPr>
              <w:spacing w:after="0"/>
              <w:rPr>
                <w:sz w:val="16"/>
                <w:szCs w:val="16"/>
                <w:color w:val="auto"/>
              </w:rPr>
            </w:pPr>
          </w:p>
        </w:tc>
        <w:tc>
          <w:tcPr>
            <w:tcW w:w="9580" w:type="dxa"/>
            <w:vAlign w:val="bottom"/>
            <w:vMerge w:val="continue"/>
          </w:tcPr>
          <w:p>
            <w:pPr>
              <w:spacing w:after="0"/>
              <w:rPr>
                <w:sz w:val="16"/>
                <w:szCs w:val="16"/>
                <w:color w:val="auto"/>
              </w:rPr>
            </w:pPr>
          </w:p>
        </w:tc>
        <w:tc>
          <w:tcPr>
            <w:tcW w:w="340" w:type="dxa"/>
            <w:vAlign w:val="bottom"/>
          </w:tcPr>
          <w:p>
            <w:pPr>
              <w:jc w:val="right"/>
              <w:spacing w:after="0" w:line="195"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1206.</w:t>
            </w:r>
          </w:p>
        </w:tc>
        <w:tc>
          <w:tcPr>
            <w:tcW w:w="9580" w:type="dxa"/>
            <w:vAlign w:val="bottom"/>
          </w:tcPr>
          <w:p>
            <w:pPr>
              <w:ind w:left="60"/>
              <w:spacing w:after="0"/>
              <w:rPr>
                <w:sz w:val="20"/>
                <w:szCs w:val="20"/>
                <w:color w:val="auto"/>
              </w:rPr>
            </w:pPr>
            <w:r>
              <w:rPr>
                <w:rFonts w:ascii="Arial" w:cs="Arial" w:eastAsia="Arial" w:hAnsi="Arial"/>
                <w:sz w:val="18"/>
                <w:szCs w:val="18"/>
                <w:color w:val="auto"/>
              </w:rPr>
              <w:t>Deposit of Redemption Price</w:t>
            </w:r>
          </w:p>
        </w:tc>
        <w:tc>
          <w:tcPr>
            <w:tcW w:w="3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1207.</w:t>
            </w:r>
          </w:p>
        </w:tc>
        <w:tc>
          <w:tcPr>
            <w:tcW w:w="9580" w:type="dxa"/>
            <w:vAlign w:val="bottom"/>
          </w:tcPr>
          <w:p>
            <w:pPr>
              <w:ind w:left="60"/>
              <w:spacing w:after="0"/>
              <w:rPr>
                <w:sz w:val="20"/>
                <w:szCs w:val="20"/>
                <w:color w:val="auto"/>
              </w:rPr>
            </w:pPr>
            <w:r>
              <w:rPr>
                <w:rFonts w:ascii="Arial" w:cs="Arial" w:eastAsia="Arial" w:hAnsi="Arial"/>
                <w:sz w:val="18"/>
                <w:szCs w:val="18"/>
                <w:color w:val="auto"/>
              </w:rPr>
              <w:t>Notes Payable on Redemption Date</w:t>
            </w:r>
          </w:p>
        </w:tc>
        <w:tc>
          <w:tcPr>
            <w:tcW w:w="3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1208.</w:t>
            </w:r>
          </w:p>
        </w:tc>
        <w:tc>
          <w:tcPr>
            <w:tcW w:w="9580" w:type="dxa"/>
            <w:vAlign w:val="bottom"/>
          </w:tcPr>
          <w:p>
            <w:pPr>
              <w:ind w:left="60"/>
              <w:spacing w:after="0"/>
              <w:rPr>
                <w:sz w:val="20"/>
                <w:szCs w:val="20"/>
                <w:color w:val="auto"/>
              </w:rPr>
            </w:pPr>
            <w:r>
              <w:rPr>
                <w:rFonts w:ascii="Arial" w:cs="Arial" w:eastAsia="Arial" w:hAnsi="Arial"/>
                <w:sz w:val="18"/>
                <w:szCs w:val="18"/>
                <w:color w:val="auto"/>
              </w:rPr>
              <w:t>Notes Redeemed in Part</w:t>
            </w:r>
          </w:p>
        </w:tc>
        <w:tc>
          <w:tcPr>
            <w:tcW w:w="3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10"/>
        </w:trPr>
        <w:tc>
          <w:tcPr>
            <w:tcW w:w="1400" w:type="dxa"/>
            <w:vAlign w:val="bottom"/>
          </w:tcPr>
          <w:p>
            <w:pPr>
              <w:spacing w:after="0"/>
              <w:rPr>
                <w:sz w:val="24"/>
                <w:szCs w:val="24"/>
                <w:color w:val="auto"/>
              </w:rPr>
            </w:pPr>
          </w:p>
        </w:tc>
        <w:tc>
          <w:tcPr>
            <w:tcW w:w="9580" w:type="dxa"/>
            <w:vAlign w:val="bottom"/>
          </w:tcPr>
          <w:p>
            <w:pPr>
              <w:jc w:val="center"/>
              <w:ind w:right="950"/>
              <w:spacing w:after="0"/>
              <w:rPr>
                <w:sz w:val="20"/>
                <w:szCs w:val="20"/>
                <w:color w:val="auto"/>
              </w:rPr>
            </w:pPr>
            <w:r>
              <w:rPr>
                <w:rFonts w:ascii="Arial" w:cs="Arial" w:eastAsia="Arial" w:hAnsi="Arial"/>
                <w:sz w:val="18"/>
                <w:szCs w:val="18"/>
                <w:color w:val="auto"/>
                <w:w w:val="97"/>
              </w:rPr>
              <w:t>ARTICLE THIRTEEN</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9580" w:type="dxa"/>
            <w:vAlign w:val="bottom"/>
          </w:tcPr>
          <w:p>
            <w:pPr>
              <w:jc w:val="center"/>
              <w:ind w:right="950"/>
              <w:spacing w:after="0"/>
              <w:rPr>
                <w:sz w:val="20"/>
                <w:szCs w:val="20"/>
                <w:color w:val="auto"/>
              </w:rPr>
            </w:pPr>
            <w:r>
              <w:rPr>
                <w:rFonts w:ascii="Arial" w:cs="Arial" w:eastAsia="Arial" w:hAnsi="Arial"/>
                <w:sz w:val="18"/>
                <w:szCs w:val="18"/>
                <w:color w:val="auto"/>
                <w:w w:val="96"/>
              </w:rPr>
              <w:t>SINKING FUND; OTHER ACQUISITIONS OF NOTES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Section 1301.</w:t>
            </w:r>
          </w:p>
        </w:tc>
        <w:tc>
          <w:tcPr>
            <w:tcW w:w="9580" w:type="dxa"/>
            <w:vAlign w:val="bottom"/>
          </w:tcPr>
          <w:p>
            <w:pPr>
              <w:ind w:left="60"/>
              <w:spacing w:after="0"/>
              <w:rPr>
                <w:sz w:val="20"/>
                <w:szCs w:val="20"/>
                <w:color w:val="auto"/>
              </w:rPr>
            </w:pPr>
            <w:r>
              <w:rPr>
                <w:rFonts w:ascii="Arial" w:cs="Arial" w:eastAsia="Arial" w:hAnsi="Arial"/>
                <w:sz w:val="18"/>
                <w:szCs w:val="18"/>
                <w:color w:val="auto"/>
              </w:rPr>
              <w:t>Mandatory Redemption, Etc.</w:t>
            </w:r>
          </w:p>
        </w:tc>
        <w:tc>
          <w:tcPr>
            <w:tcW w:w="3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10"/>
        </w:trPr>
        <w:tc>
          <w:tcPr>
            <w:tcW w:w="1400" w:type="dxa"/>
            <w:vAlign w:val="bottom"/>
          </w:tcPr>
          <w:p>
            <w:pPr>
              <w:spacing w:after="0"/>
              <w:rPr>
                <w:sz w:val="24"/>
                <w:szCs w:val="24"/>
                <w:color w:val="auto"/>
              </w:rPr>
            </w:pPr>
          </w:p>
        </w:tc>
        <w:tc>
          <w:tcPr>
            <w:tcW w:w="9580" w:type="dxa"/>
            <w:vAlign w:val="bottom"/>
          </w:tcPr>
          <w:p>
            <w:pPr>
              <w:jc w:val="center"/>
              <w:ind w:right="970"/>
              <w:spacing w:after="0"/>
              <w:rPr>
                <w:sz w:val="20"/>
                <w:szCs w:val="20"/>
                <w:color w:val="auto"/>
              </w:rPr>
            </w:pPr>
            <w:r>
              <w:rPr>
                <w:rFonts w:ascii="Arial" w:cs="Arial" w:eastAsia="Arial" w:hAnsi="Arial"/>
                <w:sz w:val="18"/>
                <w:szCs w:val="18"/>
                <w:color w:val="auto"/>
                <w:w w:val="95"/>
              </w:rPr>
              <w:t>ARTICLE FOURTEEN</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9580" w:type="dxa"/>
            <w:vAlign w:val="bottom"/>
          </w:tcPr>
          <w:p>
            <w:pPr>
              <w:jc w:val="center"/>
              <w:ind w:right="950"/>
              <w:spacing w:after="0"/>
              <w:rPr>
                <w:sz w:val="20"/>
                <w:szCs w:val="20"/>
                <w:color w:val="auto"/>
              </w:rPr>
            </w:pPr>
            <w:r>
              <w:rPr>
                <w:rFonts w:ascii="Arial" w:cs="Arial" w:eastAsia="Arial" w:hAnsi="Arial"/>
                <w:sz w:val="18"/>
                <w:szCs w:val="18"/>
                <w:color w:val="auto"/>
                <w:w w:val="97"/>
              </w:rPr>
              <w:t>LEGAL DEFEASANCE AND COVENANT DEFEASANCE</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Section 1401.</w:t>
            </w:r>
          </w:p>
        </w:tc>
        <w:tc>
          <w:tcPr>
            <w:tcW w:w="9580" w:type="dxa"/>
            <w:vAlign w:val="bottom"/>
          </w:tcPr>
          <w:p>
            <w:pPr>
              <w:ind w:left="60"/>
              <w:spacing w:after="0"/>
              <w:rPr>
                <w:sz w:val="20"/>
                <w:szCs w:val="20"/>
                <w:color w:val="auto"/>
              </w:rPr>
            </w:pPr>
            <w:r>
              <w:rPr>
                <w:rFonts w:ascii="Arial" w:cs="Arial" w:eastAsia="Arial" w:hAnsi="Arial"/>
                <w:sz w:val="18"/>
                <w:szCs w:val="18"/>
                <w:color w:val="auto"/>
              </w:rPr>
              <w:t>Issuer’s Option to Effect Legal Defeasance or Covenant Defeasance</w:t>
            </w:r>
          </w:p>
        </w:tc>
        <w:tc>
          <w:tcPr>
            <w:tcW w:w="3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1402.</w:t>
            </w:r>
          </w:p>
        </w:tc>
        <w:tc>
          <w:tcPr>
            <w:tcW w:w="9580" w:type="dxa"/>
            <w:vAlign w:val="bottom"/>
          </w:tcPr>
          <w:p>
            <w:pPr>
              <w:ind w:left="60"/>
              <w:spacing w:after="0"/>
              <w:rPr>
                <w:sz w:val="20"/>
                <w:szCs w:val="20"/>
                <w:color w:val="auto"/>
              </w:rPr>
            </w:pPr>
            <w:r>
              <w:rPr>
                <w:rFonts w:ascii="Arial" w:cs="Arial" w:eastAsia="Arial" w:hAnsi="Arial"/>
                <w:sz w:val="18"/>
                <w:szCs w:val="18"/>
                <w:color w:val="auto"/>
              </w:rPr>
              <w:t>Defeasance and Discharge</w:t>
            </w:r>
          </w:p>
        </w:tc>
        <w:tc>
          <w:tcPr>
            <w:tcW w:w="3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1403.</w:t>
            </w:r>
          </w:p>
        </w:tc>
        <w:tc>
          <w:tcPr>
            <w:tcW w:w="9580" w:type="dxa"/>
            <w:vAlign w:val="bottom"/>
          </w:tcPr>
          <w:p>
            <w:pPr>
              <w:ind w:left="60"/>
              <w:spacing w:after="0"/>
              <w:rPr>
                <w:sz w:val="20"/>
                <w:szCs w:val="20"/>
                <w:color w:val="auto"/>
              </w:rPr>
            </w:pPr>
            <w:r>
              <w:rPr>
                <w:rFonts w:ascii="Arial" w:cs="Arial" w:eastAsia="Arial" w:hAnsi="Arial"/>
                <w:sz w:val="18"/>
                <w:szCs w:val="18"/>
                <w:color w:val="auto"/>
              </w:rPr>
              <w:t>Covenant Defeasance</w:t>
            </w:r>
          </w:p>
        </w:tc>
        <w:tc>
          <w:tcPr>
            <w:tcW w:w="3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1404.</w:t>
            </w:r>
          </w:p>
        </w:tc>
        <w:tc>
          <w:tcPr>
            <w:tcW w:w="9580" w:type="dxa"/>
            <w:vAlign w:val="bottom"/>
          </w:tcPr>
          <w:p>
            <w:pPr>
              <w:ind w:left="60"/>
              <w:spacing w:after="0"/>
              <w:rPr>
                <w:sz w:val="20"/>
                <w:szCs w:val="20"/>
                <w:color w:val="auto"/>
              </w:rPr>
            </w:pPr>
            <w:r>
              <w:rPr>
                <w:rFonts w:ascii="Arial" w:cs="Arial" w:eastAsia="Arial" w:hAnsi="Arial"/>
                <w:sz w:val="18"/>
                <w:szCs w:val="18"/>
                <w:color w:val="auto"/>
              </w:rPr>
              <w:t>Conditions to Legal Defeasance or Covenant Defeasance</w:t>
            </w:r>
          </w:p>
        </w:tc>
        <w:tc>
          <w:tcPr>
            <w:tcW w:w="3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1405.</w:t>
            </w:r>
          </w:p>
        </w:tc>
        <w:tc>
          <w:tcPr>
            <w:tcW w:w="9580" w:type="dxa"/>
            <w:vAlign w:val="bottom"/>
          </w:tcPr>
          <w:p>
            <w:pPr>
              <w:ind w:left="60"/>
              <w:spacing w:after="0"/>
              <w:rPr>
                <w:sz w:val="20"/>
                <w:szCs w:val="20"/>
                <w:color w:val="auto"/>
              </w:rPr>
            </w:pPr>
            <w:r>
              <w:rPr>
                <w:rFonts w:ascii="Arial" w:cs="Arial" w:eastAsia="Arial" w:hAnsi="Arial"/>
                <w:sz w:val="18"/>
                <w:szCs w:val="18"/>
                <w:color w:val="auto"/>
              </w:rPr>
              <w:t>Deposited Money and U.S. Government Obligations to Be Held in Trust; Miscellaneous Provisions</w:t>
            </w:r>
          </w:p>
        </w:tc>
        <w:tc>
          <w:tcPr>
            <w:tcW w:w="3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1406.</w:t>
            </w:r>
          </w:p>
        </w:tc>
        <w:tc>
          <w:tcPr>
            <w:tcW w:w="9580" w:type="dxa"/>
            <w:vAlign w:val="bottom"/>
          </w:tcPr>
          <w:p>
            <w:pPr>
              <w:ind w:left="60"/>
              <w:spacing w:after="0"/>
              <w:rPr>
                <w:sz w:val="20"/>
                <w:szCs w:val="20"/>
                <w:color w:val="auto"/>
              </w:rPr>
            </w:pPr>
            <w:r>
              <w:rPr>
                <w:rFonts w:ascii="Arial" w:cs="Arial" w:eastAsia="Arial" w:hAnsi="Arial"/>
                <w:sz w:val="18"/>
                <w:szCs w:val="18"/>
                <w:color w:val="auto"/>
              </w:rPr>
              <w:t>Reinstatement</w:t>
            </w:r>
          </w:p>
        </w:tc>
        <w:tc>
          <w:tcPr>
            <w:tcW w:w="3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10"/>
        </w:trPr>
        <w:tc>
          <w:tcPr>
            <w:tcW w:w="1400" w:type="dxa"/>
            <w:vAlign w:val="bottom"/>
          </w:tcPr>
          <w:p>
            <w:pPr>
              <w:spacing w:after="0"/>
              <w:rPr>
                <w:sz w:val="24"/>
                <w:szCs w:val="24"/>
                <w:color w:val="auto"/>
              </w:rPr>
            </w:pPr>
          </w:p>
        </w:tc>
        <w:tc>
          <w:tcPr>
            <w:tcW w:w="9580" w:type="dxa"/>
            <w:vAlign w:val="bottom"/>
          </w:tcPr>
          <w:p>
            <w:pPr>
              <w:jc w:val="center"/>
              <w:ind w:right="970"/>
              <w:spacing w:after="0"/>
              <w:rPr>
                <w:sz w:val="20"/>
                <w:szCs w:val="20"/>
                <w:color w:val="auto"/>
              </w:rPr>
            </w:pPr>
            <w:r>
              <w:rPr>
                <w:rFonts w:ascii="Arial" w:cs="Arial" w:eastAsia="Arial" w:hAnsi="Arial"/>
                <w:sz w:val="18"/>
                <w:szCs w:val="18"/>
                <w:color w:val="auto"/>
                <w:w w:val="97"/>
              </w:rPr>
              <w:t>ARTICLE FIFTEEN</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9580" w:type="dxa"/>
            <w:vAlign w:val="bottom"/>
          </w:tcPr>
          <w:p>
            <w:pPr>
              <w:jc w:val="center"/>
              <w:ind w:right="970"/>
              <w:spacing w:after="0"/>
              <w:rPr>
                <w:sz w:val="20"/>
                <w:szCs w:val="20"/>
                <w:color w:val="auto"/>
              </w:rPr>
            </w:pPr>
            <w:r>
              <w:rPr>
                <w:rFonts w:ascii="Arial" w:cs="Arial" w:eastAsia="Arial" w:hAnsi="Arial"/>
                <w:sz w:val="18"/>
                <w:szCs w:val="18"/>
                <w:color w:val="auto"/>
                <w:w w:val="96"/>
              </w:rPr>
              <w:t>GUARANTEES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Section 1501.</w:t>
            </w:r>
          </w:p>
        </w:tc>
        <w:tc>
          <w:tcPr>
            <w:tcW w:w="9580" w:type="dxa"/>
            <w:vAlign w:val="bottom"/>
          </w:tcPr>
          <w:p>
            <w:pPr>
              <w:ind w:left="60"/>
              <w:spacing w:after="0"/>
              <w:rPr>
                <w:sz w:val="20"/>
                <w:szCs w:val="20"/>
                <w:color w:val="auto"/>
              </w:rPr>
            </w:pPr>
            <w:r>
              <w:rPr>
                <w:rFonts w:ascii="Arial" w:cs="Arial" w:eastAsia="Arial" w:hAnsi="Arial"/>
                <w:sz w:val="18"/>
                <w:szCs w:val="18"/>
                <w:color w:val="auto"/>
              </w:rPr>
              <w:t>Unconditional Guarantee</w:t>
            </w:r>
          </w:p>
        </w:tc>
        <w:tc>
          <w:tcPr>
            <w:tcW w:w="3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1502.</w:t>
            </w:r>
          </w:p>
        </w:tc>
        <w:tc>
          <w:tcPr>
            <w:tcW w:w="9580" w:type="dxa"/>
            <w:vAlign w:val="bottom"/>
          </w:tcPr>
          <w:p>
            <w:pPr>
              <w:ind w:left="60"/>
              <w:spacing w:after="0"/>
              <w:rPr>
                <w:sz w:val="20"/>
                <w:szCs w:val="20"/>
                <w:color w:val="auto"/>
              </w:rPr>
            </w:pPr>
            <w:r>
              <w:rPr>
                <w:rFonts w:ascii="Arial" w:cs="Arial" w:eastAsia="Arial" w:hAnsi="Arial"/>
                <w:sz w:val="18"/>
                <w:szCs w:val="18"/>
                <w:color w:val="auto"/>
              </w:rPr>
              <w:t>Execution and Delivery of Notation of Guarantee</w:t>
            </w:r>
          </w:p>
        </w:tc>
        <w:tc>
          <w:tcPr>
            <w:tcW w:w="34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1503.</w:t>
            </w:r>
          </w:p>
        </w:tc>
        <w:tc>
          <w:tcPr>
            <w:tcW w:w="9580" w:type="dxa"/>
            <w:vAlign w:val="bottom"/>
          </w:tcPr>
          <w:p>
            <w:pPr>
              <w:ind w:left="60"/>
              <w:spacing w:after="0"/>
              <w:rPr>
                <w:sz w:val="20"/>
                <w:szCs w:val="20"/>
                <w:color w:val="auto"/>
              </w:rPr>
            </w:pPr>
            <w:r>
              <w:rPr>
                <w:rFonts w:ascii="Arial" w:cs="Arial" w:eastAsia="Arial" w:hAnsi="Arial"/>
                <w:sz w:val="18"/>
                <w:szCs w:val="18"/>
                <w:color w:val="auto"/>
              </w:rPr>
              <w:t>Limitation on Guarantors’ Liability</w:t>
            </w:r>
          </w:p>
        </w:tc>
        <w:tc>
          <w:tcPr>
            <w:tcW w:w="34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1504.</w:t>
            </w:r>
          </w:p>
        </w:tc>
        <w:tc>
          <w:tcPr>
            <w:tcW w:w="9580" w:type="dxa"/>
            <w:vAlign w:val="bottom"/>
          </w:tcPr>
          <w:p>
            <w:pPr>
              <w:ind w:left="60"/>
              <w:spacing w:after="0"/>
              <w:rPr>
                <w:sz w:val="20"/>
                <w:szCs w:val="20"/>
                <w:color w:val="auto"/>
              </w:rPr>
            </w:pPr>
            <w:r>
              <w:rPr>
                <w:rFonts w:ascii="Arial" w:cs="Arial" w:eastAsia="Arial" w:hAnsi="Arial"/>
                <w:sz w:val="18"/>
                <w:szCs w:val="18"/>
                <w:color w:val="auto"/>
              </w:rPr>
              <w:t>Release of Guarantors from Guarantees</w:t>
            </w:r>
          </w:p>
        </w:tc>
        <w:tc>
          <w:tcPr>
            <w:tcW w:w="3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1505.</w:t>
            </w:r>
          </w:p>
        </w:tc>
        <w:tc>
          <w:tcPr>
            <w:tcW w:w="9580" w:type="dxa"/>
            <w:vAlign w:val="bottom"/>
          </w:tcPr>
          <w:p>
            <w:pPr>
              <w:ind w:left="60"/>
              <w:spacing w:after="0"/>
              <w:rPr>
                <w:sz w:val="20"/>
                <w:szCs w:val="20"/>
                <w:color w:val="auto"/>
              </w:rPr>
            </w:pPr>
            <w:r>
              <w:rPr>
                <w:rFonts w:ascii="Arial" w:cs="Arial" w:eastAsia="Arial" w:hAnsi="Arial"/>
                <w:sz w:val="18"/>
                <w:szCs w:val="18"/>
                <w:color w:val="auto"/>
              </w:rPr>
              <w:t>Guarantor Contribution</w:t>
            </w:r>
          </w:p>
        </w:tc>
        <w:tc>
          <w:tcPr>
            <w:tcW w:w="3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9580" w:type="dxa"/>
            <w:vAlign w:val="bottom"/>
          </w:tcPr>
          <w:p>
            <w:pPr>
              <w:jc w:val="center"/>
              <w:ind w:right="950"/>
              <w:spacing w:after="0"/>
              <w:rPr>
                <w:sz w:val="20"/>
                <w:szCs w:val="20"/>
                <w:color w:val="auto"/>
              </w:rPr>
            </w:pPr>
            <w:r>
              <w:rPr>
                <w:rFonts w:ascii="Arial" w:cs="Arial" w:eastAsia="Arial" w:hAnsi="Arial"/>
                <w:sz w:val="18"/>
                <w:szCs w:val="18"/>
                <w:b w:val="1"/>
                <w:bCs w:val="1"/>
                <w:color w:val="auto"/>
              </w:rPr>
              <w:t>ANNEX A</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w w:val="99"/>
              </w:rPr>
              <w:t>FORM OF NOTE</w:t>
            </w:r>
          </w:p>
        </w:tc>
        <w:tc>
          <w:tcPr>
            <w:tcW w:w="95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9580" w:type="dxa"/>
            <w:vAlign w:val="bottom"/>
          </w:tcPr>
          <w:p>
            <w:pPr>
              <w:jc w:val="center"/>
              <w:ind w:right="970"/>
              <w:spacing w:after="0"/>
              <w:rPr>
                <w:sz w:val="20"/>
                <w:szCs w:val="20"/>
                <w:color w:val="auto"/>
              </w:rPr>
            </w:pPr>
            <w:r>
              <w:rPr>
                <w:rFonts w:ascii="Arial" w:cs="Arial" w:eastAsia="Arial" w:hAnsi="Arial"/>
                <w:sz w:val="18"/>
                <w:szCs w:val="18"/>
                <w:b w:val="1"/>
                <w:bCs w:val="1"/>
                <w:color w:val="auto"/>
                <w:w w:val="98"/>
              </w:rPr>
              <w:t>ANNEX B</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80" w:type="dxa"/>
            <w:vAlign w:val="bottom"/>
            <w:gridSpan w:val="2"/>
          </w:tcPr>
          <w:p>
            <w:pPr>
              <w:spacing w:after="0"/>
              <w:rPr>
                <w:sz w:val="20"/>
                <w:szCs w:val="20"/>
                <w:color w:val="auto"/>
              </w:rPr>
            </w:pPr>
            <w:r>
              <w:rPr>
                <w:rFonts w:ascii="Arial" w:cs="Arial" w:eastAsia="Arial" w:hAnsi="Arial"/>
                <w:sz w:val="18"/>
                <w:szCs w:val="18"/>
                <w:color w:val="auto"/>
              </w:rPr>
              <w:t>NOTATION OF GUARANTEE</w:t>
            </w:r>
          </w:p>
        </w:tc>
        <w:tc>
          <w:tcPr>
            <w:tcW w:w="340" w:type="dxa"/>
            <w:vAlign w:val="bottom"/>
          </w:tcPr>
          <w:p>
            <w:pPr>
              <w:jc w:val="right"/>
              <w:spacing w:after="0"/>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9580" w:type="dxa"/>
            <w:vAlign w:val="bottom"/>
          </w:tcPr>
          <w:p>
            <w:pPr>
              <w:ind w:left="3640"/>
              <w:spacing w:after="0"/>
              <w:rPr>
                <w:sz w:val="20"/>
                <w:szCs w:val="20"/>
                <w:color w:val="auto"/>
              </w:rPr>
            </w:pPr>
            <w:r>
              <w:rPr>
                <w:rFonts w:ascii="Arial" w:cs="Arial" w:eastAsia="Arial" w:hAnsi="Arial"/>
                <w:sz w:val="18"/>
                <w:szCs w:val="18"/>
                <w:b w:val="1"/>
                <w:bCs w:val="1"/>
                <w:color w:val="auto"/>
              </w:rPr>
              <w:t>ANNEX C</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333"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4" w:lineRule="exact"/>
        <w:rPr>
          <w:sz w:val="20"/>
          <w:szCs w:val="20"/>
          <w:color w:val="auto"/>
        </w:rPr>
      </w:pPr>
    </w:p>
    <w:p>
      <w:pPr>
        <w:ind w:left="180" w:right="4780" w:hanging="176"/>
        <w:spacing w:after="0" w:line="308" w:lineRule="auto"/>
        <w:rPr>
          <w:sz w:val="20"/>
          <w:szCs w:val="20"/>
          <w:color w:val="auto"/>
        </w:rPr>
      </w:pPr>
      <w:r>
        <w:rPr>
          <w:rFonts w:ascii="Arial" w:cs="Arial" w:eastAsia="Arial" w:hAnsi="Arial"/>
          <w:sz w:val="17"/>
          <w:szCs w:val="17"/>
          <w:color w:val="auto"/>
        </w:rPr>
        <w:t>FORM OF CERTIFICATE TO BE DELIVERED IN CONNECTION WITH TRANSFERS TO INSTITUTIONAL ACCREDITED INVESTORS</w:t>
      </w:r>
    </w:p>
    <w:p>
      <w:pPr>
        <w:spacing w:after="0" w:line="4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ANNEX D</w:t>
      </w:r>
    </w:p>
    <w:p>
      <w:pPr>
        <w:spacing w:after="0" w:line="121" w:lineRule="exact"/>
        <w:rPr>
          <w:sz w:val="20"/>
          <w:szCs w:val="20"/>
          <w:color w:val="auto"/>
        </w:rPr>
      </w:pPr>
    </w:p>
    <w:p>
      <w:pPr>
        <w:ind w:left="180" w:right="4780" w:hanging="176"/>
        <w:spacing w:after="0" w:line="277" w:lineRule="auto"/>
        <w:rPr>
          <w:sz w:val="20"/>
          <w:szCs w:val="20"/>
          <w:color w:val="auto"/>
        </w:rPr>
      </w:pPr>
      <w:r>
        <w:rPr>
          <w:rFonts w:ascii="Arial" w:cs="Arial" w:eastAsia="Arial" w:hAnsi="Arial"/>
          <w:sz w:val="18"/>
          <w:szCs w:val="18"/>
          <w:color w:val="auto"/>
        </w:rPr>
        <w:t>FORM OF CERTIFICATE TO BE DELIVERED IN CONNECTION WITH TRANSFERS PURSUANT TO REGULATION S</w:t>
      </w:r>
    </w:p>
    <w:p>
      <w:pPr>
        <w:spacing w:after="0" w:line="72"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auto"/>
        </w:rPr>
        <w:t>ANNEX E</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D-1</w:t>
      </w:r>
    </w:p>
    <w:p>
      <w:pPr>
        <w:spacing w:after="0" w:line="452" w:lineRule="exact"/>
        <w:rPr>
          <w:sz w:val="20"/>
          <w:szCs w:val="20"/>
          <w:color w:val="auto"/>
        </w:rPr>
      </w:pPr>
    </w:p>
    <w:p>
      <w:pPr>
        <w:sectPr>
          <w:pgSz w:w="11900" w:h="16838" w:orient="portrait"/>
          <w:cols w:equalWidth="0" w:num="2">
            <w:col w:w="10320" w:space="720"/>
            <w:col w:w="280"/>
          </w:cols>
          <w:pgMar w:left="24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FORM OF SUPPLEMENTAL INDENTURE</w:t>
            </w:r>
          </w:p>
        </w:tc>
        <w:tc>
          <w:tcPr>
            <w:tcW w:w="4140" w:type="dxa"/>
            <w:vAlign w:val="bottom"/>
          </w:tcPr>
          <w:p>
            <w:pPr>
              <w:ind w:left="3880"/>
              <w:spacing w:after="0"/>
              <w:rPr>
                <w:sz w:val="20"/>
                <w:szCs w:val="20"/>
                <w:color w:val="auto"/>
              </w:rPr>
            </w:pPr>
            <w:r>
              <w:rPr>
                <w:rFonts w:ascii="Arial" w:cs="Arial" w:eastAsia="Arial" w:hAnsi="Arial"/>
                <w:sz w:val="18"/>
                <w:szCs w:val="18"/>
                <w:color w:val="auto"/>
                <w:w w:val="85"/>
              </w:rPr>
              <w:t>E-1</w:t>
            </w:r>
          </w:p>
        </w:tc>
      </w:tr>
    </w:tbl>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333" w:right="339" w:bottom="1440" w:gutter="0" w:footer="0" w:header="0"/>
          <w:type w:val="continuous"/>
        </w:sectPr>
      </w:pPr>
    </w:p>
    <w:bookmarkStart w:id="86" w:name="page87"/>
    <w:bookmarkEnd w:id="86"/>
    <w:p>
      <w:pPr>
        <w:ind w:right="440" w:firstLine="913"/>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ELEVENTH SUPPLEMENTAL INDENTURE </w:t>
      </w:r>
      <w:r>
        <w:rPr>
          <w:rFonts w:ascii="Arial" w:cs="Arial" w:eastAsia="Arial" w:hAnsi="Arial"/>
          <w:sz w:val="17"/>
          <w:szCs w:val="17"/>
          <w:color w:val="auto"/>
        </w:rPr>
        <w:t>(herein called this “Supplemental Indenture”), dated as of November 18, 2016, is</w:t>
      </w:r>
      <w:r>
        <w:rPr>
          <w:rFonts w:ascii="Arial" w:cs="Arial" w:eastAsia="Arial" w:hAnsi="Arial"/>
          <w:sz w:val="17"/>
          <w:szCs w:val="17"/>
          <w:b w:val="1"/>
          <w:bCs w:val="1"/>
          <w:color w:val="auto"/>
        </w:rPr>
        <w:t xml:space="preserve"> </w:t>
      </w:r>
      <w:r>
        <w:rPr>
          <w:rFonts w:ascii="Arial" w:cs="Arial" w:eastAsia="Arial" w:hAnsi="Arial"/>
          <w:sz w:val="17"/>
          <w:szCs w:val="17"/>
          <w:color w:val="auto"/>
        </w:rPr>
        <w:t>among Weatherford International Ltd., a Bermuda exempted company (herein called the “Issuer”), Weatherford International plc, an Irish public limited company (herein called the “Parent Guarantor”), Weatherford International, LLC, a Delaware limited liability company (herein called a “Subsidiary Guarantor”), and Deutsche Bank Trust Company Americas, as Trustee (herein called the “Trustee”).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 OF THE ISSUER AND THE GUARANTORS</w:t>
      </w:r>
    </w:p>
    <w:p>
      <w:pPr>
        <w:spacing w:after="0" w:line="229"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The Issuer and the Guarantors are parties to the Indenture, dated as of October 1, 2003 (herein called the “Original Indenture”), as amended and supplemented by (i) the Third Supplemental Indenture dated as of February 26, 2009, (ii) the Seventh Supplemental Indenture, dated as of March 31, 2013 and (iii) the Eighth Supplemental Indenture dated as of June 17, 2014 (the Original Indenture, as so amended and supplemented, being herein called the “Base Indenture”), which Base Indenture provides for the issuance from time to time of the Issuer’s unsecured senior debentures, notes or other evidences of indebtedness (herein called the “Securities”), to be issued in one or more series, and the guarantee by each of the Guarantors of the Securities.</w:t>
      </w:r>
    </w:p>
    <w:p>
      <w:pPr>
        <w:spacing w:after="0" w:line="158"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Section 9.1(8) of the Base Indenture provides, among other things, that the Issuer, Guarantors and the Trustee may enter into indentures supplemental to the Base Indenture, without the consent of any Holders of Securities, to establish the form or terms of any Security as permitted by Sections 2.1 and 3.1 of the Base Indenture.</w:t>
      </w:r>
    </w:p>
    <w:p>
      <w:pPr>
        <w:spacing w:after="0" w:line="18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Pursuant to Sections 2.1 and 3.1 of the Base Indenture, the Issuer desires to execute this Supplemental Indenture to establish the form and terms, and to provide for the issuance, of a series of Securities designated as the 9.875% Senior Notes due 2024 (herein called the “Initial Notes”), in an aggregate principal amount of $540,000,000.</w:t>
      </w:r>
    </w:p>
    <w:p>
      <w:pPr>
        <w:spacing w:after="0" w:line="181"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From time to time subsequent to the Issue Date, the Issuer may, if permitted to do so pursuant to the terms of the Indenture, the Initial Notes and the terms of its other indebtedness existing on such future date, issue additional Securities of the Initial Notes in accordance with this Supplemental Indenture (herein called the “Additional Notes”), pursuant to this Supplemental Indenture. No issuance of Additional Notes shall be made unless specifically authorized and approved by Board Resolution of the Issuer and the Parent Guarantor.</w:t>
      </w:r>
    </w:p>
    <w:p>
      <w:pPr>
        <w:spacing w:after="0" w:line="18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From time to time subsequent to the Issue Date, the Issuer may issue, in accordance with a Registration Rights Agreement, additional Securities in exchange for an equal principal amount of the Initial Notes or any Additional Notes (herein called the “Exchange Notes” and, together with the Initial Notes and any Additional Notes, herein called the “Notes”), pursuant to this Supplemental Indenture.</w:t>
      </w:r>
    </w:p>
    <w:p>
      <w:pPr>
        <w:spacing w:after="0" w:line="181"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All things necessary have been done to make the Notes, when executed by the Issuer and authenticated and delivered hereunder and duly issued by the Issuer, the valid obligations of the Issuer, and all things necessary have been done to make the guarantees thereof, when the Notes have been executed by the Issuer and authenticated and delivered hereunder and duly issued by the Issuer, the valid obligations of the Guarantors. All things necessary to make this Supplemental Indenture a valid agreement of each of the Issuer and the Guarantors, in accordance with its terms, have been done.</w:t>
      </w:r>
    </w:p>
    <w:p>
      <w:pPr>
        <w:sectPr>
          <w:pgSz w:w="11900" w:h="16838" w:orient="portrait"/>
          <w:cols w:equalWidth="0" w:num="1">
            <w:col w:w="11400"/>
          </w:cols>
          <w:pgMar w:left="240" w:top="270" w:right="259" w:bottom="1440" w:gutter="0" w:footer="0" w:header="0"/>
        </w:sectPr>
      </w:pPr>
    </w:p>
    <w:bookmarkStart w:id="87" w:name="page88"/>
    <w:bookmarkEnd w:id="87"/>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THIS SUPPLEMENTAL INDENTURE WITNESSETH:</w:t>
      </w:r>
    </w:p>
    <w:p>
      <w:pPr>
        <w:spacing w:after="0" w:line="121" w:lineRule="exact"/>
        <w:rPr>
          <w:sz w:val="20"/>
          <w:szCs w:val="20"/>
          <w:color w:val="auto"/>
        </w:rPr>
      </w:pPr>
    </w:p>
    <w:p>
      <w:pPr>
        <w:ind w:right="880" w:firstLine="913"/>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it is mutually agreed, for the equal and proportionate benefit of all Holders of the Notes of each series as follows: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ONE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APPLICATION OF SUPPLEMENTAL INDENTURE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CREATION OF THE INITIAL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Application of this Supplemental Indenture.</w:t>
      </w:r>
    </w:p>
    <w:p>
      <w:pPr>
        <w:spacing w:after="0" w:line="11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Notwithstanding any other provision of this Supplemental Indenture, the provisions of this Supplemental Indenture, including as provided in Section 102 below, are expressly and solely for the benefit of the Holders of the Notes and the Guarantees and shall not apply to any other series of Securities that may be currently outstanding or may be issued hereafter under the Base Indenture. The Notes constitute a series of Securities as provided in Section 3.1 of the Base Indenture. Unless otherwise expressly specified, references in this Supplemental Indenture to specific Article numbers or Section numbers refer to Articles and Sections contained in this Supplemental Indenture, and not the Base Indenture or any other document.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Effect of Supplemental Indenture.</w:t>
      </w:r>
    </w:p>
    <w:p>
      <w:pPr>
        <w:spacing w:after="0" w:line="117" w:lineRule="exact"/>
        <w:rPr>
          <w:sz w:val="20"/>
          <w:szCs w:val="20"/>
          <w:color w:val="auto"/>
        </w:rPr>
      </w:pPr>
    </w:p>
    <w:p>
      <w:pPr>
        <w:ind w:right="560" w:firstLine="913"/>
        <w:spacing w:after="0" w:line="264" w:lineRule="auto"/>
        <w:rPr>
          <w:sz w:val="20"/>
          <w:szCs w:val="20"/>
          <w:color w:val="auto"/>
        </w:rPr>
      </w:pPr>
      <w:r>
        <w:rPr>
          <w:rFonts w:ascii="Arial" w:cs="Arial" w:eastAsia="Arial" w:hAnsi="Arial"/>
          <w:sz w:val="18"/>
          <w:szCs w:val="18"/>
          <w:color w:val="auto"/>
        </w:rPr>
        <w:t>With respect to the Notes (and any Notation of Guarantee endorsed thereon) only, the Base Indenture shall be supplemented and amended pursuant to Section 9.1(8) thereof to establish the form and terms of the Notes (and any Notation of Guarantee endorsed thereon) as set forth in this Supplemental Indenture, including as follows:</w:t>
      </w:r>
    </w:p>
    <w:p>
      <w:pPr>
        <w:spacing w:after="0" w:line="87" w:lineRule="exact"/>
        <w:rPr>
          <w:sz w:val="20"/>
          <w:szCs w:val="20"/>
          <w:color w:val="auto"/>
        </w:rPr>
      </w:pPr>
    </w:p>
    <w:p>
      <w:pPr>
        <w:ind w:left="900" w:right="14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The definitions and other provisions of general application set forth in Section 1.1 of the Base Indenture are deleted and replaced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their entirety by the provisions of Section 201 of this Supplemental Indenture;</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Provisions of General Application and Security Forms</w:t>
      </w:r>
      <w:r>
        <w:rPr>
          <w:rFonts w:ascii="Arial" w:cs="Arial" w:eastAsia="Arial" w:hAnsi="Arial"/>
          <w:sz w:val="18"/>
          <w:szCs w:val="18"/>
          <w:color w:val="auto"/>
        </w:rPr>
        <w:t>. Sections 1.2 through 1.18 and Article Two of the Base Indenture are deleted and replaced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their entirety by the provisions of Articles Two and Three, respectively (other than Section 201 of this Supplemental Indenture) of this Supplemental Indenture;</w:t>
      </w:r>
    </w:p>
    <w:p>
      <w:pPr>
        <w:spacing w:after="0" w:line="86"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The Securities</w:t>
      </w:r>
      <w:r>
        <w:rPr>
          <w:rFonts w:ascii="Arial" w:cs="Arial" w:eastAsia="Arial" w:hAnsi="Arial"/>
          <w:sz w:val="18"/>
          <w:szCs w:val="18"/>
          <w:color w:val="auto"/>
        </w:rPr>
        <w:t>. The provisions of Article Three of the Base Indenture are deleted and replaced in their entirety by the provisions of Article Four</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Supplemental Indenture;</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r>
        <w:rPr>
          <w:rFonts w:ascii="Arial" w:cs="Arial" w:eastAsia="Arial" w:hAnsi="Arial"/>
          <w:sz w:val="18"/>
          <w:szCs w:val="18"/>
          <w:color w:val="auto"/>
        </w:rPr>
        <w:t>. The provisions of Article Four of the Base Indenture are deleted and replaced in their entirety by the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Five of this Supplemental Indenture;</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Remedies</w:t>
      </w:r>
      <w:r>
        <w:rPr>
          <w:rFonts w:ascii="Arial" w:cs="Arial" w:eastAsia="Arial" w:hAnsi="Arial"/>
          <w:sz w:val="18"/>
          <w:szCs w:val="18"/>
          <w:color w:val="auto"/>
        </w:rPr>
        <w:t>. The provisions of Article Five of the Base Indenture are deleted and replaced in their entirety by the provisions of Article Six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The Trustee</w:t>
      </w:r>
      <w:r>
        <w:rPr>
          <w:rFonts w:ascii="Arial" w:cs="Arial" w:eastAsia="Arial" w:hAnsi="Arial"/>
          <w:sz w:val="18"/>
          <w:szCs w:val="18"/>
          <w:color w:val="auto"/>
        </w:rPr>
        <w:t>. The provisions of Article Six of the Base Indenture are deleted and replaced in their entirety by the provisions of Article Seven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Supplemental Indenture;</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Holders’ Lists and Reports by Trustee and Issuer</w:t>
      </w:r>
      <w:r>
        <w:rPr>
          <w:rFonts w:ascii="Arial" w:cs="Arial" w:eastAsia="Arial" w:hAnsi="Arial"/>
          <w:sz w:val="18"/>
          <w:szCs w:val="18"/>
          <w:color w:val="auto"/>
        </w:rPr>
        <w:t>. The provisions of Article Seven of the Base Indenture are deleted and replaced in their entirety</w:t>
      </w:r>
      <w:r>
        <w:rPr>
          <w:rFonts w:ascii="Arial" w:cs="Arial" w:eastAsia="Arial" w:hAnsi="Arial"/>
          <w:sz w:val="18"/>
          <w:szCs w:val="18"/>
          <w:i w:val="1"/>
          <w:iCs w:val="1"/>
          <w:color w:val="auto"/>
        </w:rPr>
        <w:t xml:space="preserve"> </w:t>
      </w:r>
      <w:r>
        <w:rPr>
          <w:rFonts w:ascii="Arial" w:cs="Arial" w:eastAsia="Arial" w:hAnsi="Arial"/>
          <w:sz w:val="18"/>
          <w:szCs w:val="18"/>
          <w:color w:val="auto"/>
        </w:rPr>
        <w:t>by the provisions of Article Eight of this Supplemental Indenture;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88" w:name="page89"/>
    <w:bookmarkEnd w:id="88"/>
    <w:p>
      <w:pPr>
        <w:ind w:left="900" w:right="6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Consolidation, Amalgamation, Merger and Sale</w:t>
      </w:r>
      <w:r>
        <w:rPr>
          <w:rFonts w:ascii="Arial" w:cs="Arial" w:eastAsia="Arial" w:hAnsi="Arial"/>
          <w:sz w:val="18"/>
          <w:szCs w:val="18"/>
          <w:color w:val="auto"/>
        </w:rPr>
        <w:t>. The provisions of Article Eight of the Base Indenture are deleted and replaced in their entirety</w:t>
      </w:r>
      <w:r>
        <w:rPr>
          <w:rFonts w:ascii="Arial" w:cs="Arial" w:eastAsia="Arial" w:hAnsi="Arial"/>
          <w:sz w:val="18"/>
          <w:szCs w:val="18"/>
          <w:i w:val="1"/>
          <w:iCs w:val="1"/>
          <w:color w:val="auto"/>
        </w:rPr>
        <w:t xml:space="preserve"> </w:t>
      </w:r>
      <w:r>
        <w:rPr>
          <w:rFonts w:ascii="Arial" w:cs="Arial" w:eastAsia="Arial" w:hAnsi="Arial"/>
          <w:sz w:val="18"/>
          <w:szCs w:val="18"/>
          <w:color w:val="auto"/>
        </w:rPr>
        <w:t>by the provisions of Article Nine of this Supplemental Indenture;</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Supplemental Indentures</w:t>
      </w:r>
      <w:r>
        <w:rPr>
          <w:rFonts w:ascii="Arial" w:cs="Arial" w:eastAsia="Arial" w:hAnsi="Arial"/>
          <w:sz w:val="18"/>
          <w:szCs w:val="18"/>
          <w:color w:val="auto"/>
        </w:rPr>
        <w:t>. The provisions of Article Nine of the Base Indenture are deleted and replaced in their entirety by the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Ten of this Supplemental Indenture;</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Covenants</w:t>
      </w:r>
      <w:r>
        <w:rPr>
          <w:rFonts w:ascii="Arial" w:cs="Arial" w:eastAsia="Arial" w:hAnsi="Arial"/>
          <w:sz w:val="18"/>
          <w:szCs w:val="18"/>
          <w:color w:val="auto"/>
        </w:rPr>
        <w:t>. The provisions of Article Ten of the Base Indenture are deleted and replaced in their entirety by the provisions of Article Eleven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Supplemental Indenture;</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Redemption of Securities</w:t>
      </w:r>
      <w:r>
        <w:rPr>
          <w:rFonts w:ascii="Arial" w:cs="Arial" w:eastAsia="Arial" w:hAnsi="Arial"/>
          <w:sz w:val="18"/>
          <w:szCs w:val="18"/>
          <w:color w:val="auto"/>
        </w:rPr>
        <w:t>. The provisions of Article Eleven of the Base Indenture are deleted and replaced in their entirety by the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Twelve of this Supplemental Indenture;</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Sinking Funds</w:t>
      </w:r>
      <w:r>
        <w:rPr>
          <w:rFonts w:ascii="Arial" w:cs="Arial" w:eastAsia="Arial" w:hAnsi="Arial"/>
          <w:sz w:val="18"/>
          <w:szCs w:val="18"/>
          <w:color w:val="auto"/>
        </w:rPr>
        <w:t>. The provisions of Article Twelve of the Base Indenture are deleted and replaced in their entirety by the provisions of Article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of this Supplemental Indenture.</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Defeasance and Covenant Defeasance</w:t>
      </w:r>
      <w:r>
        <w:rPr>
          <w:rFonts w:ascii="Arial" w:cs="Arial" w:eastAsia="Arial" w:hAnsi="Arial"/>
          <w:sz w:val="18"/>
          <w:szCs w:val="18"/>
          <w:color w:val="auto"/>
        </w:rPr>
        <w:t>. The provisions of Article Thirteen of the Base Indenture are deleted and replaced in their entirety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Article Fourteen of this Supplemental Indenture;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Guarantee of Securities</w:t>
      </w:r>
      <w:r>
        <w:rPr>
          <w:rFonts w:ascii="Arial" w:cs="Arial" w:eastAsia="Arial" w:hAnsi="Arial"/>
          <w:sz w:val="18"/>
          <w:szCs w:val="18"/>
          <w:color w:val="auto"/>
        </w:rPr>
        <w:t>. The provisions of Article Fourteen of the Base Indenture are deleted and replaced in their entirety by the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Fifteen of this Supplemental Indenture.</w:t>
      </w:r>
    </w:p>
    <w:p>
      <w:pPr>
        <w:spacing w:after="0" w:line="170"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To the extent that the provisions of this Supplemental Indenture (including those referred to in clauses (a) through (n) above) conflict with any provision of the Base Indenture, the provisions of this Supplemental Indenture shall govern and be controlling, but solely with respect to the Notes (and any Notation of Guarantee endorsed thereon).</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TWO</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DEFINITIONS AND OTHER PROVISIONS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GENERAL APPLICATION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all purposes of this Supplemental Indenture, except as otherwise expressly provided or unless the context otherwise requires:</w:t>
      </w:r>
    </w:p>
    <w:p>
      <w:pPr>
        <w:spacing w:after="0" w:line="117" w:lineRule="exact"/>
        <w:rPr>
          <w:sz w:val="20"/>
          <w:szCs w:val="20"/>
          <w:color w:val="auto"/>
        </w:rPr>
      </w:pPr>
    </w:p>
    <w:p>
      <w:pPr>
        <w:ind w:left="1600" w:hanging="259"/>
        <w:spacing w:after="0"/>
        <w:tabs>
          <w:tab w:leader="none" w:pos="16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terms defined in this Article have the meanings assigned to them in this Article and include the plural as well as the singular;</w:t>
      </w:r>
    </w:p>
    <w:p>
      <w:pPr>
        <w:spacing w:after="0" w:line="128" w:lineRule="exact"/>
        <w:rPr>
          <w:rFonts w:ascii="Arial" w:cs="Arial" w:eastAsia="Arial" w:hAnsi="Arial"/>
          <w:sz w:val="17"/>
          <w:szCs w:val="17"/>
          <w:color w:val="auto"/>
        </w:rPr>
      </w:pPr>
    </w:p>
    <w:p>
      <w:pPr>
        <w:ind w:left="920" w:firstLine="421"/>
        <w:spacing w:after="0" w:line="277" w:lineRule="auto"/>
        <w:tabs>
          <w:tab w:leader="none" w:pos="15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in the Exchange Act or in the Securities Act, either directly or by reference therein, have the meanings assigned to them therein;</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117" w:lineRule="exact"/>
        <w:rPr>
          <w:rFonts w:ascii="Arial" w:cs="Arial" w:eastAsia="Arial" w:hAnsi="Arial"/>
          <w:sz w:val="18"/>
          <w:szCs w:val="18"/>
          <w:color w:val="auto"/>
        </w:rPr>
      </w:pPr>
    </w:p>
    <w:p>
      <w:pPr>
        <w:ind w:left="920" w:right="40" w:firstLine="421"/>
        <w:spacing w:after="0" w:line="277" w:lineRule="auto"/>
        <w:tabs>
          <w:tab w:leader="none" w:pos="15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Supplemental Indenture;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4" w:right="359" w:bottom="1440" w:gutter="0" w:footer="0" w:header="0"/>
        </w:sectPr>
      </w:pPr>
    </w:p>
    <w:bookmarkStart w:id="89" w:name="page90"/>
    <w:bookmarkEnd w:id="89"/>
    <w:p>
      <w:pPr>
        <w:ind w:left="1600" w:hanging="259"/>
        <w:spacing w:after="0"/>
        <w:tabs>
          <w:tab w:leader="none" w:pos="1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the context otherwise requires, the word “will” shall be interpreted to express a command;</w:t>
      </w:r>
    </w:p>
    <w:p>
      <w:pPr>
        <w:spacing w:after="0" w:line="117" w:lineRule="exact"/>
        <w:rPr>
          <w:rFonts w:ascii="Arial" w:cs="Arial" w:eastAsia="Arial" w:hAnsi="Arial"/>
          <w:sz w:val="18"/>
          <w:szCs w:val="18"/>
          <w:color w:val="auto"/>
        </w:rPr>
      </w:pPr>
    </w:p>
    <w:p>
      <w:pPr>
        <w:ind w:left="920" w:right="240" w:firstLine="421"/>
        <w:spacing w:after="0" w:line="277" w:lineRule="auto"/>
        <w:tabs>
          <w:tab w:leader="none" w:pos="15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Trust Indenture Act or Exchange Act will be deemed to include substitute, replacement of successor sections or rules that come into force from time to time; and</w:t>
      </w:r>
    </w:p>
    <w:p>
      <w:pPr>
        <w:spacing w:after="0" w:line="62" w:lineRule="exact"/>
        <w:rPr>
          <w:rFonts w:ascii="Arial" w:cs="Arial" w:eastAsia="Arial" w:hAnsi="Arial"/>
          <w:sz w:val="18"/>
          <w:szCs w:val="18"/>
          <w:color w:val="auto"/>
        </w:rPr>
      </w:pPr>
    </w:p>
    <w:p>
      <w:pPr>
        <w:ind w:left="920" w:firstLine="421"/>
        <w:spacing w:after="0" w:line="277" w:lineRule="auto"/>
        <w:tabs>
          <w:tab w:leader="none" w:pos="15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Supplemental Indenture as a whole and not to any particular Article, Section or other subdivision.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acceleration declaration</w:t>
      </w:r>
      <w:r>
        <w:rPr>
          <w:rFonts w:ascii="Arial" w:cs="Arial" w:eastAsia="Arial" w:hAnsi="Arial"/>
          <w:sz w:val="18"/>
          <w:szCs w:val="18"/>
          <w:color w:val="auto"/>
        </w:rPr>
        <w:t>” has the meaning specified in Section 602.</w:t>
      </w:r>
    </w:p>
    <w:p>
      <w:pPr>
        <w:spacing w:after="0" w:line="225"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Acquired Indebtedness</w:t>
      </w:r>
      <w:r>
        <w:rPr>
          <w:rFonts w:ascii="Arial" w:cs="Arial" w:eastAsia="Arial" w:hAnsi="Arial"/>
          <w:sz w:val="17"/>
          <w:szCs w:val="17"/>
          <w:color w:val="auto"/>
        </w:rPr>
        <w:t>” means (1) with respect to any Person that becomes a Restricted Subsidiary after the Issue Date, Indebtedness of such Person and its Subsidiaries (including, for the avoidance of doubt, Indebtedness incurred in the ordinary course of such Person’s business to acquire assets used or useful in its business) existing at the time such Person becomes a Restricted Subsidiary and (2) with respect to the Parent Guarantor or any Restricted Subsidiary, any Indebtedness of a Person (including, for the avoidance of doubt, Indebtedness incurred in the ordinary course of such Person’s business to acquire assets used or useful in its business), other than the Parent Guarantor or a Restricted Subsidiary, existing at the time such Person is merged with or into the Parent Guarantor or a Restricted Subsidiary, or Indebtedness expressly assumed by the Parent Guarantor or any Restricted Subsidiary in connection with the acquisition of an asset or assets from another Person.</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w:t>
      </w:r>
      <w:r>
        <w:rPr>
          <w:rFonts w:ascii="Arial" w:cs="Arial" w:eastAsia="Arial" w:hAnsi="Arial"/>
          <w:sz w:val="18"/>
          <w:szCs w:val="18"/>
          <w:color w:val="auto"/>
        </w:rPr>
        <w:t>” when used with respect to any Holder, has the meaning specified in Section 204.</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Amounts</w:t>
      </w:r>
      <w:r>
        <w:rPr>
          <w:rFonts w:ascii="Arial" w:cs="Arial" w:eastAsia="Arial" w:hAnsi="Arial"/>
          <w:sz w:val="18"/>
          <w:szCs w:val="18"/>
          <w:color w:val="auto"/>
        </w:rPr>
        <w:t>” has the meaning specified in Section 1101.</w:t>
      </w:r>
    </w:p>
    <w:p>
      <w:pPr>
        <w:spacing w:after="0" w:line="225"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Interest</w:t>
      </w:r>
      <w:r>
        <w:rPr>
          <w:rFonts w:ascii="Arial" w:cs="Arial" w:eastAsia="Arial" w:hAnsi="Arial"/>
          <w:sz w:val="18"/>
          <w:szCs w:val="18"/>
          <w:color w:val="auto"/>
        </w:rPr>
        <w:t>” means the interest payable as a consequence of the failure to effectuate in a timely manner the exchange offer or shelf registration procedures set forth in a Registration Rights Agreement.</w:t>
      </w:r>
    </w:p>
    <w:p>
      <w:pPr>
        <w:spacing w:after="0" w:line="170"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 has the meaning indicated in the recitals to this Supplemental Indenture. Any Additional Notes will be part of the same issue as the Initial Notes and any Exchange Notes and will be treated as one series with the Initial Notes and any Exchange Notes, including for purposes of voting, redemptions and offers to purchase.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Restricted Notes</w:t>
      </w:r>
      <w:r>
        <w:rPr>
          <w:rFonts w:ascii="Arial" w:cs="Arial" w:eastAsia="Arial" w:hAnsi="Arial"/>
          <w:sz w:val="18"/>
          <w:szCs w:val="18"/>
          <w:color w:val="auto"/>
        </w:rPr>
        <w:t>” has the meaning specified in Section 303.</w:t>
      </w:r>
    </w:p>
    <w:p>
      <w:pPr>
        <w:spacing w:after="0" w:line="22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8"/>
          <w:szCs w:val="18"/>
          <w:i w:val="1"/>
          <w:iCs w:val="1"/>
          <w:color w:val="auto"/>
        </w:rPr>
        <w:t>control</w:t>
      </w:r>
      <w:r>
        <w:rPr>
          <w:rFonts w:ascii="Arial" w:cs="Arial" w:eastAsia="Arial" w:hAnsi="Arial"/>
          <w:sz w:val="18"/>
          <w:szCs w:val="18"/>
          <w:color w:val="auto"/>
        </w:rPr>
        <w:t>” when used with respect to any specified Person means the power to direct the management and policies of such Person, directly or indirectly, whether through the ownership of voting securities, by contract or otherwise; and the terms “</w:t>
      </w:r>
      <w:r>
        <w:rPr>
          <w:rFonts w:ascii="Arial" w:cs="Arial" w:eastAsia="Arial" w:hAnsi="Arial"/>
          <w:sz w:val="18"/>
          <w:szCs w:val="18"/>
          <w:i w:val="1"/>
          <w:iCs w:val="1"/>
          <w:color w:val="auto"/>
        </w:rPr>
        <w:t>controlling</w:t>
      </w:r>
      <w:r>
        <w:rPr>
          <w:rFonts w:ascii="Arial" w:cs="Arial" w:eastAsia="Arial" w:hAnsi="Arial"/>
          <w:sz w:val="18"/>
          <w:szCs w:val="18"/>
          <w:color w:val="auto"/>
        </w:rPr>
        <w:t>” and “</w:t>
      </w:r>
      <w:r>
        <w:rPr>
          <w:rFonts w:ascii="Arial" w:cs="Arial" w:eastAsia="Arial" w:hAnsi="Arial"/>
          <w:sz w:val="18"/>
          <w:szCs w:val="18"/>
          <w:i w:val="1"/>
          <w:iCs w:val="1"/>
          <w:color w:val="auto"/>
        </w:rPr>
        <w:t>controlled</w:t>
      </w:r>
      <w:r>
        <w:rPr>
          <w:rFonts w:ascii="Arial" w:cs="Arial" w:eastAsia="Arial" w:hAnsi="Arial"/>
          <w:sz w:val="18"/>
          <w:szCs w:val="18"/>
          <w:color w:val="auto"/>
        </w:rPr>
        <w:t>” have meanings correlative to the foregoing.</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Transaction</w:t>
      </w:r>
      <w:r>
        <w:rPr>
          <w:rFonts w:ascii="Arial" w:cs="Arial" w:eastAsia="Arial" w:hAnsi="Arial"/>
          <w:sz w:val="18"/>
          <w:szCs w:val="18"/>
          <w:color w:val="auto"/>
        </w:rPr>
        <w:t>” has the meaning specified in Section 1113.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 Members</w:t>
      </w:r>
      <w:r>
        <w:rPr>
          <w:rFonts w:ascii="Arial" w:cs="Arial" w:eastAsia="Arial" w:hAnsi="Arial"/>
          <w:sz w:val="18"/>
          <w:szCs w:val="18"/>
          <w:color w:val="auto"/>
        </w:rPr>
        <w:t>” has the meaning specified in Section 405.</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90" w:name="page91"/>
    <w:bookmarkEnd w:id="90"/>
    <w:p>
      <w:pPr>
        <w:ind w:right="2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amend</w:t>
      </w:r>
      <w:r>
        <w:rPr>
          <w:rFonts w:ascii="Arial" w:cs="Arial" w:eastAsia="Arial" w:hAnsi="Arial"/>
          <w:sz w:val="18"/>
          <w:szCs w:val="18"/>
          <w:color w:val="auto"/>
        </w:rPr>
        <w:t>” means to amend, supplement, restate, amend and restate or otherwise modify, including successively, and “amendment” shall have a correlative meaning.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Banking Laws</w:t>
      </w:r>
      <w:r>
        <w:rPr>
          <w:rFonts w:ascii="Arial" w:cs="Arial" w:eastAsia="Arial" w:hAnsi="Arial"/>
          <w:sz w:val="18"/>
          <w:szCs w:val="18"/>
          <w:color w:val="auto"/>
        </w:rPr>
        <w:t>” has the meaning specified in Section 216.</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Taxes</w:t>
      </w:r>
      <w:r>
        <w:rPr>
          <w:rFonts w:ascii="Arial" w:cs="Arial" w:eastAsia="Arial" w:hAnsi="Arial"/>
          <w:sz w:val="18"/>
          <w:szCs w:val="18"/>
          <w:color w:val="auto"/>
        </w:rPr>
        <w:t>” has the meaning specified in Section 1101.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Acquisition</w:t>
      </w:r>
      <w:r>
        <w:rPr>
          <w:rFonts w:ascii="Arial" w:cs="Arial" w:eastAsia="Arial" w:hAnsi="Arial"/>
          <w:sz w:val="18"/>
          <w:szCs w:val="18"/>
          <w:color w:val="auto"/>
        </w:rPr>
        <w:t>” means:</w:t>
      </w:r>
    </w:p>
    <w:p>
      <w:pPr>
        <w:spacing w:after="0" w:line="117" w:lineRule="exact"/>
        <w:rPr>
          <w:sz w:val="20"/>
          <w:szCs w:val="20"/>
          <w:color w:val="auto"/>
        </w:rPr>
      </w:pPr>
    </w:p>
    <w:p>
      <w:pPr>
        <w:ind w:left="920" w:right="160" w:firstLine="421"/>
        <w:spacing w:after="0" w:line="264" w:lineRule="auto"/>
        <w:tabs>
          <w:tab w:leader="none" w:pos="15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Investment by the Parent Guarantor or any Restricted Subsidiary in any other Person if, as a result of such Investment, such Person shall become a Restricted Subsidiary of the Parent Guarantor, or shall be merged with or into the Parent Guarantor or any of its Restricted Subsidiaries, or</w:t>
      </w:r>
    </w:p>
    <w:p>
      <w:pPr>
        <w:spacing w:after="0" w:line="73" w:lineRule="exact"/>
        <w:rPr>
          <w:rFonts w:ascii="Arial" w:cs="Arial" w:eastAsia="Arial" w:hAnsi="Arial"/>
          <w:sz w:val="18"/>
          <w:szCs w:val="18"/>
          <w:color w:val="auto"/>
        </w:rPr>
      </w:pPr>
    </w:p>
    <w:p>
      <w:pPr>
        <w:jc w:val="both"/>
        <w:ind w:left="920" w:right="80" w:firstLine="421"/>
        <w:spacing w:after="0" w:line="264" w:lineRule="auto"/>
        <w:tabs>
          <w:tab w:leader="none" w:pos="15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acquisition by the Parent Guarantor or any of its Restricted Subsidiaries of all or substantially all of the properties and assets of any other Person (other than a Restricted Subsidiary of the Parent Guarantor) or any division or line of business of any such other Person (other than in the ordinary course of business).</w:t>
      </w:r>
    </w:p>
    <w:p>
      <w:pPr>
        <w:spacing w:after="0" w:line="18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Indebtedness</w:t>
      </w:r>
      <w:r>
        <w:rPr>
          <w:rFonts w:ascii="Arial" w:cs="Arial" w:eastAsia="Arial" w:hAnsi="Arial"/>
          <w:sz w:val="18"/>
          <w:szCs w:val="18"/>
          <w:color w:val="auto"/>
        </w:rPr>
        <w:t>” means, with respect to any Sale-Leaseback Transaction as of any particular time, the present value (discounted at the rate of interest implicit in the terms of the lease) of the obligations of the lessee under such lease for net rental payments during the remaining term of the lease (including any period for which such lease has been extended). For purposes of this definition, “</w:t>
      </w:r>
      <w:r>
        <w:rPr>
          <w:rFonts w:ascii="Arial" w:cs="Arial" w:eastAsia="Arial" w:hAnsi="Arial"/>
          <w:sz w:val="18"/>
          <w:szCs w:val="18"/>
          <w:i w:val="1"/>
          <w:iCs w:val="1"/>
          <w:color w:val="auto"/>
        </w:rPr>
        <w:t>net rental payments</w:t>
      </w:r>
      <w:r>
        <w:rPr>
          <w:rFonts w:ascii="Arial" w:cs="Arial" w:eastAsia="Arial" w:hAnsi="Arial"/>
          <w:sz w:val="18"/>
          <w:szCs w:val="18"/>
          <w:color w:val="auto"/>
        </w:rPr>
        <w:t>” under any lease for any period means the sum of the rental payments required to be paid in such period by the lessee thereunder, not including, however, any amounts required to be paid by such lessee (whether or not designated as rental or additional rental) on account of maintenance and repairs, insurance, taxes, assessments or similar charges required to be paid by such lessee thereunder contingent upon the amount of sales or deliveries, maintenance and repairs, insurance, taxes, assessments or similar charges.</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Authenticating Agent</w:t>
      </w:r>
      <w:r>
        <w:rPr>
          <w:rFonts w:ascii="Arial" w:cs="Arial" w:eastAsia="Arial" w:hAnsi="Arial"/>
          <w:sz w:val="16"/>
          <w:szCs w:val="16"/>
          <w:color w:val="auto"/>
        </w:rPr>
        <w:t>” means any Person authorized by the Trustee pursuant to Section 714 to act on behalf of the Trustee to authenticate Notes.</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United States Code, or any similar U.S. federal or state of non-U.S. law for relief of creditors.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Indenture</w:t>
      </w:r>
      <w:r>
        <w:rPr>
          <w:rFonts w:ascii="Arial" w:cs="Arial" w:eastAsia="Arial" w:hAnsi="Arial"/>
          <w:sz w:val="18"/>
          <w:szCs w:val="18"/>
          <w:color w:val="auto"/>
        </w:rPr>
        <w:t>” has the meaning stated in the first recital of this Supplemental Indenture.</w:t>
      </w:r>
    </w:p>
    <w:p>
      <w:pPr>
        <w:spacing w:after="0" w:line="225" w:lineRule="exact"/>
        <w:rPr>
          <w:sz w:val="20"/>
          <w:szCs w:val="20"/>
          <w:color w:val="auto"/>
        </w:rPr>
      </w:pPr>
    </w:p>
    <w:p>
      <w:pPr>
        <w:jc w:val="both"/>
        <w:ind w:right="2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with respect to any Person, (i) in the case of any corporation, the board of directors of such Person and (ii) in any other case, the functional equivalent of the foregoing or, in each case, other than for purposes of the definition of “Change of Control,” any duly authorized committee of such body.</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Issuer or a Guarantor, the principal financial officer of the Issuer or such Guarantor, any other authorized officer of the Issuer or such Guarantor, or a person duly authorized by any of them, in each case as applicable, to have been duly adopted by the Board of Directors of the Issuer or such Guarantor, as applicable, and to be in full force and effect on the date of such certification, and delivered to the Trustee. Where any provision of the Indenture refers to action to be taken pursuant to a Board Resolution, such action may be taken by any committee, officer or employee of the Issuer or the Guarantor, as applicable, authorized to take such action by its Board of Directors as evidenced by a Board Resolution.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91" w:name="page92"/>
    <w:bookmarkEnd w:id="91"/>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Monday, Tuesday, Wednesday, Thursday and Friday which is not a day on which banking institutions in the City and State of New York are authorized or obligated by law, executive order or regulation to close.</w:t>
      </w:r>
    </w:p>
    <w:p>
      <w:pPr>
        <w:spacing w:after="0" w:line="170"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Capitalized Lease</w:t>
      </w:r>
      <w:r>
        <w:rPr>
          <w:rFonts w:ascii="Arial" w:cs="Arial" w:eastAsia="Arial" w:hAnsi="Arial"/>
          <w:sz w:val="18"/>
          <w:szCs w:val="18"/>
          <w:color w:val="auto"/>
        </w:rPr>
        <w:t>” means a lease required to be capitalized for financial reporting purposes in accordance with GAAP. Notwithstanding the foregoing, any lease that would have been classified as an operating lease pursuant to GAAP as in effect on the Issue Date shall be deemed not to be a Capitalized Lease.</w:t>
      </w:r>
    </w:p>
    <w:p>
      <w:pPr>
        <w:spacing w:after="0" w:line="181"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Capitalized Lease Obligations</w:t>
      </w:r>
      <w:r>
        <w:rPr>
          <w:rFonts w:ascii="Arial" w:cs="Arial" w:eastAsia="Arial" w:hAnsi="Arial"/>
          <w:sz w:val="17"/>
          <w:szCs w:val="17"/>
          <w:color w:val="auto"/>
        </w:rPr>
        <w:t>” of any Person means the obligations of such Person to pay rent or other amounts under a Capitalized Lease, and the amount of such obligation shall be the capitalized amount thereof determined in accordance with GAAP, excluding liabilities resulting from a change in GAAP subsequent to the date of the Indenture, and the Stated Maturity thereof shall be the date of the last payment of rent or any other amount due under such lease prior to the first date upon which such lease may be prepaid by the lessee without payment of a penalty.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jc w:val="both"/>
        <w:ind w:left="920" w:right="140" w:firstLine="421"/>
        <w:spacing w:after="0" w:line="264" w:lineRule="auto"/>
        <w:tabs>
          <w:tab w:leader="none" w:pos="15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(or any agency thereof to the extent such obligations are backed by the full faith and credit of the United States), in each case maturing within one year from the date of acquisition thereof;</w:t>
      </w:r>
    </w:p>
    <w:p>
      <w:pPr>
        <w:spacing w:after="0" w:line="73" w:lineRule="exact"/>
        <w:rPr>
          <w:rFonts w:ascii="Arial" w:cs="Arial" w:eastAsia="Arial" w:hAnsi="Arial"/>
          <w:sz w:val="18"/>
          <w:szCs w:val="18"/>
          <w:color w:val="auto"/>
        </w:rPr>
      </w:pPr>
    </w:p>
    <w:p>
      <w:pPr>
        <w:ind w:left="920" w:right="60" w:firstLine="421"/>
        <w:spacing w:after="0" w:line="277" w:lineRule="auto"/>
        <w:tabs>
          <w:tab w:leader="none" w:pos="15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obtained from S&amp;P or from Moody’s;</w:t>
      </w:r>
    </w:p>
    <w:p>
      <w:pPr>
        <w:spacing w:after="0" w:line="62" w:lineRule="exact"/>
        <w:rPr>
          <w:rFonts w:ascii="Arial" w:cs="Arial" w:eastAsia="Arial" w:hAnsi="Arial"/>
          <w:sz w:val="18"/>
          <w:szCs w:val="18"/>
          <w:color w:val="auto"/>
        </w:rPr>
      </w:pPr>
    </w:p>
    <w:p>
      <w:pPr>
        <w:ind w:left="920" w:right="100" w:firstLine="421"/>
        <w:spacing w:after="0" w:line="259" w:lineRule="auto"/>
        <w:tabs>
          <w:tab w:leader="none" w:pos="15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or any State thereof which has a combined capital and surplus and undivided profits of not less than $500.0 million;</w:t>
      </w:r>
    </w:p>
    <w:p>
      <w:pPr>
        <w:spacing w:after="0" w:line="78" w:lineRule="exact"/>
        <w:rPr>
          <w:rFonts w:ascii="Arial" w:cs="Arial" w:eastAsia="Arial" w:hAnsi="Arial"/>
          <w:sz w:val="18"/>
          <w:szCs w:val="18"/>
          <w:color w:val="auto"/>
        </w:rPr>
      </w:pPr>
    </w:p>
    <w:p>
      <w:pPr>
        <w:ind w:left="920" w:right="40" w:firstLine="421"/>
        <w:spacing w:after="0" w:line="277" w:lineRule="auto"/>
        <w:tabs>
          <w:tab w:leader="none" w:pos="15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(1) above and entered into with a financial institution satisfying the criteria described in clause (3) above;</w:t>
      </w:r>
    </w:p>
    <w:p>
      <w:pPr>
        <w:spacing w:after="0" w:line="62" w:lineRule="exact"/>
        <w:rPr>
          <w:rFonts w:ascii="Arial" w:cs="Arial" w:eastAsia="Arial" w:hAnsi="Arial"/>
          <w:sz w:val="18"/>
          <w:szCs w:val="18"/>
          <w:color w:val="auto"/>
        </w:rPr>
      </w:pPr>
    </w:p>
    <w:p>
      <w:pPr>
        <w:ind w:left="920" w:right="20" w:firstLine="421"/>
        <w:spacing w:after="0" w:line="277" w:lineRule="auto"/>
        <w:tabs>
          <w:tab w:leader="none" w:pos="15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(ii) are rated AAA by S&amp;P and Aaa by Moody’s and (iii) have portfolio assets of at least $5.0 billion; and</w:t>
      </w:r>
    </w:p>
    <w:p>
      <w:pPr>
        <w:spacing w:after="0" w:line="62" w:lineRule="exact"/>
        <w:rPr>
          <w:rFonts w:ascii="Arial" w:cs="Arial" w:eastAsia="Arial" w:hAnsi="Arial"/>
          <w:sz w:val="18"/>
          <w:szCs w:val="18"/>
          <w:color w:val="auto"/>
        </w:rPr>
      </w:pPr>
    </w:p>
    <w:p>
      <w:pPr>
        <w:ind w:left="920" w:right="60" w:firstLine="421"/>
        <w:spacing w:after="0" w:line="264" w:lineRule="auto"/>
        <w:tabs>
          <w:tab w:leader="none" w:pos="15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case of any Foreign Restricted Subsidiary, other investments that are analogous to the items specified in clauses (1) through (5) above, are of comparable credit quality and are customarily used by companies in the jurisdiction of such Foreign Restricted Subsidiary for cash management purposes.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92" w:name="page93"/>
    <w:bookmarkEnd w:id="92"/>
    <w:p>
      <w:pPr>
        <w:ind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i w:val="1"/>
          <w:iCs w:val="1"/>
          <w:color w:val="auto"/>
        </w:rPr>
        <w:t>Change of Control</w:t>
      </w:r>
      <w:r>
        <w:rPr>
          <w:rFonts w:ascii="Arial" w:cs="Arial" w:eastAsia="Arial" w:hAnsi="Arial"/>
          <w:sz w:val="17"/>
          <w:szCs w:val="17"/>
          <w:color w:val="auto"/>
        </w:rPr>
        <w:t>” means the occurrence of any of the following: (a) the direct or indirect sale, transfer, conveyance or other disposition (other than by way of merger, amalgamation, consolidation, plan or scheme of arrangement, exchange offer, business combination or similar transaction of the Weatherford Parent Company), in one or a series of related transactions, of all or substantially all of the properties or assets of the Weatherford Parent Company and its Restricted Subsidiaries taken as a whole to any person (as such term is used in Section 13(d) of the Exchange Act) other than the Weatherford Parent Company or one of its Subsidiaries or a Person controlled by the Weatherford Parent Company or one of its Restricted Subsidiaries; (b) the consummation of any transaction (including, without limitation, any merger, amalgamation, consolidation, plan or scheme of arrangement, exchange offer, business combination or similar transaction) the result of which is that any person (as such term is used in Section 13(d) of the Exchange Act) becomes the beneficial owner, directly or indirectly, of more than 50% of the then outstanding Voting Stock of the Weatherford Parent Company (excluding a Redomestication of the Weatherford Parent Company); and (c) the first day on which a majority of the members of the Weatherford Parent Company’s Board of Directors are not Continuing Directors.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specified in Section 1107.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has the meaning specified in Section 1107.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 has the meaning specified in Section 1107.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Clearstream</w:t>
      </w:r>
      <w:r>
        <w:rPr>
          <w:rFonts w:ascii="Arial" w:cs="Arial" w:eastAsia="Arial" w:hAnsi="Arial"/>
          <w:sz w:val="18"/>
          <w:szCs w:val="18"/>
          <w:color w:val="auto"/>
        </w:rPr>
        <w:t>” has the meaning specified in Section 303.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has the meaning specified in Section 1101.</w:t>
      </w:r>
    </w:p>
    <w:p>
      <w:pPr>
        <w:spacing w:after="0" w:line="225"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 or other participations in, and other equivalents (however designated and whether voting or nonvoting) of such Person’s common stock or common shares whether or not outstanding on the Issue Date, and includes, without limitation, all series and classes of such common stock.</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has the meaning specified in Section 1203.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has the meaning specified in Section 1203.</w:t>
      </w:r>
    </w:p>
    <w:p>
      <w:pPr>
        <w:spacing w:after="0" w:line="225"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Amortization Expense</w:t>
      </w:r>
      <w:r>
        <w:rPr>
          <w:rFonts w:ascii="Arial" w:cs="Arial" w:eastAsia="Arial" w:hAnsi="Arial"/>
          <w:sz w:val="18"/>
          <w:szCs w:val="18"/>
          <w:color w:val="auto"/>
        </w:rPr>
        <w:t>” for any period means the amortization expense of the relevant Person and the Restricted Subsidiaries for such period, determined on a consolidated basis in accordance with GAAP.</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for any period means, with respect to any specified Person and its Restricted Subsidiaries, without duplication, the sum of the amounts for such period of:</w:t>
      </w:r>
    </w:p>
    <w:p>
      <w:pPr>
        <w:spacing w:after="0" w:line="62" w:lineRule="exact"/>
        <w:rPr>
          <w:sz w:val="20"/>
          <w:szCs w:val="20"/>
          <w:color w:val="auto"/>
        </w:rPr>
      </w:pPr>
    </w:p>
    <w:p>
      <w:pPr>
        <w:ind w:left="1600" w:hanging="259"/>
        <w:spacing w:after="0"/>
        <w:tabs>
          <w:tab w:leader="none" w:pos="1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Consolidated Net Income, plus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each case only to the extent deducted in determining Consolidated Net Income,</w:t>
      </w:r>
    </w:p>
    <w:p>
      <w:pPr>
        <w:spacing w:after="0" w:line="117" w:lineRule="exact"/>
        <w:rPr>
          <w:rFonts w:ascii="Arial" w:cs="Arial" w:eastAsia="Arial" w:hAnsi="Arial"/>
          <w:sz w:val="18"/>
          <w:szCs w:val="18"/>
          <w:color w:val="auto"/>
        </w:rPr>
      </w:pPr>
    </w:p>
    <w:p>
      <w:pPr>
        <w:ind w:left="2140" w:hanging="251"/>
        <w:spacing w:after="0"/>
        <w:tabs>
          <w:tab w:leader="none" w:pos="21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Consolidated Income Tax Expense,</w:t>
      </w:r>
    </w:p>
    <w:p>
      <w:pPr>
        <w:spacing w:after="0" w:line="117" w:lineRule="exact"/>
        <w:rPr>
          <w:rFonts w:ascii="Arial" w:cs="Arial" w:eastAsia="Arial" w:hAnsi="Arial"/>
          <w:sz w:val="18"/>
          <w:szCs w:val="18"/>
          <w:color w:val="auto"/>
        </w:rPr>
      </w:pPr>
    </w:p>
    <w:p>
      <w:pPr>
        <w:ind w:left="2140" w:hanging="251"/>
        <w:spacing w:after="0"/>
        <w:tabs>
          <w:tab w:leader="none" w:pos="21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Consolidated Amortization Expense,</w:t>
      </w:r>
    </w:p>
    <w:p>
      <w:pPr>
        <w:spacing w:after="0" w:line="117" w:lineRule="exact"/>
        <w:rPr>
          <w:rFonts w:ascii="Arial" w:cs="Arial" w:eastAsia="Arial" w:hAnsi="Arial"/>
          <w:sz w:val="18"/>
          <w:szCs w:val="18"/>
          <w:color w:val="auto"/>
        </w:rPr>
      </w:pPr>
    </w:p>
    <w:p>
      <w:pPr>
        <w:ind w:left="2140" w:hanging="251"/>
        <w:spacing w:after="0"/>
        <w:tabs>
          <w:tab w:leader="none" w:pos="21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Consolidated Depreciation Expense,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93" w:name="page94"/>
    <w:bookmarkEnd w:id="93"/>
    <w:p>
      <w:pPr>
        <w:ind w:left="2140" w:hanging="251"/>
        <w:spacing w:after="0"/>
        <w:tabs>
          <w:tab w:leader="none" w:pos="2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Consolidated Interest Expense, and</w:t>
      </w:r>
    </w:p>
    <w:p>
      <w:pPr>
        <w:spacing w:after="0" w:line="117" w:lineRule="exact"/>
        <w:rPr>
          <w:rFonts w:ascii="Arial" w:cs="Arial" w:eastAsia="Arial" w:hAnsi="Arial"/>
          <w:sz w:val="18"/>
          <w:szCs w:val="18"/>
          <w:color w:val="auto"/>
        </w:rPr>
      </w:pPr>
    </w:p>
    <w:p>
      <w:pPr>
        <w:ind w:left="1500" w:right="280" w:firstLine="389"/>
        <w:spacing w:after="0" w:line="277" w:lineRule="auto"/>
        <w:tabs>
          <w:tab w:leader="none" w:pos="2142"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other non-cash items reducing the Consolidated Net Income (excluding any non-cash charge that results in an accrual of a reserve for cash charges in any future period) for such period, minus</w:t>
      </w:r>
    </w:p>
    <w:p>
      <w:pPr>
        <w:spacing w:after="0" w:line="62" w:lineRule="exact"/>
        <w:rPr>
          <w:rFonts w:ascii="Arial" w:cs="Arial" w:eastAsia="Arial" w:hAnsi="Arial"/>
          <w:sz w:val="18"/>
          <w:szCs w:val="18"/>
          <w:color w:val="auto"/>
        </w:rPr>
      </w:pPr>
    </w:p>
    <w:p>
      <w:pPr>
        <w:ind w:left="920" w:right="60" w:firstLine="421"/>
        <w:spacing w:after="0" w:line="264" w:lineRule="auto"/>
        <w:tabs>
          <w:tab w:leader="none" w:pos="15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amount of all non-cash items, determined on a consolidated basis, to the extent such items increased Consolidated Net Income for such period (excluding any non-cash items to the extent they represent the reversal of an accrual of a reserve for a potential cash item that reduced Consolidated Cash Flow in any prior period); and</w:t>
      </w:r>
    </w:p>
    <w:p>
      <w:pPr>
        <w:spacing w:after="0" w:line="73" w:lineRule="exact"/>
        <w:rPr>
          <w:rFonts w:ascii="Arial" w:cs="Arial" w:eastAsia="Arial" w:hAnsi="Arial"/>
          <w:sz w:val="18"/>
          <w:szCs w:val="18"/>
          <w:color w:val="auto"/>
        </w:rPr>
      </w:pPr>
    </w:p>
    <w:p>
      <w:pPr>
        <w:ind w:left="920" w:right="380" w:firstLine="421"/>
        <w:spacing w:after="0" w:line="312" w:lineRule="auto"/>
        <w:tabs>
          <w:tab w:leader="none" w:pos="1595" w:val="left"/>
        </w:tabs>
        <w:numPr>
          <w:ilvl w:val="0"/>
          <w:numId w:val="82"/>
        </w:numPr>
        <w:rPr>
          <w:rFonts w:ascii="Arial" w:cs="Arial" w:eastAsia="Arial" w:hAnsi="Arial"/>
          <w:sz w:val="16"/>
          <w:szCs w:val="16"/>
          <w:color w:val="auto"/>
        </w:rPr>
      </w:pPr>
      <w:r>
        <w:rPr>
          <w:rFonts w:ascii="Arial" w:cs="Arial" w:eastAsia="Arial" w:hAnsi="Arial"/>
          <w:sz w:val="16"/>
          <w:szCs w:val="16"/>
          <w:color w:val="auto"/>
        </w:rPr>
        <w:t>to the extent included in Consolidated Net Income, any nonrecurring or unusual gain or income (or nonrecurring or unusual loss or expense), together with any related provision for taxes on any such nonrecurring or unusual gain or income (or the tax effect of any such nonrecurring or unusual loss or expense), realized by such Person or any of its Restricted Subsidiaries during such period, shall be excluded.</w:t>
      </w:r>
    </w:p>
    <w:p>
      <w:pPr>
        <w:spacing w:after="0" w:line="14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Depreciation Expense</w:t>
      </w:r>
      <w:r>
        <w:rPr>
          <w:rFonts w:ascii="Arial" w:cs="Arial" w:eastAsia="Arial" w:hAnsi="Arial"/>
          <w:sz w:val="18"/>
          <w:szCs w:val="18"/>
          <w:color w:val="auto"/>
        </w:rPr>
        <w:t>” for any period means the depreciation expense of the relevant Person and its Restricted Subsidiaries for such period, determined on a consolidated basis in accordance with GAAP.</w:t>
      </w:r>
    </w:p>
    <w:p>
      <w:pPr>
        <w:spacing w:after="0" w:line="170" w:lineRule="exact"/>
        <w:rPr>
          <w:sz w:val="20"/>
          <w:szCs w:val="20"/>
          <w:color w:val="auto"/>
        </w:rPr>
      </w:pPr>
    </w:p>
    <w:p>
      <w:pPr>
        <w:ind w:right="7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Tax Expense</w:t>
      </w:r>
      <w:r>
        <w:rPr>
          <w:rFonts w:ascii="Arial" w:cs="Arial" w:eastAsia="Arial" w:hAnsi="Arial"/>
          <w:sz w:val="18"/>
          <w:szCs w:val="18"/>
          <w:color w:val="auto"/>
        </w:rPr>
        <w:t>” for any period means the provision for taxes of the relevant Person and its Restricted Subsidiaries, determined on a consolidated basis in accordance with GAAP.</w:t>
      </w:r>
    </w:p>
    <w:p>
      <w:pPr>
        <w:spacing w:after="0" w:line="17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Interest Coverage Ratio</w:t>
      </w:r>
      <w:r>
        <w:rPr>
          <w:rFonts w:ascii="Arial" w:cs="Arial" w:eastAsia="Arial" w:hAnsi="Arial"/>
          <w:sz w:val="16"/>
          <w:szCs w:val="16"/>
          <w:color w:val="auto"/>
        </w:rPr>
        <w:t>” means, on any date of determination, with respect to any Person, the ratio of (x) Consolidated Cash Flow of such Person during the most recent four consecutive full fiscal quarters for which financial statements prepared on a consolidated basis in accordance with GAAP are available (the “</w:t>
      </w:r>
      <w:r>
        <w:rPr>
          <w:rFonts w:ascii="Arial" w:cs="Arial" w:eastAsia="Arial" w:hAnsi="Arial"/>
          <w:sz w:val="16"/>
          <w:szCs w:val="16"/>
          <w:i w:val="1"/>
          <w:iCs w:val="1"/>
          <w:color w:val="auto"/>
        </w:rPr>
        <w:t>Four-Quarter Period</w:t>
      </w:r>
      <w:r>
        <w:rPr>
          <w:rFonts w:ascii="Arial" w:cs="Arial" w:eastAsia="Arial" w:hAnsi="Arial"/>
          <w:sz w:val="16"/>
          <w:szCs w:val="16"/>
          <w:color w:val="auto"/>
        </w:rPr>
        <w:t>”) ending on or prior to the date of the transaction giving rise to the need to calculate the Consolidated Interest Coverage Ratio (the “</w:t>
      </w:r>
      <w:r>
        <w:rPr>
          <w:rFonts w:ascii="Arial" w:cs="Arial" w:eastAsia="Arial" w:hAnsi="Arial"/>
          <w:sz w:val="16"/>
          <w:szCs w:val="16"/>
          <w:i w:val="1"/>
          <w:iCs w:val="1"/>
          <w:color w:val="auto"/>
        </w:rPr>
        <w:t>Transaction Date</w:t>
      </w:r>
      <w:r>
        <w:rPr>
          <w:rFonts w:ascii="Arial" w:cs="Arial" w:eastAsia="Arial" w:hAnsi="Arial"/>
          <w:sz w:val="16"/>
          <w:szCs w:val="16"/>
          <w:color w:val="auto"/>
        </w:rPr>
        <w:t>”) to (y) Consolidated Interest Expense of such Person for the Four-Quarter Period. For purposes of this definition, Consolidated Cash Flow and Consolidated Interest Expense shall be calculated after giving effect on a pro forma basis for the period of such calculation to:</w:t>
      </w:r>
    </w:p>
    <w:p>
      <w:pPr>
        <w:spacing w:after="0" w:line="50" w:lineRule="exact"/>
        <w:rPr>
          <w:sz w:val="20"/>
          <w:szCs w:val="20"/>
          <w:color w:val="auto"/>
        </w:rPr>
      </w:pPr>
    </w:p>
    <w:p>
      <w:pPr>
        <w:ind w:left="920" w:right="140" w:firstLine="421"/>
        <w:spacing w:after="0" w:line="272" w:lineRule="auto"/>
        <w:tabs>
          <w:tab w:leader="none" w:pos="1595"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incurrence of any Indebtedness or the issuance of any Disqualified Equity Interests of such Person or Preferred Stock of any Restricted Subsidiary of such Person (and the application of the proceeds thereof) and any repayment, repurchase or redemption of other Indebtedness or other Disqualified Equity Interests or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 on or prior to the Transaction Date, as if such incurrence, repayment, repurchase, issuance or redemption, as the case may be (and the application of the proceeds thereof), occurred on the first day of the Four-Quarter Period; and</w:t>
      </w:r>
    </w:p>
    <w:p>
      <w:pPr>
        <w:spacing w:after="0" w:line="69" w:lineRule="exact"/>
        <w:rPr>
          <w:rFonts w:ascii="Arial" w:cs="Arial" w:eastAsia="Arial" w:hAnsi="Arial"/>
          <w:sz w:val="17"/>
          <w:szCs w:val="17"/>
          <w:color w:val="auto"/>
        </w:rPr>
      </w:pPr>
    </w:p>
    <w:p>
      <w:pPr>
        <w:ind w:left="920" w:right="60" w:firstLine="421"/>
        <w:spacing w:after="0" w:line="276" w:lineRule="auto"/>
        <w:tabs>
          <w:tab w:leader="none" w:pos="1595"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any asset sale outside the ordinary course of business or Asset Acquisition (including, without limitation, any Asset Acquisition giving rise to the need to make such calculation as a result of the Parent Guarantor or any Restricted Subsidiary (including any Person who becomes a Restricted Subsidiary as a result of such Asset Acquisition) incurring Acquired Indebtedness and also including any Consolidated Cash Flow (including any pro forma expense and cost reductions that have occurred or are reasonably expected to occur within the next 12 months)) in each case occurring during the Four-Quarter Period or at any time subsequent to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94" w:name="page95"/>
    <w:bookmarkEnd w:id="94"/>
    <w:p>
      <w:pPr>
        <w:ind w:left="9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last day of the Four-Quarter Period and on or prior to the Transaction Date, as if such asset sale or Asset Acquisition (including the incurrence of, or assumption or liability for, any such Indebtedness or Acquired Indebtedness) occurred on the first day of the Four-Quarter Period; </w:t>
      </w:r>
      <w:r>
        <w:rPr>
          <w:rFonts w:ascii="Arial" w:cs="Arial" w:eastAsia="Arial" w:hAnsi="Arial"/>
          <w:sz w:val="18"/>
          <w:szCs w:val="18"/>
          <w:i w:val="1"/>
          <w:iCs w:val="1"/>
          <w:color w:val="auto"/>
        </w:rPr>
        <w:t>provided</w:t>
      </w:r>
      <w:r>
        <w:rPr>
          <w:rFonts w:ascii="Arial" w:cs="Arial" w:eastAsia="Arial" w:hAnsi="Arial"/>
          <w:sz w:val="18"/>
          <w:szCs w:val="18"/>
          <w:color w:val="auto"/>
        </w:rPr>
        <w:t>, that such pro forma calculations shall be determined in good faith by a responsible financial or accounting officer of the Parent Guarantor whether or not such pro forma adjustments would be permitted under SEC rules or guidelines.</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In calculating Consolidated Interest Expense for purposes of determining the denominator (but not the numerator) of this Consolidated Interest Coverage Ratio:</w:t>
      </w:r>
    </w:p>
    <w:p>
      <w:pPr>
        <w:spacing w:after="0" w:line="62" w:lineRule="exact"/>
        <w:rPr>
          <w:sz w:val="20"/>
          <w:szCs w:val="20"/>
          <w:color w:val="auto"/>
        </w:rPr>
      </w:pPr>
    </w:p>
    <w:p>
      <w:pPr>
        <w:ind w:left="920" w:right="40" w:firstLine="421"/>
        <w:spacing w:after="0" w:line="264" w:lineRule="auto"/>
        <w:tabs>
          <w:tab w:leader="none" w:pos="15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73" w:lineRule="exact"/>
        <w:rPr>
          <w:rFonts w:ascii="Arial" w:cs="Arial" w:eastAsia="Arial" w:hAnsi="Arial"/>
          <w:sz w:val="18"/>
          <w:szCs w:val="18"/>
          <w:color w:val="auto"/>
        </w:rPr>
      </w:pPr>
    </w:p>
    <w:p>
      <w:pPr>
        <w:jc w:val="both"/>
        <w:ind w:left="920" w:right="120" w:firstLine="421"/>
        <w:spacing w:after="0" w:line="264" w:lineRule="auto"/>
        <w:tabs>
          <w:tab w:leader="none" w:pos="15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Four-Quarter Period; and</w:t>
      </w:r>
    </w:p>
    <w:p>
      <w:pPr>
        <w:spacing w:after="0" w:line="73" w:lineRule="exact"/>
        <w:rPr>
          <w:rFonts w:ascii="Arial" w:cs="Arial" w:eastAsia="Arial" w:hAnsi="Arial"/>
          <w:sz w:val="18"/>
          <w:szCs w:val="18"/>
          <w:color w:val="auto"/>
        </w:rPr>
      </w:pPr>
    </w:p>
    <w:p>
      <w:pPr>
        <w:ind w:left="920" w:firstLine="421"/>
        <w:spacing w:after="0" w:line="264" w:lineRule="auto"/>
        <w:tabs>
          <w:tab w:leader="none" w:pos="15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clause (1) or (2)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Interest Expense</w:t>
      </w:r>
      <w:r>
        <w:rPr>
          <w:rFonts w:ascii="Arial" w:cs="Arial" w:eastAsia="Arial" w:hAnsi="Arial"/>
          <w:sz w:val="16"/>
          <w:szCs w:val="16"/>
          <w:color w:val="auto"/>
        </w:rPr>
        <w:t>” for any period means the sum, without duplication, of the total interest expense of the relevant Person and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Subsidiaries for such period, determined on a consolidated basis in accordance with GAAP, including, without duplication:</w:t>
      </w:r>
    </w:p>
    <w:p>
      <w:pPr>
        <w:spacing w:after="0" w:line="103" w:lineRule="exact"/>
        <w:rPr>
          <w:sz w:val="20"/>
          <w:szCs w:val="20"/>
          <w:color w:val="auto"/>
        </w:rPr>
      </w:pPr>
    </w:p>
    <w:p>
      <w:pPr>
        <w:ind w:left="1600" w:hanging="259"/>
        <w:spacing w:after="0"/>
        <w:tabs>
          <w:tab w:leader="none" w:pos="1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imputed interest on Capitalized Lease Obligations and Attributable Indebtedness;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net costs associated with Hedging Obligations related to interest rates;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amortization of debt issuance costs, debt discount or premium and other financing fees and expenses;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interest portion of any deferred payment obligations;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other non-cash interest expense;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117" w:lineRule="exact"/>
        <w:rPr>
          <w:rFonts w:ascii="Arial" w:cs="Arial" w:eastAsia="Arial" w:hAnsi="Arial"/>
          <w:sz w:val="18"/>
          <w:szCs w:val="18"/>
          <w:color w:val="auto"/>
        </w:rPr>
      </w:pPr>
    </w:p>
    <w:p>
      <w:pPr>
        <w:ind w:left="920" w:right="240" w:firstLine="421"/>
        <w:spacing w:after="0" w:line="264" w:lineRule="auto"/>
        <w:tabs>
          <w:tab w:leader="none" w:pos="15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dividend payments on any series of Disqualified Equity Interests of the Parent Guarantor or any Preferred Stock of any Restricted Subsidiary (other than dividends on Equity Interests payable solely in Qualified Equity Interests of the Parent Guarantor or to the Parent Guarantor or a Restricted Subsidiary);</w:t>
      </w:r>
    </w:p>
    <w:p>
      <w:pPr>
        <w:spacing w:after="0" w:line="73" w:lineRule="exact"/>
        <w:rPr>
          <w:rFonts w:ascii="Arial" w:cs="Arial" w:eastAsia="Arial" w:hAnsi="Arial"/>
          <w:sz w:val="18"/>
          <w:szCs w:val="18"/>
          <w:color w:val="auto"/>
        </w:rPr>
      </w:pPr>
    </w:p>
    <w:p>
      <w:pPr>
        <w:ind w:left="1600" w:hanging="259"/>
        <w:spacing w:after="0"/>
        <w:tabs>
          <w:tab w:leader="none" w:pos="1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interest payable with respect to discontinued operations; and</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interest on any Indebtedness described in clause (6) or (7) of the definition of Indebtedness.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95" w:name="page96"/>
    <w:bookmarkEnd w:id="95"/>
    <w:p>
      <w:pPr>
        <w:jc w:val="both"/>
        <w:ind w:right="20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for any period means the net income (or loss) of a specified Person and its Restricted Subsidiaries, in each case for such period determined on a consolidated basis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 in calculating such net income (or loss), to the extent otherwise included therein, without duplication:</w:t>
      </w:r>
    </w:p>
    <w:p>
      <w:pPr>
        <w:spacing w:after="0" w:line="73" w:lineRule="exact"/>
        <w:rPr>
          <w:sz w:val="20"/>
          <w:szCs w:val="20"/>
          <w:color w:val="auto"/>
        </w:rPr>
      </w:pPr>
    </w:p>
    <w:p>
      <w:pPr>
        <w:ind w:left="920" w:right="200" w:firstLine="421"/>
        <w:spacing w:after="0" w:line="264" w:lineRule="auto"/>
        <w:tabs>
          <w:tab w:leader="none" w:pos="15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net income (or loss) of any Person (other than a Restricted Subsidiary) in which the specified Person or its Restricted Subsidiaries has an ownership interest, except to the extent that cash in an amount equal to any such income has actually been received by the specified Person or any of its Restricted Subsidiaries during such period;</w:t>
      </w:r>
    </w:p>
    <w:p>
      <w:pPr>
        <w:spacing w:after="0" w:line="73" w:lineRule="exact"/>
        <w:rPr>
          <w:rFonts w:ascii="Arial" w:cs="Arial" w:eastAsia="Arial" w:hAnsi="Arial"/>
          <w:sz w:val="18"/>
          <w:szCs w:val="18"/>
          <w:color w:val="auto"/>
        </w:rPr>
      </w:pPr>
    </w:p>
    <w:p>
      <w:pPr>
        <w:ind w:left="920" w:firstLine="421"/>
        <w:spacing w:after="0" w:line="259" w:lineRule="auto"/>
        <w:tabs>
          <w:tab w:leader="none" w:pos="15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except to the extent includible in the net income (or loss) of the specified Person pursuant to the foregoing clause (1), the net income (or loss) of any other Person that accrued prior to the date that (a) such other Person becomes a Restricted Subsidiary of the specified Person or is merged into or consolidated with the specified Person or any of its Restricted Subsidiaries or (b) the assets of such other Person are acquired by the specified Person or any of its Restricted Subsidiaries;</w:t>
      </w:r>
    </w:p>
    <w:p>
      <w:pPr>
        <w:spacing w:after="0" w:line="78" w:lineRule="exact"/>
        <w:rPr>
          <w:rFonts w:ascii="Arial" w:cs="Arial" w:eastAsia="Arial" w:hAnsi="Arial"/>
          <w:sz w:val="18"/>
          <w:szCs w:val="18"/>
          <w:color w:val="auto"/>
        </w:rPr>
      </w:pPr>
    </w:p>
    <w:p>
      <w:pPr>
        <w:jc w:val="both"/>
        <w:ind w:left="920" w:firstLine="421"/>
        <w:spacing w:after="0" w:line="302" w:lineRule="auto"/>
        <w:tabs>
          <w:tab w:leader="none" w:pos="1595"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net income of any Restricted Subsidiary of the specified Person (other than the Issuer or a Subsidiary Guarantor) during such period to the extent that the declaration or payment of dividends or similar distributions by such Restricted Subsidiary of that income is not permitted by operation of the terms of its charter or any agreement, instrument, judgment, decree, order, statute, rule or governmental regulation applicable to that Subsidiary during such period, unless such restriction with respect to the payment of dividends has been legally waived;</w:t>
      </w:r>
    </w:p>
    <w:p>
      <w:pPr>
        <w:spacing w:after="0" w:line="46" w:lineRule="exact"/>
        <w:rPr>
          <w:rFonts w:ascii="Arial" w:cs="Arial" w:eastAsia="Arial" w:hAnsi="Arial"/>
          <w:sz w:val="16"/>
          <w:szCs w:val="16"/>
          <w:color w:val="auto"/>
        </w:rPr>
      </w:pPr>
    </w:p>
    <w:p>
      <w:pPr>
        <w:ind w:left="1600" w:hanging="259"/>
        <w:spacing w:after="0"/>
        <w:tabs>
          <w:tab w:leader="none" w:pos="1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gains or losses attributable to discontinued operations;</w:t>
      </w:r>
    </w:p>
    <w:p>
      <w:pPr>
        <w:spacing w:after="0" w:line="117" w:lineRule="exact"/>
        <w:rPr>
          <w:rFonts w:ascii="Arial" w:cs="Arial" w:eastAsia="Arial" w:hAnsi="Arial"/>
          <w:sz w:val="18"/>
          <w:szCs w:val="18"/>
          <w:color w:val="auto"/>
        </w:rPr>
      </w:pPr>
    </w:p>
    <w:p>
      <w:pPr>
        <w:ind w:left="920" w:right="280" w:firstLine="421"/>
        <w:spacing w:after="0" w:line="264" w:lineRule="auto"/>
        <w:tabs>
          <w:tab w:leader="none" w:pos="15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provisions for taxes on any such gain (or the tax effect of any such loss), realized during such period by the Parent Guarantor or any Restricted Subsidiary upon the acquisition of any securities, or the extinguishment of any Indebtedness, of the specified Person or any Restricted Subsidiary;</w:t>
      </w:r>
    </w:p>
    <w:p>
      <w:pPr>
        <w:spacing w:after="0" w:line="73" w:lineRule="exact"/>
        <w:rPr>
          <w:rFonts w:ascii="Arial" w:cs="Arial" w:eastAsia="Arial" w:hAnsi="Arial"/>
          <w:sz w:val="18"/>
          <w:szCs w:val="18"/>
          <w:color w:val="auto"/>
        </w:rPr>
      </w:pPr>
    </w:p>
    <w:p>
      <w:pPr>
        <w:ind w:left="1600" w:hanging="259"/>
        <w:spacing w:after="0"/>
        <w:tabs>
          <w:tab w:leader="none" w:pos="1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gains and losses due solely to fluctuations in currency values and the related tax effects according to GAAP;</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unrealized gains and losses with respect to Hedging Obligations;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cumulative effect of any change in accounting principles or policies;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extraordinary gains and losses and the related tax effect;</w:t>
      </w:r>
    </w:p>
    <w:p>
      <w:pPr>
        <w:spacing w:after="0" w:line="117" w:lineRule="exact"/>
        <w:rPr>
          <w:rFonts w:ascii="Arial" w:cs="Arial" w:eastAsia="Arial" w:hAnsi="Arial"/>
          <w:sz w:val="18"/>
          <w:szCs w:val="18"/>
          <w:color w:val="auto"/>
        </w:rPr>
      </w:pPr>
    </w:p>
    <w:p>
      <w:pPr>
        <w:ind w:left="1680" w:hanging="339"/>
        <w:spacing w:after="0"/>
        <w:tabs>
          <w:tab w:leader="none" w:pos="16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non-cash charges or expenses with respect to the grant of stock options, restricted stock or other equity compensation awards; and</w:t>
      </w:r>
    </w:p>
    <w:p>
      <w:pPr>
        <w:spacing w:after="0" w:line="140" w:lineRule="exact"/>
        <w:rPr>
          <w:rFonts w:ascii="Arial" w:cs="Arial" w:eastAsia="Arial" w:hAnsi="Arial"/>
          <w:sz w:val="16"/>
          <w:szCs w:val="16"/>
          <w:color w:val="auto"/>
        </w:rPr>
      </w:pPr>
    </w:p>
    <w:p>
      <w:pPr>
        <w:ind w:left="1680" w:hanging="339"/>
        <w:spacing w:after="0"/>
        <w:tabs>
          <w:tab w:leader="none" w:pos="1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goodwill write-downs or other non-cash impairments of assets.</w:t>
      </w:r>
    </w:p>
    <w:p>
      <w:pPr>
        <w:spacing w:after="0" w:line="225"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at any date of determination, the amount of total shareholders’ equity shown in the most recent consolidated statement of financial position of the Parent Guarantor.</w:t>
      </w:r>
    </w:p>
    <w:p>
      <w:pPr>
        <w:spacing w:after="0" w:line="170" w:lineRule="exact"/>
        <w:rPr>
          <w:sz w:val="20"/>
          <w:szCs w:val="20"/>
          <w:color w:val="auto"/>
        </w:rPr>
      </w:pPr>
    </w:p>
    <w:p>
      <w:pPr>
        <w:ind w:right="32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Tangible Assets</w:t>
      </w:r>
      <w:r>
        <w:rPr>
          <w:rFonts w:ascii="Arial" w:cs="Arial" w:eastAsia="Arial" w:hAnsi="Arial"/>
          <w:sz w:val="16"/>
          <w:szCs w:val="16"/>
          <w:color w:val="auto"/>
        </w:rPr>
        <w:t>” means, with respect to any Person as of any date, the amount which, in accordance with GAAP, would be set forth under the caption “Total Assets” (or any like caption) on a consolidated balance sheet of such Person and its Restricted Subsidiaries determined in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96" w:name="page97"/>
    <w:bookmarkEnd w:id="96"/>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GAAP, less, to the extent included in a determination of “Total Assets,” and without duplication, all goodwill, patents, tradenames, trademarks, copyrights, franchises, experimental expenses, organization expenses and any other amounts classified as intangible assets in accordance with GAAP.</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any member of the Board of Directors of the Weatherford Parent Company who</w:t>
      </w:r>
    </w:p>
    <w:p>
      <w:pPr>
        <w:spacing w:after="0" w:line="46" w:lineRule="exact"/>
        <w:rPr>
          <w:sz w:val="20"/>
          <w:szCs w:val="20"/>
          <w:color w:val="auto"/>
        </w:rPr>
      </w:pPr>
    </w:p>
    <w:p>
      <w:pPr>
        <w:ind w:right="80" w:firstLine="8"/>
        <w:spacing w:after="0" w:line="254" w:lineRule="auto"/>
        <w:tabs>
          <w:tab w:leader="none" w:pos="245" w:val="left"/>
        </w:tabs>
        <w:numPr>
          <w:ilvl w:val="0"/>
          <w:numId w:val="87"/>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issuance of the Notes or (b) was nominated for election or appointed or elected to such Board of Directors with the approval of a majority of the Continuing Directors who were members of such Board of Directors at the time of such nomination, appointment or election (either by a specific vote or by approval of the Weatherford Parent Company’s proxy statement in which such member was named as a nominee for election as a director, without objection to such nomination).</w:t>
      </w:r>
    </w:p>
    <w:p>
      <w:pPr>
        <w:spacing w:after="0" w:line="190"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in relation to the Notes shall be administered, which office on the date hereof is located at 60 Wall Street, MS NYC60-1630, New York, New York 10005, Attention: Corporates Team – Weatherford International,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188"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corporation</w:t>
      </w:r>
      <w:r>
        <w:rPr>
          <w:rFonts w:ascii="Arial" w:cs="Arial" w:eastAsia="Arial" w:hAnsi="Arial"/>
          <w:sz w:val="18"/>
          <w:szCs w:val="18"/>
          <w:color w:val="auto"/>
        </w:rPr>
        <w:t>” includes corporations, companies, associations, partnerships, limited partnerships, limited liability companies, joint-stock companies and trusts.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 has the meaning specified in Section 1403.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Coverage Ratio Exception</w:t>
      </w:r>
      <w:r>
        <w:rPr>
          <w:rFonts w:ascii="Arial" w:cs="Arial" w:eastAsia="Arial" w:hAnsi="Arial"/>
          <w:sz w:val="18"/>
          <w:szCs w:val="18"/>
          <w:color w:val="auto"/>
        </w:rPr>
        <w:t>” has the meaning set forth in the proviso in the first paragraph of Section 1108.</w:t>
      </w:r>
    </w:p>
    <w:p>
      <w:pPr>
        <w:spacing w:after="0" w:line="22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the Amended and Restated Credit Agreement dated as of May 4, 2016, among the Issuer, the Parent Guarantor, the other Subsidiaries of the Parent Guarantor from time to time party thereto, JPMorgan Chase Bank, N.A., as administrative agent and swingline lender, and the several lenders and other agents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66"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one or more debt facilities or indentures (which may be outstanding at the same time and including, without limitation, the Credit Agreement and the Term Loan Agreement) providing for revolving credit loans, swingline loans, term loans, overdraft loans, debt securities, term loans, receivables financing or letters of credit and, in each case, as such agreements may be amended, refinanced, restated, refunded or otherwise restructured, in whole or in part from time to time (including increasing the amount of available borrowings thereunder or adding Subsidiaries of the Parent Guarantor as additional borrowers or guarantors thereunder) with respect to all or any portion of the Indebtedness under such agreement or agreements or any successor or replacement agreement or agreements and whether by the same or any other agent, lender, group of lenders or institutional lenders or investors.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97" w:name="page98"/>
    <w:bookmarkEnd w:id="97"/>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Customary Recourse Exceptions</w:t>
      </w:r>
      <w:r>
        <w:rPr>
          <w:rFonts w:ascii="Arial" w:cs="Arial" w:eastAsia="Arial" w:hAnsi="Arial"/>
          <w:sz w:val="18"/>
          <w:szCs w:val="18"/>
          <w:color w:val="auto"/>
        </w:rPr>
        <w:t>” means, with respect to any Non-Recourse Debt of an Unrestricted Subsidiary,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8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any obligation created or assumed by any Person for the repayment of money borrowed and any Purchase Money Indebtedness created or assumed by such Person and any guarantee of the foregoing.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act or condition that, after notice or the passage of time or both, would be an Event of Default.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Defaulted Interest</w:t>
      </w:r>
      <w:r>
        <w:rPr>
          <w:rFonts w:ascii="Arial" w:cs="Arial" w:eastAsia="Arial" w:hAnsi="Arial"/>
          <w:sz w:val="18"/>
          <w:szCs w:val="18"/>
          <w:color w:val="auto"/>
        </w:rPr>
        <w:t>” has the meaning specified in Section 407.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Definitive Notes</w:t>
      </w:r>
      <w:r>
        <w:rPr>
          <w:rFonts w:ascii="Arial" w:cs="Arial" w:eastAsia="Arial" w:hAnsi="Arial"/>
          <w:sz w:val="18"/>
          <w:szCs w:val="18"/>
          <w:color w:val="auto"/>
        </w:rPr>
        <w:t>” means certificated Notes that are not required to bear the legend set forth in the first paragraph of Section 302.</w:t>
      </w:r>
    </w:p>
    <w:p>
      <w:pPr>
        <w:spacing w:after="0" w:line="225"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Depositary</w:t>
      </w:r>
      <w:r>
        <w:rPr>
          <w:rFonts w:ascii="Arial" w:cs="Arial" w:eastAsia="Arial" w:hAnsi="Arial"/>
          <w:sz w:val="17"/>
          <w:szCs w:val="17"/>
          <w:color w:val="auto"/>
        </w:rPr>
        <w:t>” means, with respect to Notes issued in whole or in part in the form of one or more Global Notes, The Depository Trust Company (“</w:t>
      </w:r>
      <w:r>
        <w:rPr>
          <w:rFonts w:ascii="Arial" w:cs="Arial" w:eastAsia="Arial" w:hAnsi="Arial"/>
          <w:sz w:val="17"/>
          <w:szCs w:val="17"/>
          <w:i w:val="1"/>
          <w:iCs w:val="1"/>
          <w:color w:val="auto"/>
        </w:rPr>
        <w:t>DTC</w:t>
      </w:r>
      <w:r>
        <w:rPr>
          <w:rFonts w:ascii="Arial" w:cs="Arial" w:eastAsia="Arial" w:hAnsi="Arial"/>
          <w:sz w:val="17"/>
          <w:szCs w:val="17"/>
          <w:color w:val="auto"/>
        </w:rPr>
        <w:t>”) or any other clearing agency registered under the Exchange Act that is designated to act as successor Depositary for such Notes.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w:t>
      </w:r>
      <w:r>
        <w:rPr>
          <w:rFonts w:ascii="Arial" w:cs="Arial" w:eastAsia="Arial" w:hAnsi="Arial"/>
          <w:sz w:val="18"/>
          <w:szCs w:val="18"/>
          <w:color w:val="auto"/>
        </w:rPr>
        <w:t>” has the meaning given to this term in Section 1106.</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 Amount</w:t>
      </w:r>
      <w:r>
        <w:rPr>
          <w:rFonts w:ascii="Arial" w:cs="Arial" w:eastAsia="Arial" w:hAnsi="Arial"/>
          <w:sz w:val="18"/>
          <w:szCs w:val="18"/>
          <w:color w:val="auto"/>
        </w:rPr>
        <w:t>” has the meaning given to this term in Section 1106.</w:t>
      </w:r>
    </w:p>
    <w:p>
      <w:pPr>
        <w:spacing w:after="0" w:line="225"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Disqualified Equity Interests</w:t>
      </w:r>
      <w:r>
        <w:rPr>
          <w:rFonts w:ascii="Arial" w:cs="Arial" w:eastAsia="Arial" w:hAnsi="Arial"/>
          <w:sz w:val="17"/>
          <w:szCs w:val="17"/>
          <w:color w:val="auto"/>
        </w:rPr>
        <w:t xml:space="preserve">” of any Person means any class of Equity Interests of such Person that, by its terms, or by the terms of any related agreement or of any security into which it is convertible, puttable or exchangeable (in each case, at the option of the holder thereof), is, or upon the happening of any event or the passage of time would be, required to be redeemed by such Person, at the option of the holder thereof, or matures or is mandatorily redeemable, pursuant to a sinking fund obligation or otherwise, in whole or in part, on or prior to the date which is 91 days after the Stated Maturity of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any class of Equity Interests of such Person that, by its terms, authorizes such Person to satisfy in full its obligations with respect to the payment of dividends or upon maturity, redemption (pursuant to a sinking fund or otherwise) or repurchase thereof or otherwise by the delivery of Equity Interests that are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are not Disqualified Equity Interests;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Equity Interests that would not constitute Disqualified Equity Interests but for provisions thereof giving holders thereof (or the holders of any security into or for which such Equity Interests are convertible, exchangeable or exercisable) the right to require such Person to repurchase or redeem such Equity Interests upon the occurrence of a change of control occurring prior to the 91st day after the Stated Maturity of the Notes shall not constitute Disqualified Equity Interests if the change of control provisions applicable to such Equity Interests are no more favorable to such holders than the provisions of Section 1107, and such Equity Interests specifically provide that the Issuer will not repurchase or redeem any such Equity Interests pursuant to such provisions prior to the Issuer’s purchase of the Notes as required pursuant to the provisions of Section 1107.</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98" w:name="page99"/>
    <w:bookmarkEnd w:id="98"/>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Dollars</w:t>
      </w:r>
      <w:r>
        <w:rPr>
          <w:rFonts w:ascii="Arial" w:cs="Arial" w:eastAsia="Arial" w:hAnsi="Arial"/>
          <w:sz w:val="18"/>
          <w:szCs w:val="18"/>
          <w:color w:val="auto"/>
        </w:rPr>
        <w:t>,” “</w:t>
      </w:r>
      <w:r>
        <w:rPr>
          <w:rFonts w:ascii="Arial" w:cs="Arial" w:eastAsia="Arial" w:hAnsi="Arial"/>
          <w:sz w:val="18"/>
          <w:szCs w:val="18"/>
          <w:i w:val="1"/>
          <w:iCs w:val="1"/>
          <w:color w:val="auto"/>
        </w:rPr>
        <w:t>U.S. 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shall mean the coin or currency of the United States of America, which at the time of payment is legal tender for the payment of public and private debts.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has the meaning specified in the definition of Depositary.</w:t>
      </w:r>
    </w:p>
    <w:p>
      <w:pPr>
        <w:spacing w:after="0" w:line="225"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of any Person means (1) any and all shares or other equity interests (including Common Stock, Preferred Stock, limited liability company interests, trust units and 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into Equity Interests, regardless of whether such debt securities include any right of participation with Equity Interests.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Euroclear</w:t>
      </w:r>
      <w:r>
        <w:rPr>
          <w:rFonts w:ascii="Arial" w:cs="Arial" w:eastAsia="Arial" w:hAnsi="Arial"/>
          <w:sz w:val="18"/>
          <w:szCs w:val="18"/>
          <w:color w:val="auto"/>
        </w:rPr>
        <w:t>” has the meaning specified in Section 303.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specified in Section 601.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Global Note</w:t>
      </w:r>
      <w:r>
        <w:rPr>
          <w:rFonts w:ascii="Arial" w:cs="Arial" w:eastAsia="Arial" w:hAnsi="Arial"/>
          <w:sz w:val="18"/>
          <w:szCs w:val="18"/>
          <w:color w:val="auto"/>
        </w:rPr>
        <w:t>” has the meaning specified in Section 303.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Notes</w:t>
      </w:r>
      <w:r>
        <w:rPr>
          <w:rFonts w:ascii="Arial" w:cs="Arial" w:eastAsia="Arial" w:hAnsi="Arial"/>
          <w:sz w:val="18"/>
          <w:szCs w:val="18"/>
          <w:color w:val="auto"/>
        </w:rPr>
        <w:t>” has the meaning indicated in the recitals to this Supplemental Indenture.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Expiration Date</w:t>
      </w:r>
      <w:r>
        <w:rPr>
          <w:rFonts w:ascii="Arial" w:cs="Arial" w:eastAsia="Arial" w:hAnsi="Arial"/>
          <w:sz w:val="18"/>
          <w:szCs w:val="18"/>
          <w:color w:val="auto"/>
        </w:rPr>
        <w:t>” has the meaning specified in Section 204.</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asset, the price (after taking into account any liabilities relating to such asset) that would be negotiated in an arm’s-length transaction for cash between a willing seller and a willing and able buyer, neither of which is under any compulsion to complete the transaction as such price is determined in good faith by management of the Parent Guarantor.</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Restricted Subsidiary</w:t>
      </w:r>
      <w:r>
        <w:rPr>
          <w:rFonts w:ascii="Arial" w:cs="Arial" w:eastAsia="Arial" w:hAnsi="Arial"/>
          <w:sz w:val="18"/>
          <w:szCs w:val="18"/>
          <w:color w:val="auto"/>
        </w:rPr>
        <w:t>” means any Restricted Subsidiary not organized or existing under the laws of the United States, any State thereof or the District of Columbia, other than a Guarantor.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Funding Guarantor</w:t>
      </w:r>
      <w:r>
        <w:rPr>
          <w:rFonts w:ascii="Arial" w:cs="Arial" w:eastAsia="Arial" w:hAnsi="Arial"/>
          <w:sz w:val="18"/>
          <w:szCs w:val="18"/>
          <w:color w:val="auto"/>
        </w:rPr>
        <w:t>” has the meaning specified in Section 1505.</w:t>
      </w:r>
    </w:p>
    <w:p>
      <w:pPr>
        <w:spacing w:after="0" w:line="22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w:t>
      </w:r>
      <w:r>
        <w:rPr>
          <w:rFonts w:ascii="Arial" w:cs="Arial" w:eastAsia="Arial" w:hAnsi="Arial"/>
          <w:sz w:val="18"/>
          <w:szCs w:val="18"/>
          <w:color w:val="auto"/>
        </w:rPr>
        <w:t>” has the meaning specified in Section 303.</w:t>
      </w:r>
    </w:p>
    <w:p>
      <w:pPr>
        <w:spacing w:after="0" w:line="225"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direct or indirect guarantee by any Person of any Indebtedness or other obligation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w:t>
      </w:r>
    </w:p>
    <w:p>
      <w:pPr>
        <w:spacing w:after="0" w:line="187"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individually, any guarantee of payment of the Notes by a Guarantor pursuant to the terms of the Indenture and any supplemental indenture thereto, and, collectively, all such guarantees.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99" w:name="page100"/>
    <w:bookmarkEnd w:id="99"/>
    <w:p>
      <w:pPr>
        <w:ind w:right="2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Guarantors</w:t>
      </w:r>
      <w:r>
        <w:rPr>
          <w:rFonts w:ascii="Arial" w:cs="Arial" w:eastAsia="Arial" w:hAnsi="Arial"/>
          <w:sz w:val="18"/>
          <w:szCs w:val="18"/>
          <w:color w:val="auto"/>
        </w:rPr>
        <w:t>” means the Parent Guarantor and each Subsidiary Guarantor, until such Person is released from its Guarantee in accordance with the terms of the Indenture.</w:t>
      </w:r>
    </w:p>
    <w:p>
      <w:pPr>
        <w:spacing w:after="0" w:line="170"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Obligations</w:t>
      </w:r>
      <w:r>
        <w:rPr>
          <w:rFonts w:ascii="Arial" w:cs="Arial" w:eastAsia="Arial" w:hAnsi="Arial"/>
          <w:sz w:val="16"/>
          <w:szCs w:val="16"/>
          <w:color w:val="auto"/>
        </w:rPr>
        <w:t>” of any Person means the obligations of such Person under option, swap, cap, collar, forward purchase or similar agreements or arrangements intended to manage exposure to interest rates or currency exchange rates or commodity prices (including, without limitation, for purposes of this definition, rates for electrical power used in the ordinary course of business), either generally or under specific contingencies.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any registered holder, from time to time, of the Notes.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IAI</w:t>
      </w:r>
      <w:r>
        <w:rPr>
          <w:rFonts w:ascii="Arial" w:cs="Arial" w:eastAsia="Arial" w:hAnsi="Arial"/>
          <w:sz w:val="18"/>
          <w:szCs w:val="18"/>
          <w:color w:val="auto"/>
        </w:rPr>
        <w:t>” means an institutional “accredited investor” as described in Rule 501(a)(1), (2), (3) or (7) under the Securities Act.</w:t>
      </w:r>
    </w:p>
    <w:p>
      <w:pPr>
        <w:spacing w:after="0" w:line="225"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xml:space="preserve">” means, with respect to any Indebtedness or Obligation, incur, create, issue, assume, guarantee or otherwise become directly or indirectly liable, contingently or otherwise, with respect to such Indebtedness or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the Indebtedness of a Person existing at the time such Person becomes a Restricted Subsidiary of the Parent Guarantor shall be deemed to have been incurred by such Restricted Subsidiary at the time it becomes a Restricted Subsidiary and (2) neither the accrual of interest nor the accretion of original issue discount or the accretion or accumulation of dividends on any Equity Interests shall be deemed to be an incurrence of Indebtedness.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of any Person at any date means, without duplication:</w:t>
      </w:r>
    </w:p>
    <w:p>
      <w:pPr>
        <w:spacing w:after="0" w:line="117" w:lineRule="exact"/>
        <w:rPr>
          <w:sz w:val="20"/>
          <w:szCs w:val="20"/>
          <w:color w:val="auto"/>
        </w:rPr>
      </w:pPr>
    </w:p>
    <w:p>
      <w:pPr>
        <w:ind w:left="920" w:right="120" w:firstLine="421"/>
        <w:spacing w:after="0" w:line="277" w:lineRule="auto"/>
        <w:tabs>
          <w:tab w:leader="none" w:pos="15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liabilities, contingent or otherwise, of such Person for borrowed money (whether or not the recourse of the lender is to the whole of the assets of such Person or only to a portion thereof);</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bankers’ acceptances, notes or other similar instruments;</w:t>
      </w:r>
    </w:p>
    <w:p>
      <w:pPr>
        <w:spacing w:after="0" w:line="117" w:lineRule="exact"/>
        <w:rPr>
          <w:rFonts w:ascii="Arial" w:cs="Arial" w:eastAsia="Arial" w:hAnsi="Arial"/>
          <w:sz w:val="18"/>
          <w:szCs w:val="18"/>
          <w:color w:val="auto"/>
        </w:rPr>
      </w:pPr>
    </w:p>
    <w:p>
      <w:pPr>
        <w:ind w:left="920" w:right="640" w:firstLine="421"/>
        <w:spacing w:after="0" w:line="277" w:lineRule="auto"/>
        <w:tabs>
          <w:tab w:leader="none" w:pos="15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non-contingent reimbursement obligations of such Person in respect of letters of credit, letters of guaranty and similar credit transactions;</w:t>
      </w:r>
    </w:p>
    <w:p>
      <w:pPr>
        <w:spacing w:after="0" w:line="62" w:lineRule="exact"/>
        <w:rPr>
          <w:rFonts w:ascii="Arial" w:cs="Arial" w:eastAsia="Arial" w:hAnsi="Arial"/>
          <w:sz w:val="18"/>
          <w:szCs w:val="18"/>
          <w:color w:val="auto"/>
        </w:rPr>
      </w:pPr>
    </w:p>
    <w:p>
      <w:pPr>
        <w:ind w:left="920" w:right="380" w:firstLine="421"/>
        <w:spacing w:after="0" w:line="312" w:lineRule="auto"/>
        <w:tabs>
          <w:tab w:leader="none" w:pos="1595"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all obligations of such Person to pay the deferred and unpaid purchase price of property or services, except deferred compensation, trade payables and other obligations and accrued expenses incurred by such Person in the ordinary course of business in connection with obtaining goods, materials or services and not overdue by more than 180 days unless subject to a bona fide dispute;</w:t>
      </w:r>
    </w:p>
    <w:p>
      <w:pPr>
        <w:spacing w:after="0" w:line="38" w:lineRule="exact"/>
        <w:rPr>
          <w:rFonts w:ascii="Arial" w:cs="Arial" w:eastAsia="Arial" w:hAnsi="Arial"/>
          <w:sz w:val="16"/>
          <w:szCs w:val="16"/>
          <w:color w:val="auto"/>
        </w:rPr>
      </w:pPr>
    </w:p>
    <w:p>
      <w:pPr>
        <w:ind w:left="920" w:firstLine="421"/>
        <w:spacing w:after="0" w:line="277" w:lineRule="auto"/>
        <w:tabs>
          <w:tab w:leader="none" w:pos="15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maximum fixed redemption or repurchase price of all Disqualified Equity Interests of such Person or, with respect to any Subsidiary of such Person, any Preferred Stock;</w:t>
      </w:r>
    </w:p>
    <w:p>
      <w:pPr>
        <w:spacing w:after="0" w:line="62" w:lineRule="exact"/>
        <w:rPr>
          <w:rFonts w:ascii="Arial" w:cs="Arial" w:eastAsia="Arial" w:hAnsi="Arial"/>
          <w:sz w:val="18"/>
          <w:szCs w:val="18"/>
          <w:color w:val="auto"/>
        </w:rPr>
      </w:pPr>
    </w:p>
    <w:p>
      <w:pPr>
        <w:ind w:left="920" w:right="40" w:firstLine="421"/>
        <w:spacing w:after="0" w:line="277" w:lineRule="auto"/>
        <w:tabs>
          <w:tab w:leader="none" w:pos="15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Capitalized Lease Obligations of such Person to the extent such obligations would appear as a liability on a balance sheet (excluding the footnotes thereto) of such Person prepared in accordance with GAAP;</w:t>
      </w:r>
    </w:p>
    <w:p>
      <w:pPr>
        <w:spacing w:after="0" w:line="62" w:lineRule="exact"/>
        <w:rPr>
          <w:rFonts w:ascii="Arial" w:cs="Arial" w:eastAsia="Arial" w:hAnsi="Arial"/>
          <w:sz w:val="18"/>
          <w:szCs w:val="18"/>
          <w:color w:val="auto"/>
        </w:rPr>
      </w:pPr>
    </w:p>
    <w:p>
      <w:pPr>
        <w:ind w:left="5620" w:right="100" w:hanging="4279"/>
        <w:spacing w:after="0" w:line="449" w:lineRule="auto"/>
        <w:tabs>
          <w:tab w:leader="none" w:pos="1592"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Indebtedness of others secured by a Lien on any asset of such Person, whether or not such Indebtedness is assumed by such Person; 14</w:t>
      </w:r>
    </w:p>
    <w:p>
      <w:pPr>
        <w:sectPr>
          <w:pgSz w:w="11900" w:h="16838" w:orient="portrait"/>
          <w:cols w:equalWidth="0" w:num="1">
            <w:col w:w="11400"/>
          </w:cols>
          <w:pgMar w:left="240" w:top="274" w:right="259" w:bottom="1440" w:gutter="0" w:footer="0" w:header="0"/>
        </w:sectPr>
      </w:pPr>
    </w:p>
    <w:bookmarkStart w:id="100" w:name="page101"/>
    <w:bookmarkEnd w:id="100"/>
    <w:p>
      <w:pPr>
        <w:jc w:val="both"/>
        <w:ind w:left="920" w:right="120" w:firstLine="421"/>
        <w:spacing w:after="0" w:line="264" w:lineRule="auto"/>
        <w:tabs>
          <w:tab w:leader="none" w:pos="1595"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all Indebtedness of others guaranteed by such Person to the extent of such guarantee;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Indebtedness of such Person or its Subsidiaries that is guaranteed by such Person or its Subsidiaries shall only be counted once in the calculation of the amount of Indebtedness of such Person and its Subsidiaries on a consolidated basis; and</w:t>
      </w:r>
    </w:p>
    <w:p>
      <w:pPr>
        <w:spacing w:after="0" w:line="73" w:lineRule="exact"/>
        <w:rPr>
          <w:rFonts w:ascii="Arial" w:cs="Arial" w:eastAsia="Arial" w:hAnsi="Arial"/>
          <w:sz w:val="18"/>
          <w:szCs w:val="18"/>
          <w:color w:val="auto"/>
        </w:rPr>
      </w:pPr>
    </w:p>
    <w:p>
      <w:pPr>
        <w:ind w:left="920" w:right="360" w:firstLine="421"/>
        <w:spacing w:after="0" w:line="308" w:lineRule="auto"/>
        <w:tabs>
          <w:tab w:leader="none" w:pos="1595" w:val="left"/>
        </w:tabs>
        <w:numPr>
          <w:ilvl w:val="0"/>
          <w:numId w:val="89"/>
        </w:numPr>
        <w:rPr>
          <w:rFonts w:ascii="Arial" w:cs="Arial" w:eastAsia="Arial" w:hAnsi="Arial"/>
          <w:sz w:val="17"/>
          <w:szCs w:val="17"/>
          <w:color w:val="auto"/>
        </w:rPr>
      </w:pPr>
      <w:r>
        <w:rPr>
          <w:rFonts w:ascii="Arial" w:cs="Arial" w:eastAsia="Arial" w:hAnsi="Arial"/>
          <w:sz w:val="17"/>
          <w:szCs w:val="17"/>
          <w:color w:val="auto"/>
        </w:rPr>
        <w:t>to the extent not otherwise included in this definition, net Hedging Obligations of such Person to the extent such obligations would appear as a liability on a balance sheet (excluding the footnotes thereto) of such Person prepared in accordance with GAAP.</w:t>
      </w:r>
    </w:p>
    <w:p>
      <w:pPr>
        <w:spacing w:after="0" w:line="14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amount of any Indebtedness which is incurred at a discount to the principal amount at maturity thereof as of any date shall be deemed to have been incurred at the accreted value thereof as of such date. The amount of Indebtedness of any Person at any date shall be the outstanding balance at such date of all unconditional obligations as described above, the maximum liability of such Person for any such contingent obligations at such date and, in the case of clause (7), the lesser of (a) the Fair Market Value of any asset subject to a Lien securing the Indebtedness of others on the date that the Lien attaches and (b) the amount of the Indebtedness secured. For purposes of clause (5), the “maximum fixed redemption or repurchase price” of any Disqualified Equity Interests or Preferred Stock that do not have a fixed redemption or repurchase price shall be calculated in accordance with the terms of such Disqualified Equity Interests or Preferred Stock, as applicable, as if such Disqualified Equity Interests or Preferred Stock were redeemed or repurchased on any date on which an amount of Indebtedness outstanding shall be required to be determined pursuant to the Indenture.</w:t>
      </w:r>
    </w:p>
    <w:p>
      <w:pPr>
        <w:spacing w:after="0" w:line="166"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The term “Indebtedness” excludes any repayment or reimbursement obligation of such Person or any of its Subsidiaries with respect to Customary Recourse Exceptions, unless and until an event or circumstance occurs that triggers the Person’s or such Subsidiary’s direct repayment or reimbursement obligation (as opposed to contingent or performance obligations) to the lender or other Person to whom such obligation is actually owed, in which case the amount of such direct payment or reimbursement obligation shall constitute Indebtedness.</w:t>
      </w:r>
    </w:p>
    <w:p>
      <w:pPr>
        <w:spacing w:after="0" w:line="17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the Base Indenture as amended and supplemented by this Supplemental Indenture and by any supplemental indenture thereto in respect of the Notes that may be executed and delivered by the parties thereto from time to time after the Issue Date.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Obligations</w:t>
      </w:r>
      <w:r>
        <w:rPr>
          <w:rFonts w:ascii="Arial" w:cs="Arial" w:eastAsia="Arial" w:hAnsi="Arial"/>
          <w:sz w:val="18"/>
          <w:szCs w:val="18"/>
          <w:color w:val="auto"/>
        </w:rPr>
        <w:t>” has the meaning specified in Section 1501.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w:t>
      </w:r>
      <w:r>
        <w:rPr>
          <w:rFonts w:ascii="Arial" w:cs="Arial" w:eastAsia="Arial" w:hAnsi="Arial"/>
          <w:sz w:val="18"/>
          <w:szCs w:val="18"/>
          <w:color w:val="auto"/>
        </w:rPr>
        <w:t>” means a director of the Parent Guarantor who is independent with respect to the transaction at issue.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has the meaning specified in Section 1203.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Notes</w:t>
      </w:r>
      <w:r>
        <w:rPr>
          <w:rFonts w:ascii="Arial" w:cs="Arial" w:eastAsia="Arial" w:hAnsi="Arial"/>
          <w:sz w:val="18"/>
          <w:szCs w:val="18"/>
          <w:color w:val="auto"/>
        </w:rPr>
        <w:t>” has the meaning indicated in the recitals to this Supplemental Indenture.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Insolvency or Liquidation Proceeding</w:t>
      </w:r>
      <w:r>
        <w:rPr>
          <w:rFonts w:ascii="Arial" w:cs="Arial" w:eastAsia="Arial" w:hAnsi="Arial"/>
          <w:sz w:val="18"/>
          <w:szCs w:val="18"/>
          <w:color w:val="auto"/>
        </w:rPr>
        <w:t>” has the meaning specified in Section 707.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Institutional Accredited Investor Global Note</w:t>
      </w:r>
      <w:r>
        <w:rPr>
          <w:rFonts w:ascii="Arial" w:cs="Arial" w:eastAsia="Arial" w:hAnsi="Arial"/>
          <w:sz w:val="18"/>
          <w:szCs w:val="18"/>
          <w:color w:val="auto"/>
        </w:rPr>
        <w:t>” has the meaning specified in Section 303.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Institutional Accredit Investor Notes</w:t>
      </w:r>
      <w:r>
        <w:rPr>
          <w:rFonts w:ascii="Arial" w:cs="Arial" w:eastAsia="Arial" w:hAnsi="Arial"/>
          <w:sz w:val="18"/>
          <w:szCs w:val="18"/>
          <w:color w:val="auto"/>
        </w:rPr>
        <w:t>” has the meaning specified in Section 303.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w:t>
      </w:r>
      <w:r>
        <w:rPr>
          <w:rFonts w:ascii="Arial" w:cs="Arial" w:eastAsia="Arial" w:hAnsi="Arial"/>
          <w:sz w:val="18"/>
          <w:szCs w:val="18"/>
          <w:color w:val="auto"/>
        </w:rPr>
        <w:t>” with respect to the Notes includes Additional Interest, if any.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101" w:name="page102"/>
    <w:bookmarkEnd w:id="10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Interest Payment Date,</w:t>
      </w:r>
      <w:r>
        <w:rPr>
          <w:rFonts w:ascii="Arial" w:cs="Arial" w:eastAsia="Arial" w:hAnsi="Arial"/>
          <w:sz w:val="18"/>
          <w:szCs w:val="18"/>
          <w:color w:val="auto"/>
        </w:rPr>
        <w:t>” when used with respect to any Note, means the Stated Maturity of an installment of interest on such Note.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Company Act</w:t>
      </w:r>
      <w:r>
        <w:rPr>
          <w:rFonts w:ascii="Arial" w:cs="Arial" w:eastAsia="Arial" w:hAnsi="Arial"/>
          <w:sz w:val="16"/>
          <w:szCs w:val="16"/>
          <w:color w:val="auto"/>
        </w:rPr>
        <w:t>” means the Investment Company Act of 1940 and any statute successor thereto, in each case as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with respect to the Notes, a rating equal to or higher than Baa3 (or the equivalent under any successor ratings categories of Moody’s) by Moody’s and BBB- (or the equivalent under any successor ratings categories by S&amp;P) by S&amp;P.</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Investments</w:t>
      </w:r>
      <w:r>
        <w:rPr>
          <w:rFonts w:ascii="Arial" w:cs="Arial" w:eastAsia="Arial" w:hAnsi="Arial"/>
          <w:sz w:val="18"/>
          <w:szCs w:val="18"/>
          <w:color w:val="auto"/>
        </w:rPr>
        <w:t>” of any Person means:</w:t>
      </w:r>
    </w:p>
    <w:p>
      <w:pPr>
        <w:spacing w:after="0" w:line="117" w:lineRule="exact"/>
        <w:rPr>
          <w:sz w:val="20"/>
          <w:szCs w:val="20"/>
          <w:color w:val="auto"/>
        </w:rPr>
      </w:pPr>
    </w:p>
    <w:p>
      <w:pPr>
        <w:ind w:left="920" w:right="180" w:firstLine="421"/>
        <w:spacing w:after="0" w:line="342" w:lineRule="auto"/>
        <w:tabs>
          <w:tab w:leader="none" w:pos="1595"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direct or indirect investments by such Person in any other Person (including Affiliates) in the form of loans, advances or capital contributions or other credit extensions constituting Indebtedness of such other Person, and any guarantee of Indebtedness of any other Person;</w:t>
      </w:r>
    </w:p>
    <w:p>
      <w:pPr>
        <w:spacing w:after="0" w:line="15" w:lineRule="exact"/>
        <w:rPr>
          <w:rFonts w:ascii="Arial" w:cs="Arial" w:eastAsia="Arial" w:hAnsi="Arial"/>
          <w:sz w:val="16"/>
          <w:szCs w:val="16"/>
          <w:color w:val="auto"/>
        </w:rPr>
      </w:pPr>
    </w:p>
    <w:p>
      <w:pPr>
        <w:ind w:left="920" w:right="180" w:firstLine="421"/>
        <w:spacing w:after="0" w:line="342" w:lineRule="auto"/>
        <w:tabs>
          <w:tab w:leader="none" w:pos="1595"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purchases (or other acquisitions for consideration) by such Person of Indebtedness, Equity Interests or other securities of any other Person (other than any such purchase that constitutes a Restricted Payment of the type described in clause (2) of the definition thereof);</w:t>
      </w:r>
    </w:p>
    <w:p>
      <w:pPr>
        <w:spacing w:after="0" w:line="15" w:lineRule="exact"/>
        <w:rPr>
          <w:rFonts w:ascii="Arial" w:cs="Arial" w:eastAsia="Arial" w:hAnsi="Arial"/>
          <w:sz w:val="16"/>
          <w:szCs w:val="16"/>
          <w:color w:val="auto"/>
        </w:rPr>
      </w:pPr>
    </w:p>
    <w:p>
      <w:pPr>
        <w:ind w:left="920" w:right="80" w:firstLine="421"/>
        <w:spacing w:after="0" w:line="277" w:lineRule="auto"/>
        <w:tabs>
          <w:tab w:leader="none" w:pos="15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other items that would be classified as investments in another Person on a balance sheet of such Person prepared in accordance with GAAP; and</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Designation of any Subsidiary as an Unrestricted Subsidiary.</w:t>
      </w:r>
    </w:p>
    <w:p>
      <w:pPr>
        <w:spacing w:after="0" w:line="225"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Except as otherwise expressly specified in this definition, the amount of any Investment (other than an Investment made in cash) shall be the Fair Market Value thereof on the date such Investment is made. The amount of an Investment pursuant to clause (4) shall be the Designation Amount determined in accordance with Section 1106. If the Parent Guarantor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the Parent Guarantor shall be deemed to have made an Investment on the date of any such sale or other disposition equal to the Fair Market Value of the Equity Interests of and all other Investments in such Restricted Subsidiary retained. Notwithstanding the foregoing, purchases or redemptions of Equity Interests of the Parent Guarantor shall be deemed not to be Investments.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first date on which the Notes are issued under the Indenture.</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w:t>
      </w:r>
      <w:r>
        <w:rPr>
          <w:rFonts w:ascii="Arial" w:cs="Arial" w:eastAsia="Arial" w:hAnsi="Arial"/>
          <w:sz w:val="18"/>
          <w:szCs w:val="18"/>
          <w:color w:val="auto"/>
        </w:rPr>
        <w:t>” means the Person named as the “Issuer” in the first paragraph of this Supplemental Indenture until a successor Person shall have become such pursuant to the applicable provisions of the Indenture, and thereafter “Issuer” shall mean such successor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Issuer Request</w:t>
      </w:r>
      <w:r>
        <w:rPr>
          <w:rFonts w:ascii="Arial" w:cs="Arial" w:eastAsia="Arial" w:hAnsi="Arial"/>
          <w:sz w:val="16"/>
          <w:szCs w:val="16"/>
          <w:color w:val="auto"/>
        </w:rPr>
        <w:t>” or “</w:t>
      </w:r>
      <w:r>
        <w:rPr>
          <w:rFonts w:ascii="Arial" w:cs="Arial" w:eastAsia="Arial" w:hAnsi="Arial"/>
          <w:sz w:val="16"/>
          <w:szCs w:val="16"/>
          <w:i w:val="1"/>
          <w:iCs w:val="1"/>
          <w:color w:val="auto"/>
        </w:rPr>
        <w:t>Issuer Order</w:t>
      </w:r>
      <w:r>
        <w:rPr>
          <w:rFonts w:ascii="Arial" w:cs="Arial" w:eastAsia="Arial" w:hAnsi="Arial"/>
          <w:sz w:val="16"/>
          <w:szCs w:val="16"/>
          <w:color w:val="auto"/>
        </w:rPr>
        <w:t>” means a written request or order signed in the name of the Issuer by an Officer and delivered to the Trustee.</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 has the meaning specified in Section 217.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 has the meaning specified in Section 1402.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02" w:name="page103"/>
    <w:bookmarkEnd w:id="102"/>
    <w:p>
      <w:pPr>
        <w:ind w:right="120" w:firstLine="913"/>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Lien</w:t>
      </w:r>
      <w:r>
        <w:rPr>
          <w:rFonts w:ascii="Arial" w:cs="Arial" w:eastAsia="Arial" w:hAnsi="Arial"/>
          <w:sz w:val="16"/>
          <w:szCs w:val="16"/>
          <w:color w:val="auto"/>
        </w:rPr>
        <w:t xml:space="preserve">” means any mortgage, pledge, security interest, charge, lien or other encumbrance of any kind, whether or not filed, recorded or perfected under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“Lien” shall not include or cover setoff rights and other standard arrangements for netting payment obligations in the settlement of obligations arising under (i) ISDA standard documents or agreements otherwise customary in swap or hedging transactions, (ii) deposit, securities and commodity accounts and (iii) banking services (credit cards for commercial customers (including commercial credit cards and purchasing cards), stored value cards, merchant processing services and treasury management services (including controlled disbursement, automated clearinghouse transactions, return items, any direct debit scheme or arrangement, overdrafts and interstate depository network services)).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Make-Whole Price</w:t>
      </w:r>
      <w:r>
        <w:rPr>
          <w:rFonts w:ascii="Arial" w:cs="Arial" w:eastAsia="Arial" w:hAnsi="Arial"/>
          <w:sz w:val="18"/>
          <w:szCs w:val="18"/>
          <w:color w:val="auto"/>
        </w:rPr>
        <w:t>” has the meaning specified in Section 1203.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of an Unrestricted Subsidiary:</w:t>
      </w:r>
    </w:p>
    <w:p>
      <w:pPr>
        <w:spacing w:after="0" w:line="117" w:lineRule="exact"/>
        <w:rPr>
          <w:sz w:val="20"/>
          <w:szCs w:val="20"/>
          <w:color w:val="auto"/>
        </w:rPr>
      </w:pPr>
    </w:p>
    <w:p>
      <w:pPr>
        <w:ind w:left="920" w:right="700" w:firstLine="421"/>
        <w:spacing w:after="0" w:line="264" w:lineRule="auto"/>
        <w:tabs>
          <w:tab w:leader="none" w:pos="15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to which neither the Parent Guarantor nor any Restricted Subsidiary (a) provides credit support of any kind (including any undertaking, agreement or instrument that would constitute Indebtedness), except for Customary Recourse Exceptions, (b) is directly or indirectly liable as a guarantor or otherwise, or (c) constitutes the lender; and</w:t>
      </w:r>
    </w:p>
    <w:p>
      <w:pPr>
        <w:spacing w:after="0" w:line="73" w:lineRule="exact"/>
        <w:rPr>
          <w:rFonts w:ascii="Arial" w:cs="Arial" w:eastAsia="Arial" w:hAnsi="Arial"/>
          <w:sz w:val="18"/>
          <w:szCs w:val="18"/>
          <w:color w:val="auto"/>
        </w:rPr>
      </w:pPr>
    </w:p>
    <w:p>
      <w:pPr>
        <w:ind w:left="920" w:right="160" w:firstLine="421"/>
        <w:spacing w:after="0" w:line="259" w:lineRule="auto"/>
        <w:tabs>
          <w:tab w:leader="none" w:pos="15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thereof may have to take enforcement action against an Unrestricted Subsidiary) would permit upon notice, lapse of time or both any holder of any other Indebtedness of the Parent Guarantor or any Restricted Subsidiary to declare a default on the other Indebtedness or cause the payment thereof to be accelerated or payable prior to its Stated Maturity.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 (as defined in Regulation 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Notation of Guarantee</w:t>
      </w:r>
      <w:r>
        <w:rPr>
          <w:rFonts w:ascii="Arial" w:cs="Arial" w:eastAsia="Arial" w:hAnsi="Arial"/>
          <w:sz w:val="18"/>
          <w:szCs w:val="18"/>
          <w:color w:val="auto"/>
        </w:rPr>
        <w:t>” has the meaning specified in Section 1502.</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has the meaning indicated in the recitals to this Supplemental Indenture and includes both the Initial Notes and any Additional Notes and Exchange Notes.</w:t>
      </w:r>
    </w:p>
    <w:p>
      <w:pPr>
        <w:spacing w:after="0" w:line="170"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w:t>
      </w:r>
      <w:r>
        <w:rPr>
          <w:rFonts w:ascii="Arial" w:cs="Arial" w:eastAsia="Arial" w:hAnsi="Arial"/>
          <w:sz w:val="18"/>
          <w:szCs w:val="18"/>
          <w:color w:val="auto"/>
        </w:rPr>
        <w:t>” means any principal, interest, penalties, fees, indemnification, reimbursements, costs, expenses, damages and other liabilities payable under the documentation governing any Indebtedness.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Offering Memorandum</w:t>
      </w:r>
      <w:r>
        <w:rPr>
          <w:rFonts w:ascii="Arial" w:cs="Arial" w:eastAsia="Arial" w:hAnsi="Arial"/>
          <w:sz w:val="16"/>
          <w:szCs w:val="16"/>
          <w:color w:val="auto"/>
        </w:rPr>
        <w:t>” means the Issuer’s final offering memorandum dated November 15, 2016 respecting the offering of the Initial Notes.</w:t>
      </w:r>
    </w:p>
    <w:p>
      <w:pPr>
        <w:spacing w:after="0" w:line="24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any of the following of the Issuer or any Guarantor: the Chairman of the Board, the Chief Executive Officer, the President, any Vice President, or any other duly authorized officer of the Issuer or such Guarantor, as the case may be, or (save in the case of the Parent Guarantor) any other person duly authorized by any such person.</w:t>
      </w:r>
    </w:p>
    <w:p>
      <w:pPr>
        <w:spacing w:after="0" w:line="181" w:lineRule="exact"/>
        <w:rPr>
          <w:sz w:val="20"/>
          <w:szCs w:val="20"/>
          <w:color w:val="auto"/>
        </w:rPr>
      </w:pPr>
    </w:p>
    <w:p>
      <w:pPr>
        <w:jc w:val="center"/>
        <w:ind w:left="460" w:right="70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 Officer of the Issuer or a Guarantor, as appropriate, and delivered to the Trustee. 17</w:t>
      </w:r>
    </w:p>
    <w:p>
      <w:pPr>
        <w:sectPr>
          <w:pgSz w:w="11900" w:h="16838" w:orient="portrait"/>
          <w:cols w:equalWidth="0" w:num="1">
            <w:col w:w="11400"/>
          </w:cols>
          <w:pgMar w:left="240" w:top="274" w:right="259" w:bottom="1440" w:gutter="0" w:footer="0" w:header="0"/>
        </w:sectPr>
      </w:pPr>
    </w:p>
    <w:bookmarkStart w:id="103" w:name="page104"/>
    <w:bookmarkEnd w:id="103"/>
    <w:p>
      <w:pPr>
        <w:jc w:val="both"/>
        <w:ind w:right="1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counsel, who may be an employee of or counsel for the Issuer, a Guarantor or a Restricted Subsidiary, as the case may be, but in the case of New York or U.S. federal law, will be reputable outside counsel, and in each case, who shall be reasonably acceptable to the Trustee.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Indenture</w:t>
      </w:r>
      <w:r>
        <w:rPr>
          <w:rFonts w:ascii="Arial" w:cs="Arial" w:eastAsia="Arial" w:hAnsi="Arial"/>
          <w:sz w:val="18"/>
          <w:szCs w:val="18"/>
          <w:color w:val="auto"/>
        </w:rPr>
        <w:t>” has the meaning stated in the first recital of this Supplemental Indenture.</w:t>
      </w:r>
    </w:p>
    <w:p>
      <w:pPr>
        <w:spacing w:after="0" w:line="225"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w:t>
      </w:r>
      <w:r>
        <w:rPr>
          <w:rFonts w:ascii="Arial" w:cs="Arial" w:eastAsia="Arial" w:hAnsi="Arial"/>
          <w:sz w:val="18"/>
          <w:szCs w:val="18"/>
          <w:color w:val="auto"/>
        </w:rPr>
        <w:t>” when used with respect to the Notes, means, as of the date of determination, all Notes theretofore authenticated and delivered under the Indenture, except:</w:t>
      </w:r>
    </w:p>
    <w:p>
      <w:pPr>
        <w:spacing w:after="0" w:line="62" w:lineRule="exact"/>
        <w:rPr>
          <w:sz w:val="20"/>
          <w:szCs w:val="20"/>
          <w:color w:val="auto"/>
        </w:rPr>
      </w:pPr>
    </w:p>
    <w:p>
      <w:pPr>
        <w:ind w:left="1600" w:hanging="259"/>
        <w:spacing w:after="0"/>
        <w:tabs>
          <w:tab w:leader="none" w:pos="1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Notes theretofore cancelled by the Trustee or delivered to the Trustee for cancellation;</w:t>
      </w:r>
    </w:p>
    <w:p>
      <w:pPr>
        <w:spacing w:after="0" w:line="117" w:lineRule="exact"/>
        <w:rPr>
          <w:rFonts w:ascii="Arial" w:cs="Arial" w:eastAsia="Arial" w:hAnsi="Arial"/>
          <w:sz w:val="18"/>
          <w:szCs w:val="18"/>
          <w:color w:val="auto"/>
        </w:rPr>
      </w:pPr>
    </w:p>
    <w:p>
      <w:pPr>
        <w:ind w:left="920" w:right="100" w:firstLine="421"/>
        <w:spacing w:after="0" w:line="279" w:lineRule="auto"/>
        <w:tabs>
          <w:tab w:leader="none" w:pos="1595"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Notes for whose payment or redemption money in the necessary amount has been theretofore deposited with the Trustee or any Paying Agent (other than the Issuer or an Affiliate of the Issuer) in trust or set aside and segregated in trust by the Issuer (if the Issuer or an Affiliate of the Issuer shall act as its own Paying Agent) for the Holders of such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Notes are to be redeemed, notice of such redemption has been duly given pursuant to the Indenture or provision therefor satisfactory to the Trustee has been made;</w:t>
      </w:r>
    </w:p>
    <w:p>
      <w:pPr>
        <w:spacing w:after="0" w:line="63" w:lineRule="exact"/>
        <w:rPr>
          <w:rFonts w:ascii="Arial" w:cs="Arial" w:eastAsia="Arial" w:hAnsi="Arial"/>
          <w:sz w:val="17"/>
          <w:szCs w:val="17"/>
          <w:color w:val="auto"/>
        </w:rPr>
      </w:pPr>
    </w:p>
    <w:p>
      <w:pPr>
        <w:ind w:left="1600" w:hanging="259"/>
        <w:spacing w:after="0"/>
        <w:tabs>
          <w:tab w:leader="none" w:pos="1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Notes as to which Legal Defeasance has been effected pursuant to Section 1402; and</w:t>
      </w:r>
    </w:p>
    <w:p>
      <w:pPr>
        <w:spacing w:after="0" w:line="117" w:lineRule="exact"/>
        <w:rPr>
          <w:rFonts w:ascii="Arial" w:cs="Arial" w:eastAsia="Arial" w:hAnsi="Arial"/>
          <w:sz w:val="18"/>
          <w:szCs w:val="18"/>
          <w:color w:val="auto"/>
        </w:rPr>
      </w:pPr>
    </w:p>
    <w:p>
      <w:pPr>
        <w:ind w:left="920" w:right="340" w:firstLine="421"/>
        <w:spacing w:after="0" w:line="312" w:lineRule="auto"/>
        <w:tabs>
          <w:tab w:leader="none" w:pos="1595" w:val="left"/>
        </w:tabs>
        <w:numPr>
          <w:ilvl w:val="0"/>
          <w:numId w:val="92"/>
        </w:numPr>
        <w:rPr>
          <w:rFonts w:ascii="Arial" w:cs="Arial" w:eastAsia="Arial" w:hAnsi="Arial"/>
          <w:sz w:val="16"/>
          <w:szCs w:val="16"/>
          <w:color w:val="auto"/>
        </w:rPr>
      </w:pPr>
      <w:r>
        <w:rPr>
          <w:rFonts w:ascii="Arial" w:cs="Arial" w:eastAsia="Arial" w:hAnsi="Arial"/>
          <w:sz w:val="16"/>
          <w:szCs w:val="16"/>
          <w:color w:val="auto"/>
        </w:rPr>
        <w:t>Notes which have been paid pursuant to Section 406 or in exchange for or in lieu of which other Notes have been authenticated and delivered pursuant to the Indenture, other than any such Notes in respect of which there shall have been presented to the Trustee proof satisfactory to it that such Notes are held by a protected purchaser in whose hands such Notes are valid obligations of the Issuer;</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determining whether the Holders of the requisite principal amount of the Outstanding Notes have given, made or taken any request,</w:t>
      </w:r>
      <w:r>
        <w:rPr>
          <w:rFonts w:ascii="Arial" w:cs="Arial" w:eastAsia="Arial" w:hAnsi="Arial"/>
          <w:sz w:val="17"/>
          <w:szCs w:val="17"/>
          <w:i w:val="1"/>
          <w:iCs w:val="1"/>
          <w:color w:val="auto"/>
        </w:rPr>
        <w:t xml:space="preserve"> </w:t>
      </w:r>
      <w:r>
        <w:rPr>
          <w:rFonts w:ascii="Arial" w:cs="Arial" w:eastAsia="Arial" w:hAnsi="Arial"/>
          <w:sz w:val="17"/>
          <w:szCs w:val="17"/>
          <w:color w:val="auto"/>
        </w:rPr>
        <w:t>demand, authorization, direction, notice, consent, waiver or other Act hereunder as of any date, Notes owned by the Issuer or any other obligor upon the Notes or any Affiliate of the Issuer or such other obligor shall be disregarded and deemed not to be Outstanding, except that, in determining whether the Trustee shall be protected in relying upon any such request, demand, authorization, direction, notice, consent, waiver or other action, only Notes which the Trustee knows to be so owned shall be so disregarded. Notes so owned which have been pledged in good faith may be regarded as Outstanding if the pledgee certifies to the Trustee that the pledgee has the right so to act with respect to such Notes and that the pledgee is not the Issuer or any other obligor upon the Notes or any Affiliate of the Issuer or of such other obligor.</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has the meaning specified in Section 1203.</w:t>
      </w:r>
    </w:p>
    <w:p>
      <w:pPr>
        <w:spacing w:after="0" w:line="225" w:lineRule="exact"/>
        <w:rPr>
          <w:sz w:val="20"/>
          <w:szCs w:val="20"/>
          <w:color w:val="auto"/>
        </w:rPr>
      </w:pPr>
    </w:p>
    <w:p>
      <w:pPr>
        <w:jc w:val="both"/>
        <w:ind w:right="2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Parent Guarantor</w:t>
      </w:r>
      <w:r>
        <w:rPr>
          <w:rFonts w:ascii="Arial" w:cs="Arial" w:eastAsia="Arial" w:hAnsi="Arial"/>
          <w:sz w:val="16"/>
          <w:szCs w:val="16"/>
          <w:color w:val="auto"/>
        </w:rPr>
        <w:t>” means the Person named as the “Parent Guarantor” in the first paragraph of this Supplemental Indenture until a successor Person shall have become such pursuant to the applicable provisions of the Indenture, and thereafter “Parent Guarantor” shall mean such successor Person.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Indebtedness</w:t>
      </w:r>
      <w:r>
        <w:rPr>
          <w:rFonts w:ascii="Arial" w:cs="Arial" w:eastAsia="Arial" w:hAnsi="Arial"/>
          <w:sz w:val="18"/>
          <w:szCs w:val="18"/>
          <w:color w:val="auto"/>
        </w:rPr>
        <w:t>” means any Indebtedness of the Parent Guarantor that is not Subordinated Indebtedness.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Paying Agent</w:t>
      </w:r>
      <w:r>
        <w:rPr>
          <w:rFonts w:ascii="Arial" w:cs="Arial" w:eastAsia="Arial" w:hAnsi="Arial"/>
          <w:sz w:val="17"/>
          <w:szCs w:val="17"/>
          <w:color w:val="auto"/>
        </w:rPr>
        <w:t>” means any Person authorized by the Issuer to pay the principal of or any premium or interest on any Notes on behalf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04" w:name="page105"/>
    <w:bookmarkEnd w:id="104"/>
    <w:p>
      <w:pPr>
        <w:ind w:right="360"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Permitted Business</w:t>
      </w:r>
      <w:r>
        <w:rPr>
          <w:rFonts w:ascii="Arial" w:cs="Arial" w:eastAsia="Arial" w:hAnsi="Arial"/>
          <w:sz w:val="16"/>
          <w:szCs w:val="16"/>
          <w:color w:val="auto"/>
        </w:rPr>
        <w:t>” means the businesses engaged in by the Parent Guarantor and its Subsidiaries on the Issue Date and businesses that are reasonably related, incidental or ancillary thereto or reasonable extensions thereof as determined by the Board of Directors of Parent Guarantor.</w:t>
      </w:r>
    </w:p>
    <w:p>
      <w:pPr>
        <w:spacing w:after="0" w:line="124"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 Investment</w:t>
      </w:r>
      <w:r>
        <w:rPr>
          <w:rFonts w:ascii="Arial" w:cs="Arial" w:eastAsia="Arial" w:hAnsi="Arial"/>
          <w:sz w:val="18"/>
          <w:szCs w:val="18"/>
          <w:color w:val="auto"/>
        </w:rPr>
        <w:t>” means Investments made in the course of conducting a Permitted Business, whether through agreements, transactions, joint ventures, expenditures or other arrangements that permit one to share risks or costs of such activities or comply with regulatory requirements regarding local ownership, including, without limitation, direct or indirect ownership interests in all types of drilling, transportation and oilfield services assets, property and equipment.</w:t>
      </w:r>
    </w:p>
    <w:p>
      <w:pPr>
        <w:spacing w:after="0" w:line="187"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Factoring Transactions</w:t>
      </w:r>
      <w:r>
        <w:rPr>
          <w:rFonts w:ascii="Arial" w:cs="Arial" w:eastAsia="Arial" w:hAnsi="Arial"/>
          <w:sz w:val="18"/>
          <w:szCs w:val="18"/>
          <w:color w:val="auto"/>
        </w:rPr>
        <w:t>” means receivables purchase facilities and factoring transactions in existence on the Issue Date or entered into by Parent Guarantor or any Restricted Subsidiary with respect to Receivables originated by Parent Guarantor or such Restricted Subsidiary in the ordinary course of business, which may contain Standard Securitization Undertakings.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Indebtedness</w:t>
      </w:r>
      <w:r>
        <w:rPr>
          <w:rFonts w:ascii="Arial" w:cs="Arial" w:eastAsia="Arial" w:hAnsi="Arial"/>
          <w:sz w:val="18"/>
          <w:szCs w:val="18"/>
          <w:color w:val="auto"/>
        </w:rPr>
        <w:t>” has the meaning set forth in the second paragraph of Section 1108.</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w:t>
      </w:r>
      <w:r>
        <w:rPr>
          <w:rFonts w:ascii="Arial" w:cs="Arial" w:eastAsia="Arial" w:hAnsi="Arial"/>
          <w:sz w:val="18"/>
          <w:szCs w:val="18"/>
          <w:color w:val="auto"/>
        </w:rPr>
        <w:t>” means:</w:t>
      </w:r>
    </w:p>
    <w:p>
      <w:pPr>
        <w:spacing w:after="0" w:line="117" w:lineRule="exact"/>
        <w:rPr>
          <w:sz w:val="20"/>
          <w:szCs w:val="20"/>
          <w:color w:val="auto"/>
        </w:rPr>
      </w:pPr>
    </w:p>
    <w:p>
      <w:pPr>
        <w:ind w:left="920" w:right="240" w:firstLine="421"/>
        <w:spacing w:after="0" w:line="259" w:lineRule="auto"/>
        <w:tabs>
          <w:tab w:leader="none" w:pos="15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Investments by the Parent Guarantor or any Restricted Subsidiary in (a) any Restricted Subsidiary or (b) any Person that will become immediately after such Investment a Restricted Subsidiary or that will merge or consolidate into the Parent Guarantor or any Restricted Subsidiary and any Investment held by any such Person at such time that was not incurred in contemplation of such acquisition, merger or consolidation;</w:t>
      </w:r>
    </w:p>
    <w:p>
      <w:pPr>
        <w:spacing w:after="0" w:line="78" w:lineRule="exact"/>
        <w:rPr>
          <w:rFonts w:ascii="Arial" w:cs="Arial" w:eastAsia="Arial" w:hAnsi="Arial"/>
          <w:sz w:val="18"/>
          <w:szCs w:val="18"/>
          <w:color w:val="auto"/>
        </w:rPr>
      </w:pPr>
    </w:p>
    <w:p>
      <w:pPr>
        <w:ind w:left="1600" w:hanging="259"/>
        <w:spacing w:after="0"/>
        <w:tabs>
          <w:tab w:leader="none" w:pos="1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Investments in the Parent Guarantor by any Restricted Subsidiary;</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loans and advances to directors, employees and officers of the Parent Guarantor and its Restricted Subsidiaries in the ordinary course of</w:t>
      </w:r>
    </w:p>
    <w:p>
      <w:pPr>
        <w:spacing w:after="0" w:line="46"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left="920" w:right="420" w:firstLine="421"/>
        <w:spacing w:after="0" w:line="277" w:lineRule="auto"/>
        <w:tabs>
          <w:tab w:leader="none" w:pos="15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Hedging Obligations entered into in the ordinary course of business for bona fide hedging purposes of the Parent Guarantor or any Restricted Subsidiary not for the purpose of speculation;</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117" w:lineRule="exact"/>
        <w:rPr>
          <w:rFonts w:ascii="Arial" w:cs="Arial" w:eastAsia="Arial" w:hAnsi="Arial"/>
          <w:sz w:val="18"/>
          <w:szCs w:val="18"/>
          <w:color w:val="auto"/>
        </w:rPr>
      </w:pPr>
    </w:p>
    <w:p>
      <w:pPr>
        <w:ind w:left="920" w:right="160" w:firstLine="421"/>
        <w:spacing w:after="0" w:line="264" w:lineRule="auto"/>
        <w:tabs>
          <w:tab w:leader="none" w:pos="15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receivables owing to the Parent Guarantor or any Restricted Subsidiary if created or acquired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trade terms may include such concessionary trade terms as the Parent Guarantor or any such Restricted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deems reasonable under the circumstances;</w:t>
      </w:r>
    </w:p>
    <w:p>
      <w:pPr>
        <w:spacing w:after="0" w:line="73" w:lineRule="exact"/>
        <w:rPr>
          <w:rFonts w:ascii="Arial" w:cs="Arial" w:eastAsia="Arial" w:hAnsi="Arial"/>
          <w:sz w:val="18"/>
          <w:szCs w:val="18"/>
          <w:color w:val="auto"/>
        </w:rPr>
      </w:pPr>
    </w:p>
    <w:p>
      <w:pPr>
        <w:ind w:left="920" w:firstLine="421"/>
        <w:spacing w:after="0" w:line="264" w:lineRule="auto"/>
        <w:tabs>
          <w:tab w:leader="none" w:pos="15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Investments in securities of trade creditors or customers received pursuant to any plan of reorganization or similar arrangement upon the bankruptcy or insolvency of such trade creditors or customers or received in compromise or resolution of litigation, arbitration or other disputes with such parties;</w:t>
      </w:r>
    </w:p>
    <w:p>
      <w:pPr>
        <w:spacing w:after="0" w:line="73" w:lineRule="exact"/>
        <w:rPr>
          <w:rFonts w:ascii="Arial" w:cs="Arial" w:eastAsia="Arial" w:hAnsi="Arial"/>
          <w:sz w:val="18"/>
          <w:szCs w:val="18"/>
          <w:color w:val="auto"/>
        </w:rPr>
      </w:pPr>
    </w:p>
    <w:p>
      <w:pPr>
        <w:ind w:left="920" w:right="460" w:firstLine="421"/>
        <w:spacing w:after="0" w:line="277" w:lineRule="auto"/>
        <w:tabs>
          <w:tab w:leader="none" w:pos="15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Investments evidencing the right to receive a deferred purchase price or other consideration for the disposition of Receivables and Receivables Related Security in connection with any Permitted Factoring Transaction;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05" w:name="page106"/>
    <w:bookmarkEnd w:id="105"/>
    <w:p>
      <w:pPr>
        <w:ind w:left="1600" w:hanging="259"/>
        <w:spacing w:after="0"/>
        <w:tabs>
          <w:tab w:leader="none" w:pos="1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guarantees of performance or similar obligations (other than Indebtedness) arising in the ordinary course of business;</w:t>
      </w:r>
    </w:p>
    <w:p>
      <w:pPr>
        <w:spacing w:after="0" w:line="117" w:lineRule="exact"/>
        <w:rPr>
          <w:rFonts w:ascii="Arial" w:cs="Arial" w:eastAsia="Arial" w:hAnsi="Arial"/>
          <w:sz w:val="18"/>
          <w:szCs w:val="18"/>
          <w:color w:val="auto"/>
        </w:rPr>
      </w:pPr>
    </w:p>
    <w:p>
      <w:pPr>
        <w:ind w:left="1680" w:hanging="339"/>
        <w:spacing w:after="0"/>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117" w:lineRule="exact"/>
        <w:rPr>
          <w:rFonts w:ascii="Arial" w:cs="Arial" w:eastAsia="Arial" w:hAnsi="Arial"/>
          <w:sz w:val="18"/>
          <w:szCs w:val="18"/>
          <w:color w:val="auto"/>
        </w:rPr>
      </w:pPr>
    </w:p>
    <w:p>
      <w:pPr>
        <w:ind w:left="920" w:right="500" w:firstLine="421"/>
        <w:spacing w:after="0" w:line="277" w:lineRule="auto"/>
        <w:tabs>
          <w:tab w:leader="none" w:pos="1678" w:val="left"/>
        </w:tabs>
        <w:numPr>
          <w:ilvl w:val="0"/>
          <w:numId w:val="94"/>
        </w:numPr>
        <w:rPr>
          <w:rFonts w:ascii="Arial" w:cs="Arial" w:eastAsia="Arial" w:hAnsi="Arial"/>
          <w:sz w:val="18"/>
          <w:szCs w:val="18"/>
          <w:color w:val="auto"/>
        </w:rPr>
      </w:pPr>
      <w:r>
        <w:rPr>
          <w:rFonts w:ascii="Arial" w:cs="Arial" w:eastAsia="Arial" w:hAnsi="Arial"/>
          <w:sz w:val="18"/>
          <w:szCs w:val="18"/>
          <w:color w:val="auto"/>
        </w:rPr>
        <w:t>stock, obligations or securities received in settlement of debts created in the ordinary course of business and owing to the Parent Guarantor or any Restricted Subsidiary or in satisfaction of judgments;</w:t>
      </w:r>
    </w:p>
    <w:p>
      <w:pPr>
        <w:spacing w:after="0" w:line="62" w:lineRule="exact"/>
        <w:rPr>
          <w:rFonts w:ascii="Arial" w:cs="Arial" w:eastAsia="Arial" w:hAnsi="Arial"/>
          <w:sz w:val="18"/>
          <w:szCs w:val="18"/>
          <w:color w:val="auto"/>
        </w:rPr>
      </w:pPr>
    </w:p>
    <w:p>
      <w:pPr>
        <w:ind w:left="1680" w:hanging="339"/>
        <w:spacing w:after="0"/>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Permitted Business Investments;</w:t>
      </w:r>
    </w:p>
    <w:p>
      <w:pPr>
        <w:spacing w:after="0" w:line="117" w:lineRule="exact"/>
        <w:rPr>
          <w:rFonts w:ascii="Arial" w:cs="Arial" w:eastAsia="Arial" w:hAnsi="Arial"/>
          <w:sz w:val="18"/>
          <w:szCs w:val="18"/>
          <w:color w:val="auto"/>
        </w:rPr>
      </w:pPr>
    </w:p>
    <w:p>
      <w:pPr>
        <w:ind w:left="1680" w:hanging="339"/>
        <w:spacing w:after="0"/>
        <w:tabs>
          <w:tab w:leader="none" w:pos="16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guarantees of Indebtedness of the Parent Guarantor or any of its Restricted Subsidiaries permitted in accordance with Section 1108;</w:t>
      </w:r>
    </w:p>
    <w:p>
      <w:pPr>
        <w:spacing w:after="0" w:line="140" w:lineRule="exact"/>
        <w:rPr>
          <w:rFonts w:ascii="Arial" w:cs="Arial" w:eastAsia="Arial" w:hAnsi="Arial"/>
          <w:sz w:val="16"/>
          <w:szCs w:val="16"/>
          <w:color w:val="auto"/>
        </w:rPr>
      </w:pPr>
    </w:p>
    <w:p>
      <w:pPr>
        <w:ind w:left="1680" w:hanging="339"/>
        <w:spacing w:after="0"/>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repurchases of, or other Investments in, the Notes and Pari Passu Indebtedness;</w:t>
      </w:r>
    </w:p>
    <w:p>
      <w:pPr>
        <w:spacing w:after="0" w:line="117" w:lineRule="exact"/>
        <w:rPr>
          <w:rFonts w:ascii="Arial" w:cs="Arial" w:eastAsia="Arial" w:hAnsi="Arial"/>
          <w:sz w:val="18"/>
          <w:szCs w:val="18"/>
          <w:color w:val="auto"/>
        </w:rPr>
      </w:pPr>
    </w:p>
    <w:p>
      <w:pPr>
        <w:ind w:left="920" w:firstLine="421"/>
        <w:spacing w:after="0" w:line="259" w:lineRule="auto"/>
        <w:tabs>
          <w:tab w:leader="none" w:pos="168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advances or extensions of credit in the nature of accounts receivable arising from the sale or lease of goods or services, the leasing of equipment or the licensing of property in the ordinary course of business and payable or dischargeable in accordance with customary trade terms;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trade terms may include such concessionary trade terms as the Parent Guarantor or the applicable Restricted Subsidiary deems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under the circumstances;</w:t>
      </w:r>
    </w:p>
    <w:p>
      <w:pPr>
        <w:spacing w:after="0" w:line="78" w:lineRule="exact"/>
        <w:rPr>
          <w:rFonts w:ascii="Arial" w:cs="Arial" w:eastAsia="Arial" w:hAnsi="Arial"/>
          <w:sz w:val="18"/>
          <w:szCs w:val="18"/>
          <w:color w:val="auto"/>
        </w:rPr>
      </w:pPr>
    </w:p>
    <w:p>
      <w:pPr>
        <w:ind w:left="1680" w:hanging="339"/>
        <w:spacing w:after="0"/>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Investments made pursuant to commitments in effect on the Issue Date;</w:t>
      </w:r>
    </w:p>
    <w:p>
      <w:pPr>
        <w:spacing w:after="0" w:line="117" w:lineRule="exact"/>
        <w:rPr>
          <w:rFonts w:ascii="Arial" w:cs="Arial" w:eastAsia="Arial" w:hAnsi="Arial"/>
          <w:sz w:val="18"/>
          <w:szCs w:val="18"/>
          <w:color w:val="auto"/>
        </w:rPr>
      </w:pPr>
    </w:p>
    <w:p>
      <w:pPr>
        <w:ind w:left="920" w:right="240" w:firstLine="421"/>
        <w:spacing w:after="0" w:line="264" w:lineRule="auto"/>
        <w:tabs>
          <w:tab w:leader="none" w:pos="168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Investments the payment for which consists of Equity Interests (exclusive of Disqualified Equity Interests) of the Parent Guarantor;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Equity Interests will not increase the amount available for Restricted Payments under the Restricted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Basket;</w:t>
      </w:r>
    </w:p>
    <w:p>
      <w:pPr>
        <w:spacing w:after="0" w:line="73" w:lineRule="exact"/>
        <w:rPr>
          <w:rFonts w:ascii="Arial" w:cs="Arial" w:eastAsia="Arial" w:hAnsi="Arial"/>
          <w:sz w:val="18"/>
          <w:szCs w:val="18"/>
          <w:color w:val="auto"/>
        </w:rPr>
      </w:pPr>
    </w:p>
    <w:p>
      <w:pPr>
        <w:ind w:left="1680" w:hanging="339"/>
        <w:spacing w:after="0"/>
        <w:tabs>
          <w:tab w:leader="none" w:pos="16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Investments consisting of the licensing or contribution of intellectual property pursuant to joint marketing arrangements with other</w:t>
      </w:r>
    </w:p>
    <w:p>
      <w:pPr>
        <w:spacing w:after="0" w:line="34"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8"/>
          <w:szCs w:val="18"/>
          <w:color w:val="auto"/>
        </w:rPr>
        <w:t>Persons;</w:t>
      </w:r>
    </w:p>
    <w:p>
      <w:pPr>
        <w:spacing w:after="0" w:line="102" w:lineRule="exact"/>
        <w:rPr>
          <w:rFonts w:ascii="Arial" w:cs="Arial" w:eastAsia="Arial" w:hAnsi="Arial"/>
          <w:sz w:val="17"/>
          <w:szCs w:val="17"/>
          <w:color w:val="auto"/>
        </w:rPr>
      </w:pPr>
    </w:p>
    <w:p>
      <w:pPr>
        <w:ind w:left="920" w:right="20" w:firstLine="421"/>
        <w:spacing w:after="0" w:line="259" w:lineRule="auto"/>
        <w:tabs>
          <w:tab w:leader="none" w:pos="1685" w:val="left"/>
        </w:tabs>
        <w:numPr>
          <w:ilvl w:val="0"/>
          <w:numId w:val="94"/>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that, when taken together with all other Investments made pursuant to this clause (19) since the Issue Date and then outstanding, do not exceed the greater of (i) $125.0 million or (ii) 1.0% of the Parent Guarantor’s Consolidated Tangible Assets;</w:t>
      </w:r>
    </w:p>
    <w:p>
      <w:pPr>
        <w:spacing w:after="0" w:line="78" w:lineRule="exact"/>
        <w:rPr>
          <w:rFonts w:ascii="Arial" w:cs="Arial" w:eastAsia="Arial" w:hAnsi="Arial"/>
          <w:sz w:val="18"/>
          <w:szCs w:val="18"/>
          <w:color w:val="auto"/>
        </w:rPr>
      </w:pPr>
    </w:p>
    <w:p>
      <w:pPr>
        <w:ind w:left="920" w:right="60" w:firstLine="421"/>
        <w:spacing w:after="0" w:line="277" w:lineRule="auto"/>
        <w:tabs>
          <w:tab w:leader="none" w:pos="168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Investments in or payments to SpinCo or its Subsidiaries in connection with a Qualified Spin Transaction and the transactions relating thereto, including the payment of all fees and expenses related thereto;</w:t>
      </w:r>
    </w:p>
    <w:p>
      <w:pPr>
        <w:spacing w:after="0" w:line="62" w:lineRule="exact"/>
        <w:rPr>
          <w:rFonts w:ascii="Arial" w:cs="Arial" w:eastAsia="Arial" w:hAnsi="Arial"/>
          <w:sz w:val="18"/>
          <w:szCs w:val="18"/>
          <w:color w:val="auto"/>
        </w:rPr>
      </w:pPr>
    </w:p>
    <w:p>
      <w:pPr>
        <w:ind w:left="920" w:right="120" w:firstLine="421"/>
        <w:spacing w:after="0" w:line="277" w:lineRule="auto"/>
        <w:tabs>
          <w:tab w:leader="none" w:pos="1685"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performance guarantees of any trade or non-financial operating contract (other than such contract that itself constitutes Indebtedness) in the ordinary course of business.</w:t>
      </w:r>
    </w:p>
    <w:p>
      <w:pPr>
        <w:spacing w:after="0" w:line="170"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In determining whether any Investment is a Permitted Investment, the Parent Guarantor may allocate or reallocate all or any portion of an Investment among the clauses of this definition and any of the provisions of Section 1109.</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106" w:name="page107"/>
    <w:bookmarkEnd w:id="106"/>
    <w:p>
      <w:pPr>
        <w:ind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Permitted Liens</w:t>
      </w:r>
      <w:r>
        <w:rPr>
          <w:rFonts w:ascii="Arial" w:cs="Arial" w:eastAsia="Arial" w:hAnsi="Arial"/>
          <w:sz w:val="16"/>
          <w:szCs w:val="16"/>
          <w:color w:val="auto"/>
        </w:rPr>
        <w:t>” means the following types of Liens: (i) any governmental Lien, mechanics’, materialmen’s, carriers’ or similar Lien incurred in the ordinary course of business which is not overdue for more than 60 days or which is being contested in good faith by appropriate proceedings and any undetermined Lien which is incidental to construction; (ii) the right reserved to, or vested in, any municipality or public authority by the terms of any right, power, franchise, grant, license, permit or by any provision of law, to purchase or recapture or to designate a purchaser of, any property, (iii) Liens of taxes and assessments which are (A) for the then current year, (B) not at the time delinquent, or (C) delinquent but the validity of which is being contested at the time by the Parent Guarantor or any Subsidiary in good faith; (iv) Liens of, or to secure performance of, leases; (v) any Lien upon, or deposits of, any assets in favor of any surety company or clerk of court for the purpose of obtaining indemnity or stay of judicial proceedings; (vi) any Lien upon property or assets acquired or sold by the Parent Guarantor or any Subsidiary resulting from the exercise of any rights arising out of defaults or receivables; (vii) any Lien incurred in the ordinary course of business in connection with workmen’s compensation, unemployment insurance, temporary disability, social security, retiree health or similar laws or regulations or to secure obligations imposed by statute or governmental regulations; (viii) any Lien incurred to secure the performance of tenders, bids, leases, statutory obligations, surety and appeal bonds, government contracts, performance and return-of-money bonds and other obligations of a like nature incurred in the ordinary course of business (exclusive of obligations for the payment of borrowed money but inclusive of Liens solely on cash and Cash Equivalents not to exceed the greater of (a) $100.0 million or (b) 1.0% of the Parent Guarantor’s Consolidated Tangible Assets at any one time securing letters of credit or letter of credit facilities supporting such obligations); (ix) any Lien upon any property or assets in accordance with customary banking practice to secure any Debt incurred by the Parent Guarantor or any Subsidiary in connection with the exporting of goods to, or between, or the marketing of goods in, or the importing of goods from, foreign countries; (x) any Lien upon property or assets in accordance with non-contingent reimbursement obligations of the Parent Guarantor or any Subsidiary in respect of letters of credit, letters of guaranty and similar credit transactions; (xi) precautionary Liens on Receivables and Receivables Related Security arising in connection with Permitted Factoring Transactions; or (xii) any Lien in favor of the United States or any State thereof, or any other country, or any political subdivision of any of the foregoing, to secure partial, progress, advance, or other payments pursuant to any contract or statute, or any Lien securing industrial development, pollution control, or similar revenue bonds.</w:t>
      </w:r>
    </w:p>
    <w:p>
      <w:pPr>
        <w:spacing w:after="0" w:line="168" w:lineRule="exact"/>
        <w:rPr>
          <w:sz w:val="20"/>
          <w:szCs w:val="20"/>
          <w:color w:val="auto"/>
        </w:rPr>
      </w:pPr>
    </w:p>
    <w:p>
      <w:pPr>
        <w:ind w:right="3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company, limited liability company, partnership, limited partnership, joint venture, association, joint-stock company, trust, other legal entity of any kind, unincorporated organization or government or agency or political subdivision thereof.</w:t>
      </w:r>
    </w:p>
    <w:p>
      <w:pPr>
        <w:spacing w:after="0" w:line="124"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Place of Payment</w:t>
      </w:r>
      <w:r>
        <w:rPr>
          <w:rFonts w:ascii="Arial" w:cs="Arial" w:eastAsia="Arial" w:hAnsi="Arial"/>
          <w:sz w:val="18"/>
          <w:szCs w:val="18"/>
          <w:color w:val="auto"/>
        </w:rPr>
        <w:t>” means the place or places where the principal of and any premium and interest on the Notes are payable as specified in Section 1102.</w:t>
      </w:r>
    </w:p>
    <w:p>
      <w:pPr>
        <w:spacing w:after="0" w:line="170" w:lineRule="exact"/>
        <w:rPr>
          <w:sz w:val="20"/>
          <w:szCs w:val="20"/>
          <w:color w:val="auto"/>
        </w:rPr>
      </w:pPr>
    </w:p>
    <w:p>
      <w:pPr>
        <w:jc w:val="both"/>
        <w:ind w:right="34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Predecessor Note</w:t>
      </w:r>
      <w:r>
        <w:rPr>
          <w:rFonts w:ascii="Arial" w:cs="Arial" w:eastAsia="Arial" w:hAnsi="Arial"/>
          <w:sz w:val="17"/>
          <w:szCs w:val="17"/>
          <w:color w:val="auto"/>
        </w:rPr>
        <w:t>” of any particular Note means every previous Note evidencing all or a portion of the same debt as that evidenced by such particular Note; and, for the purposes of this definition, any Note authenticated and delivered under Section 406 in exchange for or in lieu of a mutilated, destroyed, lost or stolen Note shall be deemed to evidence the same debt as the mutilated, destroyed, lost or stolen Note.</w:t>
      </w:r>
    </w:p>
    <w:p>
      <w:pPr>
        <w:spacing w:after="0" w:line="166" w:lineRule="exact"/>
        <w:rPr>
          <w:sz w:val="20"/>
          <w:szCs w:val="20"/>
          <w:color w:val="auto"/>
        </w:rPr>
      </w:pPr>
    </w:p>
    <w:p>
      <w:pPr>
        <w:ind w:right="4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means, with respect to any Person, any and all preferred or preference stock or shares or other Equity Interests (however designated) of such Person whether now outstanding or issued after the Issue Date that is preferred as to the payment of dividends upon liquidation, dissolution or winding up.</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Issue Date</w:t>
      </w:r>
      <w:r>
        <w:rPr>
          <w:rFonts w:ascii="Arial" w:cs="Arial" w:eastAsia="Arial" w:hAnsi="Arial"/>
          <w:sz w:val="18"/>
          <w:szCs w:val="18"/>
          <w:color w:val="auto"/>
        </w:rPr>
        <w:t>” means June 17, 2016.</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Process Agent</w:t>
      </w:r>
      <w:r>
        <w:rPr>
          <w:rFonts w:ascii="Arial" w:cs="Arial" w:eastAsia="Arial" w:hAnsi="Arial"/>
          <w:sz w:val="18"/>
          <w:szCs w:val="18"/>
          <w:color w:val="auto"/>
        </w:rPr>
        <w:t>” has the meaning specified in Section 212.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107" w:name="page108"/>
    <w:bookmarkEnd w:id="107"/>
    <w:p>
      <w:pPr>
        <w:ind w:right="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Purchase Money Indebtedness</w:t>
      </w:r>
      <w:r>
        <w:rPr>
          <w:rFonts w:ascii="Arial" w:cs="Arial" w:eastAsia="Arial" w:hAnsi="Arial"/>
          <w:sz w:val="18"/>
          <w:szCs w:val="18"/>
          <w:color w:val="auto"/>
        </w:rPr>
        <w:t xml:space="preserve">” means Indebtedness, including Capitalized Lease Obligations and Attributable Indebtedness, of the Parent Guarantor or any Restricted Subsidiary incurred for the purpose of financing all or any part of the purchase price of property, plant or equipment used in the business of the Parent Guarantor or any Restricted Subsidiary or the cost of design, installation, construction or improvement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amount of such Indebtedness shall not exceed such purchase price or cost.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QIB</w:t>
      </w:r>
      <w:r>
        <w:rPr>
          <w:rFonts w:ascii="Arial" w:cs="Arial" w:eastAsia="Arial" w:hAnsi="Arial"/>
          <w:sz w:val="18"/>
          <w:szCs w:val="18"/>
          <w:color w:val="auto"/>
        </w:rPr>
        <w:t>” means any “qualified institutional buyer” as such term is defined in Rule 144A.</w:t>
      </w:r>
    </w:p>
    <w:p>
      <w:pPr>
        <w:spacing w:after="0" w:line="225" w:lineRule="exact"/>
        <w:rPr>
          <w:sz w:val="20"/>
          <w:szCs w:val="20"/>
          <w:color w:val="auto"/>
        </w:rPr>
      </w:pPr>
    </w:p>
    <w:p>
      <w:pPr>
        <w:ind w:right="28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Interests</w:t>
      </w:r>
      <w:r>
        <w:rPr>
          <w:rFonts w:ascii="Arial" w:cs="Arial" w:eastAsia="Arial" w:hAnsi="Arial"/>
          <w:sz w:val="16"/>
          <w:szCs w:val="16"/>
          <w:color w:val="auto"/>
        </w:rPr>
        <w:t xml:space="preserve">” of any Person means Equity Interests of such Person other than Disqualified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Equity Interests shall not be deemed Qualified Equity Interests to the extent sold or owed to a Subsidiary of such Person or financed, directly or indirectly, using funds (1) borrowed from such Person or any Subsidiary of such Person until and to the extent such borrowing is repaid or (2) contributed, extended, guaranteed or advanced by such Person or any Subsidiary of such Person (including, without limitation, in respect of any employee stock ownership or benefit plan). Unless otherwise specified, Qualified Equity Interests refer to Qualified Equity Interests of the Parent Guarantor.</w:t>
      </w:r>
    </w:p>
    <w:p>
      <w:pPr>
        <w:spacing w:after="0" w:line="158"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Spin Transaction</w:t>
      </w:r>
      <w:r>
        <w:rPr>
          <w:rFonts w:ascii="Arial" w:cs="Arial" w:eastAsia="Arial" w:hAnsi="Arial"/>
          <w:sz w:val="18"/>
          <w:szCs w:val="18"/>
          <w:color w:val="auto"/>
        </w:rPr>
        <w:t>” means the distribution, through one or more dividends by the Weatherford Parent Company, of all or a portion of the Voting Stock of a Subsidiary (“</w:t>
      </w:r>
      <w:r>
        <w:rPr>
          <w:rFonts w:ascii="Arial" w:cs="Arial" w:eastAsia="Arial" w:hAnsi="Arial"/>
          <w:sz w:val="18"/>
          <w:szCs w:val="18"/>
          <w:i w:val="1"/>
          <w:iCs w:val="1"/>
          <w:color w:val="auto"/>
        </w:rPr>
        <w:t>SpinCo</w:t>
      </w:r>
      <w:r>
        <w:rPr>
          <w:rFonts w:ascii="Arial" w:cs="Arial" w:eastAsia="Arial" w:hAnsi="Arial"/>
          <w:sz w:val="18"/>
          <w:szCs w:val="18"/>
          <w:color w:val="auto"/>
        </w:rPr>
        <w:t>”) which, directly or indirectly through one or more Subsidiaries, holds all or substantially all of the Parent Guarantor’s and its Restricted Subsidiaries’ land drilling rig business, properties and related assets.</w:t>
      </w:r>
    </w:p>
    <w:p>
      <w:pPr>
        <w:spacing w:after="0" w:line="181"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Agencies</w:t>
      </w:r>
      <w:r>
        <w:rPr>
          <w:rFonts w:ascii="Arial" w:cs="Arial" w:eastAsia="Arial" w:hAnsi="Arial"/>
          <w:sz w:val="16"/>
          <w:szCs w:val="16"/>
          <w:color w:val="auto"/>
        </w:rPr>
        <w:t>” means (1) each of Moody’s and S&amp;P and (2) if either of Moody’s or S&amp;P ceases to rate the Notes or fails to make a rating of the Notes publicly available for reasons outside of the Weatherford Parent Company’s control, a “nationally recognized statistical rating organization” within the meaning of Rule 15c3-1(c)(2)(vi)(F) under the Exchange Act, selected by the Weatherford Parent Company (as certified by a resolution of the Weatherford Parent Company’s Board of Directors) as a replacement agency for Moody’s or S&amp;P, or both of them, as the case may be.</w:t>
      </w:r>
    </w:p>
    <w:p>
      <w:pPr>
        <w:spacing w:after="0" w:line="154"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the rating of the Notes is lowered by each of the Rating Agencies on any date from the date of the public notice of an arrangement that could result in a Change of Control until the end of the 60-day period following public notice of the occurrence of the Change of Control (which 60-day period shall be extended so long as the rating of the Notes is under publicly announced consideration for possible downgrade by either of the Rating Agencies).</w:t>
      </w:r>
    </w:p>
    <w:p>
      <w:pPr>
        <w:spacing w:after="0" w:line="187"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w:t>
      </w:r>
      <w:r>
        <w:rPr>
          <w:rFonts w:ascii="Arial" w:cs="Arial" w:eastAsia="Arial" w:hAnsi="Arial"/>
          <w:sz w:val="18"/>
          <w:szCs w:val="18"/>
          <w:color w:val="auto"/>
        </w:rPr>
        <w:t>” means any right to payment of Parent Guarantor or any Restricted Subsidiary created by or arising from sales of goods, leases of goods or the rendition of services rendered no matter how evidenced and whether or not earned by performance (and whether constituting accounts, general intangibles, chattel paper or otherwise).</w:t>
      </w:r>
    </w:p>
    <w:p>
      <w:pPr>
        <w:spacing w:after="0" w:line="18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Related Security</w:t>
      </w:r>
      <w:r>
        <w:rPr>
          <w:rFonts w:ascii="Arial" w:cs="Arial" w:eastAsia="Arial" w:hAnsi="Arial"/>
          <w:sz w:val="18"/>
          <w:szCs w:val="18"/>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81"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Receivables Repurchase Obligation</w:t>
      </w:r>
      <w:r>
        <w:rPr>
          <w:rFonts w:ascii="Arial" w:cs="Arial" w:eastAsia="Arial" w:hAnsi="Arial"/>
          <w:sz w:val="16"/>
          <w:szCs w:val="16"/>
          <w:color w:val="auto"/>
        </w:rPr>
        <w:t>” means any obligation of a seller of Receivables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108" w:name="page109"/>
    <w:bookmarkEnd w:id="108"/>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i w:val="1"/>
          <w:iCs w:val="1"/>
          <w:color w:val="auto"/>
        </w:rPr>
        <w:t>Redemption Date,</w:t>
      </w:r>
      <w:r>
        <w:rPr>
          <w:rFonts w:ascii="Arial" w:cs="Arial" w:eastAsia="Arial" w:hAnsi="Arial"/>
          <w:sz w:val="17"/>
          <w:szCs w:val="17"/>
          <w:color w:val="auto"/>
        </w:rPr>
        <w:t>” when used with respect to any Note to be redeemed, means the date fixed for such redemption by or pursuant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Redemption Price,</w:t>
      </w:r>
      <w:r>
        <w:rPr>
          <w:rFonts w:ascii="Arial" w:cs="Arial" w:eastAsia="Arial" w:hAnsi="Arial"/>
          <w:sz w:val="16"/>
          <w:szCs w:val="16"/>
          <w:color w:val="auto"/>
        </w:rPr>
        <w:t>” when used with respect to any Note to be redeemed, means the price at which it is to be redeemed pursuant to the Indenture.</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Redesignation</w:t>
      </w:r>
      <w:r>
        <w:rPr>
          <w:rFonts w:ascii="Arial" w:cs="Arial" w:eastAsia="Arial" w:hAnsi="Arial"/>
          <w:sz w:val="18"/>
          <w:szCs w:val="18"/>
          <w:color w:val="auto"/>
        </w:rPr>
        <w:t>” has the meaning given to such term in Section 1106.</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Redomestication</w:t>
      </w:r>
      <w:r>
        <w:rPr>
          <w:rFonts w:ascii="Arial" w:cs="Arial" w:eastAsia="Arial" w:hAnsi="Arial"/>
          <w:sz w:val="18"/>
          <w:szCs w:val="18"/>
          <w:color w:val="auto"/>
        </w:rPr>
        <w:t>” means:</w:t>
      </w:r>
    </w:p>
    <w:p>
      <w:pPr>
        <w:spacing w:after="0" w:line="117" w:lineRule="exact"/>
        <w:rPr>
          <w:sz w:val="20"/>
          <w:szCs w:val="20"/>
          <w:color w:val="auto"/>
        </w:rPr>
      </w:pPr>
    </w:p>
    <w:p>
      <w:pPr>
        <w:ind w:left="920" w:right="20" w:firstLine="421"/>
        <w:spacing w:after="0" w:line="297" w:lineRule="auto"/>
        <w:tabs>
          <w:tab w:leader="none" w:pos="158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50" w:lineRule="exact"/>
        <w:rPr>
          <w:rFonts w:ascii="Arial" w:cs="Arial" w:eastAsia="Arial" w:hAnsi="Arial"/>
          <w:sz w:val="16"/>
          <w:szCs w:val="16"/>
          <w:color w:val="auto"/>
        </w:rPr>
      </w:pPr>
    </w:p>
    <w:p>
      <w:pPr>
        <w:ind w:left="920" w:right="200" w:firstLine="421"/>
        <w:spacing w:after="0" w:line="286" w:lineRule="auto"/>
        <w:tabs>
          <w:tab w:leader="none" w:pos="1595"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continuation, discontinuation, domestication, redomestication, amalgamation, merger, plan or scheme of arrangement, exchange offer, business combination, reincorporation, reorganization, conversion, consolidation or similar action with respect to the Weatherford Parent Company pursuant to the law of the jurisdiction of its organization and of any other jurisdiction, or</w:t>
      </w:r>
    </w:p>
    <w:p>
      <w:pPr>
        <w:spacing w:after="0" w:line="57" w:lineRule="exact"/>
        <w:rPr>
          <w:rFonts w:ascii="Arial" w:cs="Arial" w:eastAsia="Arial" w:hAnsi="Arial"/>
          <w:sz w:val="17"/>
          <w:szCs w:val="17"/>
          <w:color w:val="auto"/>
        </w:rPr>
      </w:pPr>
    </w:p>
    <w:p>
      <w:pPr>
        <w:ind w:left="920" w:right="600" w:firstLine="421"/>
        <w:spacing w:after="0" w:line="277" w:lineRule="auto"/>
        <w:tabs>
          <w:tab w:leader="none" w:pos="158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formation of a Person that becomes, as part of the transaction or series of related transactions, the direct or indirect owner of substantially all of the voting shares of the Weatherford Parent Company (the “</w:t>
      </w:r>
      <w:r>
        <w:rPr>
          <w:rFonts w:ascii="Arial" w:cs="Arial" w:eastAsia="Arial" w:hAnsi="Arial"/>
          <w:sz w:val="18"/>
          <w:szCs w:val="18"/>
          <w:i w:val="1"/>
          <w:iCs w:val="1"/>
          <w:color w:val="auto"/>
        </w:rPr>
        <w:t>New Parent</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as a result thereof</w:t>
      </w:r>
    </w:p>
    <w:p>
      <w:pPr>
        <w:spacing w:after="0" w:line="117" w:lineRule="exact"/>
        <w:rPr>
          <w:sz w:val="20"/>
          <w:szCs w:val="20"/>
          <w:color w:val="auto"/>
        </w:rPr>
      </w:pPr>
    </w:p>
    <w:p>
      <w:pPr>
        <w:ind w:left="920" w:right="20" w:firstLine="421"/>
        <w:spacing w:after="0" w:line="264" w:lineRule="auto"/>
        <w:tabs>
          <w:tab w:leader="none" w:pos="15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case of any action specified in clause (a),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73" w:lineRule="exact"/>
        <w:rPr>
          <w:rFonts w:ascii="Arial" w:cs="Arial" w:eastAsia="Arial" w:hAnsi="Arial"/>
          <w:sz w:val="18"/>
          <w:szCs w:val="18"/>
          <w:color w:val="auto"/>
        </w:rPr>
      </w:pPr>
    </w:p>
    <w:p>
      <w:pPr>
        <w:ind w:left="920" w:right="180" w:firstLine="421"/>
        <w:spacing w:after="0" w:line="277" w:lineRule="auto"/>
        <w:tabs>
          <w:tab w:leader="none" w:pos="15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case of any action specified in clause (b), the entity that constituted the Weatherford Parent Company immediately prior thereto (but disregarding for this purpose any change in its jurisdiction of organization), or</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case of any action specified in clause (c), the New Parent</w:t>
      </w:r>
    </w:p>
    <w:p>
      <w:pPr>
        <w:spacing w:after="0" w:line="117" w:lineRule="exact"/>
        <w:rPr>
          <w:sz w:val="20"/>
          <w:szCs w:val="20"/>
          <w:color w:val="auto"/>
        </w:rPr>
      </w:pPr>
    </w:p>
    <w:p>
      <w:pPr>
        <w:ind w:left="460" w:right="40"/>
        <w:spacing w:after="0" w:line="273" w:lineRule="auto"/>
        <w:rPr>
          <w:sz w:val="20"/>
          <w:szCs w:val="20"/>
          <w:color w:val="auto"/>
        </w:rPr>
      </w:pPr>
      <w:r>
        <w:rPr>
          <w:rFonts w:ascii="Arial" w:cs="Arial" w:eastAsia="Arial" w:hAnsi="Arial"/>
          <w:sz w:val="17"/>
          <w:szCs w:val="17"/>
          <w:color w:val="auto"/>
        </w:rPr>
        <w:t>(in any such case, the “</w:t>
      </w:r>
      <w:r>
        <w:rPr>
          <w:rFonts w:ascii="Arial" w:cs="Arial" w:eastAsia="Arial" w:hAnsi="Arial"/>
          <w:sz w:val="17"/>
          <w:szCs w:val="17"/>
          <w:i w:val="1"/>
          <w:iCs w:val="1"/>
          <w:color w:val="auto"/>
        </w:rPr>
        <w:t>Surviving Person</w:t>
      </w:r>
      <w:r>
        <w:rPr>
          <w:rFonts w:ascii="Arial" w:cs="Arial" w:eastAsia="Arial" w:hAnsi="Arial"/>
          <w:sz w:val="17"/>
          <w:szCs w:val="17"/>
          <w:color w:val="auto"/>
        </w:rPr>
        <w:t>”) is a corporation or other entity, validly incorporated or formed and existing in good standing (to the extent the concept of good standing is applicable) under the laws of any jurisdiction, whose voting shares of each class of capital stock issued and outstanding immediately following such action, and giving effect thereto, shall be beneficially owned by substantially the same Persons, in substantially the same percentages, as was such capital stock or shares of the entity constituting the Weatherford Parent Company immediately prior thereto and, if the Surviving Person is the New Parent, the Surviving Person continues to be owned, directly or indirectly, by substantially all of the Persons who were shareholders of the Weatherford Parent Company immediately prior to such transaction.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109" w:name="page110"/>
    <w:bookmarkEnd w:id="10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has the meaning specified in Section 1203.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w:t>
      </w:r>
      <w:r>
        <w:rPr>
          <w:rFonts w:ascii="Arial" w:cs="Arial" w:eastAsia="Arial" w:hAnsi="Arial"/>
          <w:sz w:val="18"/>
          <w:szCs w:val="18"/>
          <w:color w:val="auto"/>
        </w:rPr>
        <w:t>” has the meaning specified in Section 1203.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w:t>
      </w:r>
      <w:r>
        <w:rPr>
          <w:rFonts w:ascii="Arial" w:cs="Arial" w:eastAsia="Arial" w:hAnsi="Arial"/>
          <w:sz w:val="18"/>
          <w:szCs w:val="18"/>
          <w:color w:val="auto"/>
        </w:rPr>
        <w:t>” means to refinance, repay, prepay, replace, renew or refund.</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Indebtedness</w:t>
      </w:r>
      <w:r>
        <w:rPr>
          <w:rFonts w:ascii="Arial" w:cs="Arial" w:eastAsia="Arial" w:hAnsi="Arial"/>
          <w:sz w:val="18"/>
          <w:szCs w:val="18"/>
          <w:color w:val="auto"/>
        </w:rPr>
        <w:t>” means Indebtedness of the Parent Guarantor or a Restricted Subsidiary incurred in exchange for, or the proceeds of which are used to refinance, in whole or in part, any Indebtedness of the Parent Guarantor or any Restricted Subsidiary (the “</w:t>
      </w:r>
      <w:r>
        <w:rPr>
          <w:rFonts w:ascii="Arial" w:cs="Arial" w:eastAsia="Arial" w:hAnsi="Arial"/>
          <w:sz w:val="18"/>
          <w:szCs w:val="18"/>
          <w:i w:val="1"/>
          <w:iCs w:val="1"/>
          <w:color w:val="auto"/>
        </w:rPr>
        <w:t>Refinancing Indebtedness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73" w:lineRule="exact"/>
        <w:rPr>
          <w:sz w:val="20"/>
          <w:szCs w:val="20"/>
          <w:color w:val="auto"/>
        </w:rPr>
      </w:pPr>
    </w:p>
    <w:p>
      <w:pPr>
        <w:ind w:left="920" w:firstLine="421"/>
        <w:spacing w:after="0" w:line="302" w:lineRule="auto"/>
        <w:tabs>
          <w:tab w:leader="none" w:pos="1595"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principal amount (or accreted value, in the case of Indebtedness issued at a discount) of the Refinancing Indebtedness (including undrawn or available committed amounts) does not exceed the principal amount of the Refinanced Indebtedness (including undrawn or available committed amounts) plus the amount of accrued and unpaid interest on the Refinanced Indebtedness, any premium paid to the holders of the Refinanced Indebtedness and reasonable expenses incurred in connection with the incurrence of the Refinancing Indebtedness;</w:t>
      </w:r>
    </w:p>
    <w:p>
      <w:pPr>
        <w:spacing w:after="0" w:line="46" w:lineRule="exact"/>
        <w:rPr>
          <w:rFonts w:ascii="Arial" w:cs="Arial" w:eastAsia="Arial" w:hAnsi="Arial"/>
          <w:sz w:val="16"/>
          <w:szCs w:val="16"/>
          <w:color w:val="auto"/>
        </w:rPr>
      </w:pPr>
    </w:p>
    <w:p>
      <w:pPr>
        <w:ind w:left="920" w:firstLine="421"/>
        <w:spacing w:after="0" w:line="264" w:lineRule="auto"/>
        <w:tabs>
          <w:tab w:leader="none" w:pos="1595"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obligor of the Refinancing Indebtedness does not include any Person (other than the Issuer or any Guarantor) that is not an obligor of the Refinanced Indebtedness, unless the inclusion of such obligor on the Refinancing Indebtedness would not require it to guarantee the Notes under Section 1114;</w:t>
      </w:r>
    </w:p>
    <w:p>
      <w:pPr>
        <w:spacing w:after="0" w:line="73" w:lineRule="exact"/>
        <w:rPr>
          <w:rFonts w:ascii="Arial" w:cs="Arial" w:eastAsia="Arial" w:hAnsi="Arial"/>
          <w:sz w:val="18"/>
          <w:szCs w:val="18"/>
          <w:color w:val="auto"/>
        </w:rPr>
      </w:pPr>
    </w:p>
    <w:p>
      <w:pPr>
        <w:ind w:left="920" w:firstLine="421"/>
        <w:spacing w:after="0" w:line="264" w:lineRule="auto"/>
        <w:tabs>
          <w:tab w:leader="none" w:pos="1595" w:val="left"/>
        </w:tabs>
        <w:numPr>
          <w:ilvl w:val="1"/>
          <w:numId w:val="97"/>
        </w:numPr>
        <w:rPr>
          <w:rFonts w:ascii="Arial" w:cs="Arial" w:eastAsia="Arial" w:hAnsi="Arial"/>
          <w:sz w:val="18"/>
          <w:szCs w:val="18"/>
          <w:color w:val="auto"/>
        </w:rPr>
      </w:pPr>
      <w:r>
        <w:rPr>
          <w:rFonts w:ascii="Arial" w:cs="Arial" w:eastAsia="Arial" w:hAnsi="Arial"/>
          <w:sz w:val="18"/>
          <w:szCs w:val="18"/>
          <w:color w:val="auto"/>
        </w:rPr>
        <w:t>if the Refinanced Indebtedness was subordinated in right of payment to the Notes or the Guarantees, as the case may be, then such Refinancing Indebtedness, by its terms, is subordinate in right of payment to the Notes or the Guarantees, as the case may be, at least to the same extent as the Refinanced Indebtedness;</w:t>
      </w:r>
    </w:p>
    <w:p>
      <w:pPr>
        <w:spacing w:after="0" w:line="73" w:lineRule="exact"/>
        <w:rPr>
          <w:rFonts w:ascii="Arial" w:cs="Arial" w:eastAsia="Arial" w:hAnsi="Arial"/>
          <w:sz w:val="18"/>
          <w:szCs w:val="18"/>
          <w:color w:val="auto"/>
        </w:rPr>
      </w:pPr>
    </w:p>
    <w:p>
      <w:pPr>
        <w:ind w:left="1600" w:hanging="259"/>
        <w:spacing w:after="0"/>
        <w:tabs>
          <w:tab w:leader="none" w:pos="16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Refinancing Indebtedness has a Stated Maturity either (a) no earlier than the Refinanced Indebtedness being repaid or amended or</w:t>
      </w:r>
    </w:p>
    <w:p>
      <w:pPr>
        <w:spacing w:after="0" w:line="46" w:lineRule="exact"/>
        <w:rPr>
          <w:rFonts w:ascii="Arial" w:cs="Arial" w:eastAsia="Arial" w:hAnsi="Arial"/>
          <w:sz w:val="16"/>
          <w:szCs w:val="16"/>
          <w:color w:val="auto"/>
        </w:rPr>
      </w:pPr>
    </w:p>
    <w:p>
      <w:pPr>
        <w:ind w:left="1180" w:hanging="259"/>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earlier than 91 days after the maturity date of the Notes; and</w:t>
      </w:r>
    </w:p>
    <w:p>
      <w:pPr>
        <w:spacing w:after="0" w:line="102" w:lineRule="exact"/>
        <w:rPr>
          <w:rFonts w:ascii="Arial" w:cs="Arial" w:eastAsia="Arial" w:hAnsi="Arial"/>
          <w:sz w:val="18"/>
          <w:szCs w:val="18"/>
          <w:color w:val="auto"/>
        </w:rPr>
      </w:pPr>
    </w:p>
    <w:p>
      <w:pPr>
        <w:ind w:left="920" w:right="180" w:firstLine="421"/>
        <w:spacing w:after="0" w:line="259" w:lineRule="auto"/>
        <w:tabs>
          <w:tab w:leader="none" w:pos="1595"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Refinanced Indebtedness being repaid that is scheduled to mature on or prior to the maturity date of the Notes.</w:t>
      </w:r>
    </w:p>
    <w:p>
      <w:pPr>
        <w:spacing w:after="0" w:line="18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that certain registration rights agreement dated as of the Issue Date by and among the Issuer, the Guarantors and the initial purchaser party thereto and, with respect to any Additional Notes, one or more substantially similar registration rights agreements among the Issuer and the other parties thereto, as any such agreement may be amended from time to time.</w:t>
      </w:r>
    </w:p>
    <w:p>
      <w:pPr>
        <w:spacing w:after="0" w:line="181"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Regular Record Date</w:t>
      </w:r>
      <w:r>
        <w:rPr>
          <w:rFonts w:ascii="Arial" w:cs="Arial" w:eastAsia="Arial" w:hAnsi="Arial"/>
          <w:sz w:val="18"/>
          <w:szCs w:val="18"/>
          <w:color w:val="auto"/>
        </w:rPr>
        <w:t>” for the interest payable on any Interest Payment Date on the Notes means the date specified for that purpose as contemplated by Section 401.</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Global Note</w:t>
      </w:r>
      <w:r>
        <w:rPr>
          <w:rFonts w:ascii="Arial" w:cs="Arial" w:eastAsia="Arial" w:hAnsi="Arial"/>
          <w:sz w:val="18"/>
          <w:szCs w:val="18"/>
          <w:color w:val="auto"/>
        </w:rPr>
        <w:t>” has the meaning specified in Section 303.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Notes</w:t>
      </w:r>
      <w:r>
        <w:rPr>
          <w:rFonts w:ascii="Arial" w:cs="Arial" w:eastAsia="Arial" w:hAnsi="Arial"/>
          <w:sz w:val="18"/>
          <w:szCs w:val="18"/>
          <w:color w:val="auto"/>
        </w:rPr>
        <w:t>” has the meaning specified in Section 303.</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110" w:name="page111"/>
    <w:bookmarkEnd w:id="11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Related Taxes</w:t>
      </w:r>
      <w:r>
        <w:rPr>
          <w:rFonts w:ascii="Arial" w:cs="Arial" w:eastAsia="Arial" w:hAnsi="Arial"/>
          <w:sz w:val="18"/>
          <w:szCs w:val="18"/>
          <w:color w:val="auto"/>
        </w:rPr>
        <w:t>” means, without duplication:</w:t>
      </w:r>
    </w:p>
    <w:p>
      <w:pPr>
        <w:spacing w:after="0" w:line="117" w:lineRule="exact"/>
        <w:rPr>
          <w:sz w:val="20"/>
          <w:szCs w:val="20"/>
          <w:color w:val="auto"/>
        </w:rPr>
      </w:pPr>
    </w:p>
    <w:p>
      <w:pPr>
        <w:ind w:left="920" w:right="200" w:firstLine="421"/>
        <w:spacing w:after="0" w:line="259" w:lineRule="auto"/>
        <w:tabs>
          <w:tab w:leader="none" w:pos="15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taxes, including sales, use, transfer, rental, ad valorem, value added, stamp, property, consumption, franchise, license, capital, registration, business, customs, net worth, gross receipts, excise, occupancy, intangibles or similar taxes (other than (x) taxes measured by income and (y) withholding imposed on payments made by any Successor Parent), required to be paid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taxes are in fact paid) by any Successor Parent by virtue of its:</w:t>
      </w:r>
    </w:p>
    <w:p>
      <w:pPr>
        <w:spacing w:after="0" w:line="78" w:lineRule="exact"/>
        <w:rPr>
          <w:rFonts w:ascii="Arial" w:cs="Arial" w:eastAsia="Arial" w:hAnsi="Arial"/>
          <w:sz w:val="18"/>
          <w:szCs w:val="18"/>
          <w:color w:val="auto"/>
        </w:rPr>
      </w:pPr>
    </w:p>
    <w:p>
      <w:pPr>
        <w:ind w:left="1500" w:right="540" w:firstLine="389"/>
        <w:spacing w:after="0" w:line="342" w:lineRule="auto"/>
        <w:tabs>
          <w:tab w:leader="none" w:pos="2142" w:val="left"/>
        </w:tabs>
        <w:numPr>
          <w:ilvl w:val="1"/>
          <w:numId w:val="99"/>
        </w:numPr>
        <w:rPr>
          <w:rFonts w:ascii="Arial" w:cs="Arial" w:eastAsia="Arial" w:hAnsi="Arial"/>
          <w:sz w:val="16"/>
          <w:szCs w:val="16"/>
          <w:color w:val="auto"/>
        </w:rPr>
      </w:pPr>
      <w:r>
        <w:rPr>
          <w:rFonts w:ascii="Arial" w:cs="Arial" w:eastAsia="Arial" w:hAnsi="Arial"/>
          <w:sz w:val="16"/>
          <w:szCs w:val="16"/>
          <w:color w:val="auto"/>
        </w:rPr>
        <w:t>being organized or having Equity Interests outstanding (but not by virtue of owning stock or other Equity Interests of any corporation or other entity other than, directly or indirectly, the Parent Guarantor or any of the Parent Guarantor’s Subsidiaries);</w:t>
      </w:r>
    </w:p>
    <w:p>
      <w:pPr>
        <w:spacing w:after="0" w:line="15" w:lineRule="exact"/>
        <w:rPr>
          <w:rFonts w:ascii="Arial" w:cs="Arial" w:eastAsia="Arial" w:hAnsi="Arial"/>
          <w:sz w:val="16"/>
          <w:szCs w:val="16"/>
          <w:color w:val="auto"/>
        </w:rPr>
      </w:pPr>
    </w:p>
    <w:p>
      <w:pPr>
        <w:ind w:left="2140" w:hanging="251"/>
        <w:spacing w:after="0"/>
        <w:tabs>
          <w:tab w:leader="none" w:pos="2140" w:val="left"/>
        </w:tabs>
        <w:numPr>
          <w:ilvl w:val="1"/>
          <w:numId w:val="99"/>
        </w:numPr>
        <w:rPr>
          <w:rFonts w:ascii="Arial" w:cs="Arial" w:eastAsia="Arial" w:hAnsi="Arial"/>
          <w:sz w:val="16"/>
          <w:szCs w:val="16"/>
          <w:color w:val="auto"/>
        </w:rPr>
      </w:pPr>
      <w:r>
        <w:rPr>
          <w:rFonts w:ascii="Arial" w:cs="Arial" w:eastAsia="Arial" w:hAnsi="Arial"/>
          <w:sz w:val="16"/>
          <w:szCs w:val="16"/>
          <w:color w:val="auto"/>
        </w:rPr>
        <w:t>being a holding company parent, directly or indirectly, of the Parent Guarantor or any of the Parent Guarantor’s Subsidiaries;</w:t>
      </w:r>
    </w:p>
    <w:p>
      <w:pPr>
        <w:spacing w:after="0" w:line="140" w:lineRule="exact"/>
        <w:rPr>
          <w:rFonts w:ascii="Arial" w:cs="Arial" w:eastAsia="Arial" w:hAnsi="Arial"/>
          <w:sz w:val="16"/>
          <w:szCs w:val="16"/>
          <w:color w:val="auto"/>
        </w:rPr>
      </w:pPr>
    </w:p>
    <w:p>
      <w:pPr>
        <w:ind w:left="1500" w:firstLine="389"/>
        <w:spacing w:after="0" w:line="277" w:lineRule="auto"/>
        <w:tabs>
          <w:tab w:leader="none" w:pos="2142" w:val="left"/>
        </w:tabs>
        <w:numPr>
          <w:ilvl w:val="1"/>
          <w:numId w:val="99"/>
        </w:numPr>
        <w:rPr>
          <w:rFonts w:ascii="Arial" w:cs="Arial" w:eastAsia="Arial" w:hAnsi="Arial"/>
          <w:sz w:val="18"/>
          <w:szCs w:val="18"/>
          <w:color w:val="auto"/>
        </w:rPr>
      </w:pPr>
      <w:r>
        <w:rPr>
          <w:rFonts w:ascii="Arial" w:cs="Arial" w:eastAsia="Arial" w:hAnsi="Arial"/>
          <w:sz w:val="18"/>
          <w:szCs w:val="18"/>
          <w:color w:val="auto"/>
        </w:rPr>
        <w:t>receiving dividends from or other distributions in respect of the Equity Interests of, directly or indirectly, the Parent Guarantor or any of the Parent Guarantor’s Subsidiaries; or</w:t>
      </w:r>
    </w:p>
    <w:p>
      <w:pPr>
        <w:spacing w:after="0" w:line="62" w:lineRule="exact"/>
        <w:rPr>
          <w:rFonts w:ascii="Arial" w:cs="Arial" w:eastAsia="Arial" w:hAnsi="Arial"/>
          <w:sz w:val="18"/>
          <w:szCs w:val="18"/>
          <w:color w:val="auto"/>
        </w:rPr>
      </w:pPr>
    </w:p>
    <w:p>
      <w:pPr>
        <w:ind w:left="1500" w:right="600" w:firstLine="389"/>
        <w:spacing w:after="0" w:line="277" w:lineRule="auto"/>
        <w:tabs>
          <w:tab w:leader="none" w:pos="2152" w:val="left"/>
        </w:tabs>
        <w:numPr>
          <w:ilvl w:val="1"/>
          <w:numId w:val="99"/>
        </w:numPr>
        <w:rPr>
          <w:rFonts w:ascii="Arial" w:cs="Arial" w:eastAsia="Arial" w:hAnsi="Arial"/>
          <w:sz w:val="18"/>
          <w:szCs w:val="18"/>
          <w:color w:val="auto"/>
        </w:rPr>
      </w:pPr>
      <w:r>
        <w:rPr>
          <w:rFonts w:ascii="Arial" w:cs="Arial" w:eastAsia="Arial" w:hAnsi="Arial"/>
          <w:sz w:val="18"/>
          <w:szCs w:val="18"/>
          <w:color w:val="auto"/>
        </w:rPr>
        <w:t>having made any payment in respect to any of the items for which the Parent Guarantor or any of the Parent Guarantor’s Subsidiaries is permitted to make payments to any Successor Parent pursuant to Section 1109; and</w:t>
      </w:r>
    </w:p>
    <w:p>
      <w:pPr>
        <w:spacing w:after="0" w:line="62" w:lineRule="exact"/>
        <w:rPr>
          <w:rFonts w:ascii="Arial" w:cs="Arial" w:eastAsia="Arial" w:hAnsi="Arial"/>
          <w:sz w:val="18"/>
          <w:szCs w:val="18"/>
          <w:color w:val="auto"/>
        </w:rPr>
      </w:pPr>
    </w:p>
    <w:p>
      <w:pPr>
        <w:ind w:left="920" w:right="260" w:firstLine="421"/>
        <w:spacing w:after="0" w:line="297" w:lineRule="auto"/>
        <w:tabs>
          <w:tab w:leader="none" w:pos="1595" w:val="left"/>
        </w:tabs>
        <w:numPr>
          <w:ilvl w:val="0"/>
          <w:numId w:val="99"/>
        </w:numPr>
        <w:rPr>
          <w:rFonts w:ascii="Arial" w:cs="Arial" w:eastAsia="Arial" w:hAnsi="Arial"/>
          <w:sz w:val="16"/>
          <w:szCs w:val="16"/>
          <w:color w:val="auto"/>
        </w:rPr>
      </w:pPr>
      <w:r>
        <w:rPr>
          <w:rFonts w:ascii="Arial" w:cs="Arial" w:eastAsia="Arial" w:hAnsi="Arial"/>
          <w:sz w:val="16"/>
          <w:szCs w:val="16"/>
          <w:color w:val="auto"/>
        </w:rPr>
        <w:t>if and for so long as the Parent Guarantor or any of the Parent Guarantor’s Subsidiaries is a member of a group filing a consolidated, unitary or combined tax return with any Successor Parent, any taxes measured by income for which such Successor Parent is liable up to an amount not to exceed with respect to such taxes the amount of any such taxes that Parent Guarantor and its Subsidiaries would have been required to pay on a separate company basis or on a consolidated basis if Parent Guarantor and its Subsidiaries had paid tax on a consolidated, combined, group, affiliated or unitary basis on behalf of an affiliated group consisting only of Parent Guarantor and its Subsidiaries.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Taxing Jurisdiction</w:t>
      </w:r>
      <w:r>
        <w:rPr>
          <w:rFonts w:ascii="Arial" w:cs="Arial" w:eastAsia="Arial" w:hAnsi="Arial"/>
          <w:sz w:val="18"/>
          <w:szCs w:val="18"/>
          <w:color w:val="auto"/>
        </w:rPr>
        <w:t>” has the meaning specified in Section 1101.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Remaining Life</w:t>
      </w:r>
      <w:r>
        <w:rPr>
          <w:rFonts w:ascii="Arial" w:cs="Arial" w:eastAsia="Arial" w:hAnsi="Arial"/>
          <w:sz w:val="18"/>
          <w:szCs w:val="18"/>
          <w:color w:val="auto"/>
        </w:rPr>
        <w:t>” has the meaning specified in Section 1203.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 has the meaning specified in Section 217.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Resale Restriction Termination Date</w:t>
      </w:r>
      <w:r>
        <w:rPr>
          <w:rFonts w:ascii="Arial" w:cs="Arial" w:eastAsia="Arial" w:hAnsi="Arial"/>
          <w:sz w:val="18"/>
          <w:szCs w:val="18"/>
          <w:color w:val="auto"/>
        </w:rPr>
        <w:t>” has the meaning specified in Section 411.</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when used with respect to the Trustee, means any officer within the corporate trust department of the Trustee, including any director, managing director, vice president, assistant vice president, assistant secretary, assistant treasurer, associate,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the Indenture.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Notes</w:t>
      </w:r>
      <w:r>
        <w:rPr>
          <w:rFonts w:ascii="Arial" w:cs="Arial" w:eastAsia="Arial" w:hAnsi="Arial"/>
          <w:sz w:val="18"/>
          <w:szCs w:val="18"/>
          <w:color w:val="auto"/>
        </w:rPr>
        <w:t>” means the Initial Notes and any Additional Notes required to bear the Restricted Notes Legend.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Restricted Notes Legend</w:t>
      </w:r>
      <w:r>
        <w:rPr>
          <w:rFonts w:ascii="Arial" w:cs="Arial" w:eastAsia="Arial" w:hAnsi="Arial"/>
          <w:sz w:val="18"/>
          <w:szCs w:val="18"/>
          <w:color w:val="auto"/>
        </w:rPr>
        <w:t>” has the meaning specified in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w:t>
      </w:r>
      <w:r>
        <w:rPr>
          <w:rFonts w:ascii="Arial" w:cs="Arial" w:eastAsia="Arial" w:hAnsi="Arial"/>
          <w:sz w:val="18"/>
          <w:szCs w:val="18"/>
          <w:color w:val="auto"/>
        </w:rPr>
        <w:t>” means any of the following:</w:t>
      </w:r>
    </w:p>
    <w:p>
      <w:pPr>
        <w:spacing w:after="0" w:line="117" w:lineRule="exact"/>
        <w:rPr>
          <w:sz w:val="20"/>
          <w:szCs w:val="20"/>
          <w:color w:val="auto"/>
        </w:rPr>
      </w:pPr>
    </w:p>
    <w:p>
      <w:pPr>
        <w:ind w:firstLine="421"/>
        <w:spacing w:after="0" w:line="291" w:lineRule="auto"/>
        <w:tabs>
          <w:tab w:leader="none" w:pos="67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declaration or payment of any dividend or any other distribution (whether made in cash, securities or other property) on or in respect of Equity Interests of the Parent Guarantor or any Restricted Subsidiary or any payment made to the direct or indirect holders (in their capacities as such) of Equity Interests of the Parent Guarantor or any Restricted Subsidiary, including, without limitation, any payment in connection with any merger, amalgamation or consolidation involving the Parent Guarantor or any of its Restricted Subsidiaries but excluding (a) dividends or distributions payable solely in Qualified Equity Interests or through accretion or accumulation of such dividends on such Equity Interests and (b) in the case of Restricted Subsidiaries, dividends or distributions payable to the Parent Guarantor or to a Restricted Subsidiary (and if such Restricted Subsidiary is not a Wholly-Owned Subsidiary, to its other holders of its Equity Interests on a pro rata basis);</w:t>
      </w:r>
    </w:p>
    <w:p>
      <w:pPr>
        <w:spacing w:after="0" w:line="59" w:lineRule="exact"/>
        <w:rPr>
          <w:rFonts w:ascii="Arial" w:cs="Arial" w:eastAsia="Arial" w:hAnsi="Arial"/>
          <w:sz w:val="16"/>
          <w:szCs w:val="16"/>
          <w:color w:val="auto"/>
        </w:rPr>
      </w:pPr>
    </w:p>
    <w:p>
      <w:pPr>
        <w:ind w:right="80" w:firstLine="421"/>
        <w:spacing w:after="0" w:line="286" w:lineRule="auto"/>
        <w:tabs>
          <w:tab w:leader="none" w:pos="67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purchase, redemption, defeasance or other acquisition or retirement for value of any Equity Interests of the Parent Guarantor or any other direct or indirect parent of the Issuer held by Persons other than the Parent Guarantor or a Restricted Subsidiary (including, without limitation, any payment in connection with any merger, amalgamation or consolidation involving the Parent Guarantor);</w:t>
      </w:r>
    </w:p>
    <w:p>
      <w:pPr>
        <w:spacing w:after="0" w:line="57" w:lineRule="exact"/>
        <w:rPr>
          <w:rFonts w:ascii="Arial" w:cs="Arial" w:eastAsia="Arial" w:hAnsi="Arial"/>
          <w:sz w:val="17"/>
          <w:szCs w:val="17"/>
          <w:color w:val="auto"/>
        </w:rPr>
      </w:pPr>
    </w:p>
    <w:p>
      <w:pPr>
        <w:ind w:left="680" w:hanging="259"/>
        <w:spacing w:after="0"/>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Investment other than a Permitted Investment; or</w:t>
      </w:r>
    </w:p>
    <w:p>
      <w:pPr>
        <w:spacing w:after="0" w:line="117" w:lineRule="exact"/>
        <w:rPr>
          <w:rFonts w:ascii="Arial" w:cs="Arial" w:eastAsia="Arial" w:hAnsi="Arial"/>
          <w:sz w:val="18"/>
          <w:szCs w:val="18"/>
          <w:color w:val="auto"/>
        </w:rPr>
      </w:pPr>
    </w:p>
    <w:p>
      <w:pPr>
        <w:ind w:right="40" w:firstLine="421"/>
        <w:spacing w:after="0" w:line="257" w:lineRule="auto"/>
        <w:tabs>
          <w:tab w:leader="none" w:pos="67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principal payment on, purchase, redemption, defeasance, prepayment, decrease or other acquisition or retirement for value prior to any scheduled maturity or prior to any scheduled repayment of principal or sinking fund payment, as the case may be, in respect of Subordinated Indebtedness (other than any such payment made within one year of any such scheduled maturity or scheduled repayment or sinking fund payment and other than any Subordinated Indebtedness owed to and held by the Parent Guarantor or any Restricted Subsidiary permitted under clause (6) of the definition of “Permitted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 Basket</w:t>
      </w:r>
      <w:r>
        <w:rPr>
          <w:rFonts w:ascii="Arial" w:cs="Arial" w:eastAsia="Arial" w:hAnsi="Arial"/>
          <w:sz w:val="18"/>
          <w:szCs w:val="18"/>
          <w:color w:val="auto"/>
        </w:rPr>
        <w:t>” has the meaning given to such term in the first paragraph of Section 1109.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has the meaning specified in Section 303.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the Parent Guarantor other than an Unrestricted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 means Rule 144A under the Securities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 Global Note</w:t>
      </w:r>
      <w:r>
        <w:rPr>
          <w:rFonts w:ascii="Arial" w:cs="Arial" w:eastAsia="Arial" w:hAnsi="Arial"/>
          <w:sz w:val="18"/>
          <w:szCs w:val="18"/>
          <w:color w:val="auto"/>
        </w:rPr>
        <w:t>” has the meaning specified in Section 303.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 Notes</w:t>
      </w:r>
      <w:r>
        <w:rPr>
          <w:rFonts w:ascii="Arial" w:cs="Arial" w:eastAsia="Arial" w:hAnsi="Arial"/>
          <w:sz w:val="18"/>
          <w:szCs w:val="18"/>
          <w:color w:val="auto"/>
        </w:rPr>
        <w:t>” has the meaning specified in Section 303.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The McGraw-Hill Companies, Inc., and its successors.</w:t>
      </w:r>
    </w:p>
    <w:p>
      <w:pPr>
        <w:spacing w:after="0" w:line="15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480"/>
          </w:cols>
          <w:pgMar w:left="1160" w:top="274" w:right="259" w:bottom="1440" w:gutter="0" w:footer="0" w:header="0"/>
        </w:sectPr>
      </w:pPr>
    </w:p>
    <w:bookmarkStart w:id="112" w:name="page113"/>
    <w:bookmarkEnd w:id="112"/>
    <w:p>
      <w:pPr>
        <w:ind w:right="2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any arrangement with any Person providing for the leasing by the Parent Guarantor or any Subsidiary, for a period of more than three years, of any real or personal property, which property has been or is to be sold or transferred by the Parent Guarantor or such Subsidiary to such Person in contemplation of such leasing.</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w:t>
      </w:r>
      <w:r>
        <w:rPr>
          <w:rFonts w:ascii="Arial" w:cs="Arial" w:eastAsia="Arial" w:hAnsi="Arial"/>
          <w:sz w:val="18"/>
          <w:szCs w:val="18"/>
          <w:color w:val="auto"/>
        </w:rPr>
        <w:t>” has the meaning stated in the first recital of this Supplemental Indenture and more particularly means any Securities authenticated and delivered under the Base Indenture.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Custodian</w:t>
      </w:r>
      <w:r>
        <w:rPr>
          <w:rFonts w:ascii="Arial" w:cs="Arial" w:eastAsia="Arial" w:hAnsi="Arial"/>
          <w:sz w:val="18"/>
          <w:szCs w:val="18"/>
          <w:color w:val="auto"/>
        </w:rPr>
        <w:t>” means the custodian with respect to a Global Note (as appointed by the Depositary), or any successor Person thereto and shall initially be the Trustee.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Register</w:t>
      </w:r>
      <w:r>
        <w:rPr>
          <w:rFonts w:ascii="Arial" w:cs="Arial" w:eastAsia="Arial" w:hAnsi="Arial"/>
          <w:sz w:val="18"/>
          <w:szCs w:val="18"/>
          <w:color w:val="auto"/>
        </w:rPr>
        <w:t>” and “</w:t>
      </w:r>
      <w:r>
        <w:rPr>
          <w:rFonts w:ascii="Arial" w:cs="Arial" w:eastAsia="Arial" w:hAnsi="Arial"/>
          <w:sz w:val="18"/>
          <w:szCs w:val="18"/>
          <w:i w:val="1"/>
          <w:iCs w:val="1"/>
          <w:color w:val="auto"/>
        </w:rPr>
        <w:t>Registrar</w:t>
      </w:r>
      <w:r>
        <w:rPr>
          <w:rFonts w:ascii="Arial" w:cs="Arial" w:eastAsia="Arial" w:hAnsi="Arial"/>
          <w:sz w:val="18"/>
          <w:szCs w:val="18"/>
          <w:color w:val="auto"/>
        </w:rPr>
        <w:t>” have the respective meanings specified in Section 405.</w:t>
      </w:r>
    </w:p>
    <w:p>
      <w:pPr>
        <w:spacing w:after="0" w:line="225"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the Issuer and any Restricted Subsidiary that would be a “significant subsidiary” as defined in Rule 1-02 of Regulation S-X promulgated pursuant to the Securities Act as such Regulation was in effect on the Issue Date.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Record Date</w:t>
      </w:r>
      <w:r>
        <w:rPr>
          <w:rFonts w:ascii="Arial" w:cs="Arial" w:eastAsia="Arial" w:hAnsi="Arial"/>
          <w:sz w:val="18"/>
          <w:szCs w:val="18"/>
          <w:color w:val="auto"/>
        </w:rPr>
        <w:t>” for the payment of any Defaulted Interest means a date fixed by the Trustee pursuant to Section 407.</w:t>
      </w:r>
    </w:p>
    <w:p>
      <w:pPr>
        <w:spacing w:after="0" w:line="225" w:lineRule="exact"/>
        <w:rPr>
          <w:sz w:val="20"/>
          <w:szCs w:val="20"/>
          <w:color w:val="auto"/>
        </w:rPr>
      </w:pPr>
    </w:p>
    <w:p>
      <w:pPr>
        <w:jc w:val="both"/>
        <w:ind w:right="5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Cash Management Agreements</w:t>
      </w:r>
      <w:r>
        <w:rPr>
          <w:rFonts w:ascii="Arial" w:cs="Arial" w:eastAsia="Arial" w:hAnsi="Arial"/>
          <w:sz w:val="18"/>
          <w:szCs w:val="18"/>
          <w:color w:val="auto"/>
        </w:rPr>
        <w:t>” means any agreement providing for treasury, depositary, purchasing card or cash management services, including in connection with any automated clearing house transfers of funds or any similar transactions between the Parent Guarantor or any Restricted Subsidiary and any lender.</w:t>
      </w:r>
    </w:p>
    <w:p>
      <w:pPr>
        <w:spacing w:after="0" w:line="181"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Standard Securitization Undertakings</w:t>
      </w:r>
      <w:r>
        <w:rPr>
          <w:rFonts w:ascii="Arial" w:cs="Arial" w:eastAsia="Arial" w:hAnsi="Arial"/>
          <w:sz w:val="17"/>
          <w:szCs w:val="17"/>
          <w:color w:val="auto"/>
        </w:rPr>
        <w:t>” means representations, warranties, covenants, indemnities and guarantees of performance entered into by Parent Guarantor or any Restricted Subsidiary thereof which Parent Guarantor has determined in good faith to be customary in a receivables financing, it being understood that any Receivables Repurchase Obligation shall be deemed to be a Standard Securitization Undertaking.</w:t>
      </w:r>
    </w:p>
    <w:p>
      <w:pPr>
        <w:spacing w:after="0" w:line="166"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Indebtedness, the date specified in the agreement governing or certificate relating to such Indebtedness as the fixed date on which the final payment of principal of such Indebtedness is due and payable, including pursuant to any mandatory redemption provision, but shall not include any contingent obligations to repay, redeem or repurchase any such principal prior to the date originally scheduled for the payment thereof.</w:t>
      </w:r>
    </w:p>
    <w:p>
      <w:pPr>
        <w:spacing w:after="0" w:line="18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 Indebtedness of the Issuer or any Guarantor that is expressly subordinated in right of payment to the Notes or any Guarantee, respectively.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920" w:right="580" w:firstLine="421"/>
        <w:spacing w:after="0" w:line="277" w:lineRule="auto"/>
        <w:tabs>
          <w:tab w:leader="none" w:pos="15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corporation of which more than 50.0% of the total voting power of the Voting Stock thereof is at the time owned, directly or indirectly, by such Person or one or more of the other Subsidiaries of such Person; and</w:t>
      </w:r>
    </w:p>
    <w:p>
      <w:pPr>
        <w:spacing w:after="0" w:line="62" w:lineRule="exact"/>
        <w:rPr>
          <w:rFonts w:ascii="Arial" w:cs="Arial" w:eastAsia="Arial" w:hAnsi="Arial"/>
          <w:sz w:val="18"/>
          <w:szCs w:val="18"/>
          <w:color w:val="auto"/>
        </w:rPr>
      </w:pPr>
    </w:p>
    <w:p>
      <w:pPr>
        <w:ind w:left="920" w:right="320" w:firstLine="421"/>
        <w:spacing w:after="0" w:line="277" w:lineRule="auto"/>
        <w:tabs>
          <w:tab w:leader="none" w:pos="15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partnership or similar business organization more than 50.0% of the ownership interests having ordinary voting power of which shall at the time be so owned.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113" w:name="page114"/>
    <w:bookmarkEnd w:id="113"/>
    <w:p>
      <w:pPr>
        <w:jc w:val="both"/>
        <w:ind w:right="3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specified, “Subsidiary” refers to a Subsidiary of the Parent Guarantor. Notwithstanding the foregoing, none of Weatherford\Al-Rushaid Limited, Weatherford Saudi Arabia Limited or Al-Shaheen Weatherford shall be considered a “Subsidiary” for purposes of this Supplemental Indenture.</w:t>
      </w:r>
    </w:p>
    <w:p>
      <w:pPr>
        <w:spacing w:after="0" w:line="124"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w:t>
      </w:r>
      <w:r>
        <w:rPr>
          <w:rFonts w:ascii="Arial" w:cs="Arial" w:eastAsia="Arial" w:hAnsi="Arial"/>
          <w:sz w:val="18"/>
          <w:szCs w:val="18"/>
          <w:color w:val="auto"/>
        </w:rPr>
        <w:t>” means the Person named as a “Subsidiary Guarantor” in the first paragraph of this Supplemental Indenture and any other Restricted Subsidiary that after the Issue Date becomes a party to the Indenture for purposes of providing a Guarantee with respect to the Notes, in each case, until such Person is released from its Guarantee in accordance with the terms of the Indenture.</w:t>
      </w:r>
    </w:p>
    <w:p>
      <w:pPr>
        <w:spacing w:after="0" w:line="181"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Parent</w:t>
      </w:r>
      <w:r>
        <w:rPr>
          <w:rFonts w:ascii="Arial" w:cs="Arial" w:eastAsia="Arial" w:hAnsi="Arial"/>
          <w:sz w:val="18"/>
          <w:szCs w:val="18"/>
          <w:color w:val="auto"/>
        </w:rPr>
        <w:t>” means any Person which legally and beneficially owns more than 50% of the Voting Stock and/or Equity Interests of the Parent Guarantor or any Restricted Subsidiary, either directly or through one or more Subsidiaries.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Person</w:t>
      </w:r>
      <w:r>
        <w:rPr>
          <w:rFonts w:ascii="Arial" w:cs="Arial" w:eastAsia="Arial" w:hAnsi="Arial"/>
          <w:sz w:val="18"/>
          <w:szCs w:val="18"/>
          <w:color w:val="auto"/>
        </w:rPr>
        <w:t>” has the meaning set forth in Section 901.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Supplemental Indenture</w:t>
      </w:r>
      <w:r>
        <w:rPr>
          <w:rFonts w:ascii="Arial" w:cs="Arial" w:eastAsia="Arial" w:hAnsi="Arial"/>
          <w:sz w:val="18"/>
          <w:szCs w:val="18"/>
          <w:color w:val="auto"/>
        </w:rPr>
        <w:t>” has the meaning stated in the first recital of this Supplemental Indenture.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Financial Institution</w:t>
      </w:r>
      <w:r>
        <w:rPr>
          <w:rFonts w:ascii="Arial" w:cs="Arial" w:eastAsia="Arial" w:hAnsi="Arial"/>
          <w:sz w:val="18"/>
          <w:szCs w:val="18"/>
          <w:color w:val="auto"/>
        </w:rPr>
        <w:t>” has the meaning specified in Section 1101.</w:t>
      </w:r>
    </w:p>
    <w:p>
      <w:pPr>
        <w:spacing w:after="0" w:line="225"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Term Loan Agreement</w:t>
      </w:r>
      <w:r>
        <w:rPr>
          <w:rFonts w:ascii="Arial" w:cs="Arial" w:eastAsia="Arial" w:hAnsi="Arial"/>
          <w:sz w:val="16"/>
          <w:szCs w:val="16"/>
          <w:color w:val="auto"/>
        </w:rPr>
        <w:t>” means the Term Loan Agreement dated as of May 4, 2016, among the Issuer, JPMorgan Chase Bank, N.A., as administrative agent, and the several lenders from time to time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Taxes</w:t>
      </w:r>
      <w:r>
        <w:rPr>
          <w:rFonts w:ascii="Arial" w:cs="Arial" w:eastAsia="Arial" w:hAnsi="Arial"/>
          <w:sz w:val="18"/>
          <w:szCs w:val="18"/>
          <w:color w:val="auto"/>
        </w:rPr>
        <w:t>” has the meaning specified in Section 1101.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Yield</w:t>
      </w:r>
      <w:r>
        <w:rPr>
          <w:rFonts w:ascii="Arial" w:cs="Arial" w:eastAsia="Arial" w:hAnsi="Arial"/>
          <w:sz w:val="18"/>
          <w:szCs w:val="18"/>
          <w:color w:val="auto"/>
        </w:rPr>
        <w:t>” has the meaning specified in Section 1203.</w:t>
      </w:r>
    </w:p>
    <w:p>
      <w:pPr>
        <w:spacing w:after="0" w:line="225"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Indenture Act</w:t>
      </w:r>
      <w:r>
        <w:rPr>
          <w:rFonts w:ascii="Arial" w:cs="Arial" w:eastAsia="Arial" w:hAnsi="Arial"/>
          <w:sz w:val="18"/>
          <w:szCs w:val="18"/>
          <w:color w:val="auto"/>
        </w:rPr>
        <w:t xml:space="preserve">” means the Trust Indenture Act of 1939 as in force at the date as of which this Supplemental Indenture was executed;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the event the Trust Indenture Act of 1939 is amended after such date, “Trust Indenture Act” means, to the extent required by any</w:t>
      </w:r>
      <w:r>
        <w:rPr>
          <w:rFonts w:ascii="Arial" w:cs="Arial" w:eastAsia="Arial" w:hAnsi="Arial"/>
          <w:sz w:val="18"/>
          <w:szCs w:val="18"/>
          <w:i w:val="1"/>
          <w:iCs w:val="1"/>
          <w:color w:val="auto"/>
        </w:rPr>
        <w:t xml:space="preserve"> </w:t>
      </w:r>
      <w:r>
        <w:rPr>
          <w:rFonts w:ascii="Arial" w:cs="Arial" w:eastAsia="Arial" w:hAnsi="Arial"/>
          <w:sz w:val="18"/>
          <w:szCs w:val="18"/>
          <w:color w:val="auto"/>
        </w:rPr>
        <w:t>such amendment, the Trust Indenture Act of 1939 as so amended.</w:t>
      </w:r>
    </w:p>
    <w:p>
      <w:pPr>
        <w:spacing w:after="0" w:line="181" w:lineRule="exact"/>
        <w:rPr>
          <w:sz w:val="20"/>
          <w:szCs w:val="20"/>
          <w:color w:val="auto"/>
        </w:rPr>
      </w:pPr>
    </w:p>
    <w:p>
      <w:pPr>
        <w:ind w:right="2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Trustee</w:t>
      </w:r>
      <w:r>
        <w:rPr>
          <w:rFonts w:ascii="Arial" w:cs="Arial" w:eastAsia="Arial" w:hAnsi="Arial"/>
          <w:sz w:val="17"/>
          <w:szCs w:val="17"/>
          <w:color w:val="auto"/>
        </w:rPr>
        <w:t>” means the Person named as the “Trustee” in the first paragraph of this Supplemental Indenture until a successor Trustee shall have become such pursuant to the applicable provisions of the Indenture, and thereafter “Trustee” shall mean or include each Person who is then a Trustee under the Indenture, and if at any time there is more than one such Person, “Trustee” shall mean the Trustee with respect to the Notes.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United States</w:t>
      </w:r>
      <w:r>
        <w:rPr>
          <w:rFonts w:ascii="Arial" w:cs="Arial" w:eastAsia="Arial" w:hAnsi="Arial"/>
          <w:sz w:val="18"/>
          <w:szCs w:val="18"/>
          <w:color w:val="auto"/>
        </w:rPr>
        <w:t>” or “</w:t>
      </w:r>
      <w:r>
        <w:rPr>
          <w:rFonts w:ascii="Arial" w:cs="Arial" w:eastAsia="Arial" w:hAnsi="Arial"/>
          <w:sz w:val="18"/>
          <w:szCs w:val="18"/>
          <w:i w:val="1"/>
          <w:iCs w:val="1"/>
          <w:color w:val="auto"/>
        </w:rPr>
        <w:t>U.S.</w:t>
      </w:r>
      <w:r>
        <w:rPr>
          <w:rFonts w:ascii="Arial" w:cs="Arial" w:eastAsia="Arial" w:hAnsi="Arial"/>
          <w:sz w:val="18"/>
          <w:szCs w:val="18"/>
          <w:color w:val="auto"/>
        </w:rPr>
        <w:t>” means the United States of America.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114" w:name="page115"/>
    <w:bookmarkEnd w:id="114"/>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(1) any Subsidiary that at the time of determination shall be designated an Unrestricted Subsidiary by the Board of Directors of the Parent Guarantor in accordance with Section 1106 and (2) any Subsidiary of an Unrestricted Subsidiary. Notwithstanding the preceding, if at any time, any Unrestricted Subsidiary would fail to meet the requirements as an Unrestricted Subsidiary in Section 1106, it shall thereafter cease to be an Unrestricted Subsidiary for purposes of the Indenture.</w:t>
      </w:r>
    </w:p>
    <w:p>
      <w:pPr>
        <w:spacing w:after="0" w:line="18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which are (i) direct obligations of the United States for the payment of which its full faith and credit is pledged or (ii) obligations of a Person controlled or supervised by and acting as an agency or instrumentality of the United States, the payment of which is unconditionally guaranteed as a full faith and credit obligation by the United States, each of which are not callable or redeemable at the option of the issuer thereof.</w:t>
      </w:r>
    </w:p>
    <w:p>
      <w:pPr>
        <w:spacing w:after="0" w:line="187"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with respect to any Person, means securities of any class of Equity Interests of such Person entitling the holders thereof (whether at all times or only so long as no senior class of stock or other relevant Equity Interest has voting power by reason of any contingency) to vote in the election of members of the Board of Directors of such Person.</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Weatherford Parent Company</w:t>
      </w:r>
      <w:r>
        <w:rPr>
          <w:rFonts w:ascii="Arial" w:cs="Arial" w:eastAsia="Arial" w:hAnsi="Arial"/>
          <w:sz w:val="18"/>
          <w:szCs w:val="18"/>
          <w:color w:val="auto"/>
        </w:rPr>
        <w:t>” means initially the Parent Guarantor or, if a Redomestication has occurred subsequent to the Issue Date and prior to the event in question or the date of determination, the Surviving Person resulting from such prior Redomestication.</w:t>
      </w:r>
    </w:p>
    <w:p>
      <w:pPr>
        <w:spacing w:after="0" w:line="170"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Stated Maturity, in respect thereof by (b) the number of years (calculated to the nearest one-twelfth) that will elapse between such date and the making of such payment by (2) the then outstanding principal amount of such Indebtedness.</w:t>
      </w:r>
    </w:p>
    <w:p>
      <w:pPr>
        <w:spacing w:after="0" w:line="171"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means a Restricted Subsidiary, all of the Equity Interests of which (other than directors’ qualifying shares) are owned by the Parent Guarantor or another Wholly-Owned Subsidiary.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Compliance Certificates and Opinions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Upon any application or request by the Issuer or any Guarantor to the Trustee to take or refrain from taking any action under any provision of the Indenture, the Issuer or such Guarantor, as the case may be, shall furnish to the Trustee such certificates and opinions as may be required under the Trust Indenture Act. Each such certificate or opinion shall be given in the form of an Officer’s Certificate, if to be given by the Issuer or a Guarantor, or an Opinion of Counsel, if to be given by counsel, and shall comply with the requirements of the Trust Indenture Act and any other requirements set forth in the Indenture.</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the Indenture shall include,</w:t>
      </w:r>
    </w:p>
    <w:p>
      <w:pPr>
        <w:spacing w:after="0" w:line="117" w:lineRule="exact"/>
        <w:rPr>
          <w:sz w:val="20"/>
          <w:szCs w:val="20"/>
          <w:color w:val="auto"/>
        </w:rPr>
      </w:pPr>
    </w:p>
    <w:p>
      <w:pPr>
        <w:ind w:left="920" w:right="520" w:firstLine="421"/>
        <w:spacing w:after="0" w:line="277" w:lineRule="auto"/>
        <w:tabs>
          <w:tab w:leader="none" w:pos="15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statement that each individual signing such certificate or opinion has read such covenant or condition and the definitions herein relating thereto;</w:t>
      </w:r>
    </w:p>
    <w:p>
      <w:pPr>
        <w:spacing w:after="0" w:line="62" w:lineRule="exact"/>
        <w:rPr>
          <w:rFonts w:ascii="Arial" w:cs="Arial" w:eastAsia="Arial" w:hAnsi="Arial"/>
          <w:sz w:val="18"/>
          <w:szCs w:val="18"/>
          <w:color w:val="auto"/>
        </w:rPr>
      </w:pPr>
    </w:p>
    <w:p>
      <w:pPr>
        <w:ind w:left="920" w:right="20" w:firstLine="421"/>
        <w:spacing w:after="0" w:line="277" w:lineRule="auto"/>
        <w:tabs>
          <w:tab w:leader="none" w:pos="15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115" w:name="page116"/>
    <w:bookmarkEnd w:id="115"/>
    <w:p>
      <w:pPr>
        <w:ind w:left="920" w:right="120" w:firstLine="421"/>
        <w:spacing w:after="0" w:line="277" w:lineRule="auto"/>
        <w:tabs>
          <w:tab w:leader="none" w:pos="1595"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statement that, in the opinion of each such individual, he has made such examination or investigation as is necessary to enable him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 statement as to whether or not, in the opinion of each such individual, such condition or covenant has been complied with.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Form of Documents Delivered to Trustee</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ind w:right="280" w:firstLine="913"/>
        <w:spacing w:after="0" w:line="273" w:lineRule="auto"/>
        <w:rPr>
          <w:sz w:val="20"/>
          <w:szCs w:val="20"/>
          <w:color w:val="auto"/>
        </w:rPr>
      </w:pPr>
      <w:r>
        <w:rPr>
          <w:rFonts w:ascii="Arial" w:cs="Arial" w:eastAsia="Arial" w:hAnsi="Arial"/>
          <w:sz w:val="17"/>
          <w:szCs w:val="17"/>
          <w:color w:val="auto"/>
        </w:rPr>
        <w:t>Any certificate or opinion of an Officer of the Issuer or a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Issuer stating that the information with respect to such factual matters is in the possession of the Issuer,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the Indenture, they may, but need not, be consolidated and form one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Acts of Holders; Record Dates</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 xml:space="preserve">Any request, demand, authorization, direction, notice, consent, waiver or other action provided or permitted by the Indenture to be given, made or taken by Holders of the Notes may be embodied in and evidenced by one or more instruments of substantially similar tenor signed (either physically or by means of a facsimile or an electronic transmission,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electronic transmission is transmitted through the facilities of a Depositary) by such Holders in person or by agent duly appointed in writing; and, except as herein otherwise expressly provided, such action shall become effective when such instrument or instruments are delivered to the Trustee and, where it is hereby expressly required, to the Issuer or the Guarantors.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the Indenture and conclusive in favor of the Trustee and the Issuer and, if applicable, the Subsidiary Guarantors, if made in the manner provided in this Section.</w:t>
      </w:r>
    </w:p>
    <w:p>
      <w:pPr>
        <w:spacing w:after="0" w:line="166"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116" w:name="page117"/>
    <w:bookmarkEnd w:id="116"/>
    <w:p>
      <w:pPr>
        <w:ind w:right="2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ownership, principal amount and serial numbers of Notes held by any Person, and the date of commencement of such Person’s holding of same, shall be proved by the Security Register.</w:t>
      </w:r>
    </w:p>
    <w:p>
      <w:pPr>
        <w:spacing w:after="0" w:line="170"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Any request, demand, authorization, direction, notice, consent, waiver or other Act of the Holder of any Note shall bind every future Holder of Notes and the Holder of every Note issued upon the registration of transfer thereof or in exchange therefor or in lieu thereof in respect of anything done, omitted or suffered to be done by the Trustee or the Issuer or, if applicable, the Subsidiary Guarantors in reliance thereon, whether or not notation of such action is made upon such Note.</w:t>
      </w:r>
    </w:p>
    <w:p>
      <w:pPr>
        <w:spacing w:after="0" w:line="18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The Issuer may set any day as a record date for the purpose of determining the Holders of Outstanding Notes entitled to give, make or take any request, demand, authorization, direction, notice, consent, waiver or other Act provided or permitted by the Indenture to be given, made or taken by Holders of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Notes on such record date, and no other Holders, shall be entitled to take the relevant action, whether or not such Holders remain Holders after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action shall be effective hereunder unless taken on or prior to the applicable Expiration Date by Holders of the requisite principal amount of Outstanding Notes on such record date. Nothing in this paragraph shall be construed to prevent the Issuer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Issuer, at its own expense, shall cause notice of such record date, the proposed action by Holders and the applicable Expiration Date to be given to the Trustee in writing and to each Holder of Notes in the manner set forth in Section 206.</w:t>
      </w:r>
    </w:p>
    <w:p>
      <w:pPr>
        <w:spacing w:after="0" w:line="169"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The Trustee may set any day as a record date for the purpose of determining the Holders of Notes entitled to join in the giving or making of (i) any notice of Default, (ii) any declaration of acceleration referred to in Section 602, (iii) any request to institute proceedings referred to in Section 607(2) or</w:t>
      </w:r>
    </w:p>
    <w:p>
      <w:pPr>
        <w:ind w:right="40" w:firstLine="8"/>
        <w:spacing w:after="0" w:line="268" w:lineRule="auto"/>
        <w:tabs>
          <w:tab w:leader="none" w:pos="30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any direction referred to in Section 612. If any record date is set pursuant to this paragraph, the Holders of Outstanding Notes on such record date, and no other Holders, shall be entitled to join in such notice, declaration, request or direction, whether or not such Holders remain Holders after such record date;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action shall be effective hereunder unless taken on or prior to the applicable Expiration Date by Holders of the requisite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Outstanding Notes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Trustee, at the Issuer’s expense, shall cause notice of such record date, the proposed action by Holders and the applicable Expiration Date to be given to the Issuer in writing and to each Holder of Notes in the manner set forth in Section 206.</w:t>
      </w:r>
    </w:p>
    <w:p>
      <w:pPr>
        <w:spacing w:after="0" w:line="182"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 xml:space="preserve">With respect to any record date set pursuant to this Section, the party hereto which sets such record date may designate any day as the “Expiration Date” and from time to time may change the Expiration Date to any earlier or later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change shall be effective unless notice of the proposed new Expiration Date is given to each other party hereto in writing, and to each Holder of Notes in the manner set forth in Section 206, on or prior to the existing Expiration Date. If an Expiration Date is not designated with respect to any record date set pursuant to this Section, the party hereto which</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117" w:name="page118"/>
    <w:bookmarkEnd w:id="117"/>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81"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the Notes may do so with regard to all or any part of the principal amount of such Note or by one or more duly appointed agents each of which may do so pursuant to such appointment with regard to all or any part of such principal amount.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Notices, Etc., to Trustee, Issuer and Guarantors</w:t>
      </w:r>
      <w:r>
        <w:rPr>
          <w:rFonts w:ascii="Arial" w:cs="Arial" w:eastAsia="Arial" w:hAnsi="Arial"/>
          <w:sz w:val="18"/>
          <w:szCs w:val="18"/>
          <w:color w:val="auto"/>
        </w:rPr>
        <w:t>.</w:t>
      </w:r>
    </w:p>
    <w:p>
      <w:pPr>
        <w:spacing w:after="0" w:line="11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Any request, demand, authorization, direction, notice, consent, waiver or other Act of Holders or other document provided or permitted by the Indenture to be made upon, given or furnished to, or filed with,</w:t>
      </w:r>
    </w:p>
    <w:p>
      <w:pPr>
        <w:spacing w:after="0" w:line="62" w:lineRule="exact"/>
        <w:rPr>
          <w:sz w:val="20"/>
          <w:szCs w:val="20"/>
          <w:color w:val="auto"/>
        </w:rPr>
      </w:pPr>
    </w:p>
    <w:p>
      <w:pPr>
        <w:ind w:left="920" w:right="40" w:firstLine="421"/>
        <w:spacing w:after="0" w:line="277" w:lineRule="auto"/>
        <w:tabs>
          <w:tab w:leader="none" w:pos="159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by any Holder or by the Issuer or by any Guarantor shall be sufficient for every purpose hereunder if made, given, furnished or filed in writing to or with the Trustee at its Corporate Trust Office, or</w:t>
      </w:r>
    </w:p>
    <w:p>
      <w:pPr>
        <w:spacing w:after="0" w:line="62" w:lineRule="exact"/>
        <w:rPr>
          <w:rFonts w:ascii="Arial" w:cs="Arial" w:eastAsia="Arial" w:hAnsi="Arial"/>
          <w:sz w:val="18"/>
          <w:szCs w:val="18"/>
          <w:color w:val="auto"/>
        </w:rPr>
      </w:pPr>
    </w:p>
    <w:p>
      <w:pPr>
        <w:jc w:val="both"/>
        <w:ind w:left="920" w:right="480" w:firstLine="421"/>
        <w:spacing w:after="0" w:line="279" w:lineRule="auto"/>
        <w:tabs>
          <w:tab w:leader="none" w:pos="159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Issuer or a Guarantor by the Trustee or by any Holder shall be sufficient for every purpose hereunder (unless otherwise herein expressly provided) if in writing and mailed, first-class postage prepaid, addressed to the Issuer or the Guarantor, as the case may be, in c/o Weatherford International, LLC, at 2000 St. James Place, Houston, Texas 77056, Attention: Corporate Secretary, or at any other address previously furnished in writing to the Trustee by the Issuer or the Guarantors.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Notice to Holders; Waiver</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Where the Indenture provides for notice to Holders of any event, such notice shall be sufficiently given (unless otherwise herein expressly provided) if in writing and mailed, first-class postage prepaid (or sent electronically in accordance with the procedures of the Depositary in cases where the Holder is the Depositary or its nominee) to each Holder affected by such event, at its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If notice is mailed to Holders in the manner provided in this Section 206, it is duly given, whether or not the addressee receives it. Where the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2"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207.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If any provision hereof limits, qualifies or conflicts with a provision of the Trust Indenture Act which is required under the Trust Indenture Act to be a part of and govern the Indenture, the latter provision shall control. If any provision of the Indenture modifies or excludes any provision of the Trust Indenture Act which may be so modified or excluded, the latter provision shall be deemed to apply to the Indenture as so modified or to be excluded, as the case may be.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Article and Section headings herein and the Table of Contents are for convenience only and shall not affect the construction hereof.</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All covenants and agreements in the Indenture by the Issuer, the Guarantors or the Trustee shall bind their respective successors and assigns, whether so expressed or not.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Separability Clause</w:t>
      </w:r>
      <w:r>
        <w:rPr>
          <w:rFonts w:ascii="Arial" w:cs="Arial" w:eastAsia="Arial" w:hAnsi="Arial"/>
          <w:sz w:val="18"/>
          <w:szCs w:val="18"/>
          <w:color w:val="auto"/>
        </w:rPr>
        <w:t>.</w:t>
      </w:r>
    </w:p>
    <w:p>
      <w:pPr>
        <w:spacing w:after="0" w:line="117"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In case any provision in this Supplemental Indenture or the Notes shall be invalid, illegal or unenforceable, the validity, legality and enforce ability of the remaining provisions shall not in any way be affected or impaired thereby.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Nothing in the Indenture or the Notes, express or implied, shall give to any Person, other than the parties hereto and their successors hereunder and the Holders, any benefit or any legal or equitable right, remedy or claim under the Indenture. Notwithstanding the foregoing sentence, the Trustee, in each of its representative capacities hereunder, including as Registrar and Paying Agent, shall have all the rights, benefits, protections and immunities afforded by the Indenture to the Trustee in its capacity as such.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Governing Law; Submission to Jurisdiction</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Indenture, the Notes and the Guarantees shall be governed by and construed in accordance with the laws of the State of New York.</w:t>
      </w:r>
    </w:p>
    <w:p>
      <w:pPr>
        <w:spacing w:after="0" w:line="237"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 xml:space="preserve">To the fullest extent permitted by applicable law, each of the Issuer and the Guarantors hereby irrevocably submits to the non-exclusive jurisdiction of any Federal or state court located in the Borough of Manhattan in New York, New York in any suit, action or proceeding based on or arising out of or relating to the Indenture or the Notes and irrevocably agrees that all claims in respect of such suit or proceeding may be determined in any such court. Each of the Issuer and the Guarantors irrevocably waives, to the fullest extent permitted by law, any objection which it may have to the laying of the venue of any such suit, action or proceeding brought in an inconvenient forum. Each of the Issuer and the Guarantors agrees that final judgment in any such suit, action or proceeding brought in such a court shall be conclusive and binding and may be enforced in the courts of Bermuda (or any other courts of any other jurisdiction to which either of them is subject) by a suit upon such judgment,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service of process is effected upon the Issuer. Each of the Issuer and the Guarantors hereby irrevocably designates and appoints CT Corporation Systems, New York, New York (the “Process Agent”) as its authorized agent for purposes of this Section 212, it being understood that the designation and appointment of the Process Agent as such authorized agent shall become effective immediately without any further action on the part of the Issuer or such Guarantor, as the case may be. Each of the Issuer and the Guarantors further agrees that, unless otherwise required by law, service of process upon the Process Agent and written notice of said service to the Issuer or a Guarantor, as the case may be, mailed by prepaid registered first class mail or delivered to the Process Agent at its principal office, shall be deemed in every respect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119" w:name="page120"/>
    <w:bookmarkEnd w:id="11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service of process upon the Issuer or such Guarantor, as the case may be, in any such suit or proceeding. Each of the Issuer and the Guarantors further agrees to take any and all action, including the execution and filing of any and all such documents and instruments as may be necessary, to continue such designation and appointment of the Process Agent in full force and effect so long as the Issuer or such Guarantor, as the case may be, has any outstanding obligations under this Indenture. To the extent the Issuer or a Guarantor, as the case may be, has or hereafter may acquire any immunity from jurisdiction of any court or from any legal process (whether through service of notice, attachment prior to judgment, attachment in aid of execution, executor or otherwise) with respect to itself or its property, each of the Issuer and such Guarantor hereby irrevocably waives such immunity in respect of its obligations under this Indenture to the extent permitted by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In any case where any Interest Payment Date, Redemption Date, purchase date or Stated Maturity of any Note shall not be a Business Day, then (notwithstanding any other provision of the Indenture or of the Notes), payment of interest or principal (and premium, if any) may be made on the next succeeding Business Day with the same force and effect as if made on the Interest Payment Date, Redemption Date or purchase date, or at the Stated Maturity, and no additional interest will accrue solely as a result of such delayed payment.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No Personal Liability of Directors, Officers, Employees and Shareholders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No director, officer, employee, incorporator or shareholder of the Issuer or any Guarantor, as such, shall have any liability for any Indebtedness, obligations or liabilities of the Issuer under the Notes or the Indenture or of any Guarantor under its Guarantee or for any claim based on, in respect of, or by reason of, such Indebtedness, obligations or liabilities or their creation. Each Holder by accepting a Note waives and releases all such liability. The waiver and release are part of the consideration for issuance of the Notes and the Guarantees.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117" w:lineRule="exact"/>
        <w:rPr>
          <w:sz w:val="20"/>
          <w:szCs w:val="20"/>
          <w:color w:val="auto"/>
        </w:rPr>
      </w:pPr>
    </w:p>
    <w:p>
      <w:pPr>
        <w:ind w:right="840" w:firstLine="913"/>
        <w:spacing w:after="0" w:line="277" w:lineRule="auto"/>
        <w:rPr>
          <w:sz w:val="20"/>
          <w:szCs w:val="20"/>
          <w:color w:val="auto"/>
        </w:rPr>
      </w:pPr>
      <w:r>
        <w:rPr>
          <w:rFonts w:ascii="Arial" w:cs="Arial" w:eastAsia="Arial" w:hAnsi="Arial"/>
          <w:sz w:val="18"/>
          <w:szCs w:val="18"/>
          <w:color w:val="auto"/>
        </w:rPr>
        <w:t>The Indenture may not be used to interpret any other indenture, loan or debt agreement of the Issuer or its Subsidiaries or of any other Person. Any such indenture, loan or debt agreement may not be used to interpret the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(“Applicable Banking Laws”), the Trustee is required to obtain, verify, record and update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parties in order to enable the Trustee to comply with Applicable Banking Laws.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Payment in Required Currency; Judgment Currency</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Each of the Issuer and the Guarantors agrees, to the fullest extent that it may effectively do so under applicable law, that (a) if for the purpose of obtaining judgment in any court it is necessary to convert the sum due in Dollars in respect of the principal of, or premium, if any, or interest on, the Notes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120" w:name="page121"/>
    <w:bookmarkEnd w:id="12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“Required Currency”) into another currency in which a judgment will be rendered (the “Judgment Currency”), the rate of exchange used shall be the rate at which in accordance with normal banking procedures the Trustee could purchase in New York, New York the Required Currency with the Judgment Currency on the day on which final non-appealable judgment is entered, unless such day is not a Business Day, then, to the extent permitted by applicable law, the rate of exchange used shall be the rate at which in accordance with normal banking procedures the Trustee could purchase in New York, New York the Required Currency with the Judgment Currency on the Business Day next preceding the day on which final non-appealable judgment is entered and (b) its obligations under this Indenture to make payments in the Required Currency (i) shall not be discharged or satisfied by any tender, or any recovery pursuant to any judgment (whether or not entered in accordance with subclause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Language of Notices, Etc.</w:t>
      </w:r>
    </w:p>
    <w:p>
      <w:pPr>
        <w:spacing w:after="0" w:line="11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Any request, demand, authorization, direction, notice, consent, waiver or Act required or permitted under the Indenture shall be in the English language, except that any published notice may be in an official language of the country of publication.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Counterpart Originals</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The parties may sign any number of copies of this Supplemental Indenture, and each party hereto may sign any number of separate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THREE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FORMS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Forms Generally</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The Notes and the Trustee’s certificate of authentication shall be in substantially the respective forms set forth in Annex A hereto, and the notations of Guarantee shall be in substantially the form set forth in Annex B hereto. The Notes may have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Notes as evidenced by their execution thereof.</w:t>
      </w:r>
    </w:p>
    <w:p>
      <w:pPr>
        <w:spacing w:after="0" w:line="173"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The Notes shall be printed, lithographed or engraved on steel engraved borders or may be produced in any other manner, all as determined by the Officers executing such Notes, as evidenced by their execution of such Notes.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121" w:name="page122"/>
    <w:bookmarkEnd w:id="121"/>
    <w:p>
      <w:pPr>
        <w:ind w:right="1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provided in Section 303, the Initial Notes shall be issued initially in the form of one or more Global Notes, which shall be deposited with the Trustee, as Securities Custodian for the Depositary.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Legends for Notes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Every Global Note authenticated and delivered under the Indenture shall bear a legend in substantially the following form:</w:t>
      </w:r>
    </w:p>
    <w:p>
      <w:pPr>
        <w:spacing w:after="0" w:line="11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THIS NOTE IS A GLOBAL NOTE WITHIN THE MEANING OF THE INDENTURE HEREINAFTER REFERRED TO AND IS REGISTERED IN THE NAME OF A DEPOSITARY OR A NOMINEE THEREOF. THIS NOTE MAY NOT BE EXCHANGED IN WHOLE OR IN PART FOR A NOTE REGISTERED, AND NO TRANSFER OF THIS NOTE IN WHOLE OR IN PART MAY BE REGISTERED, IN THE NAME OF ANY PERSON OTHER THAN SUCH DEPOSITARY OR A NOMINEE THEREOF, EXCEPT IN THE LIMITED CIRCUMSTANCES DESCRIBED IN THE INDENTURE.</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Unless and until (i) an Initial Note or an Additional Restricted Note is sold under an effective registration statement, (ii) an Initial Note or an Additional Restricted Note is exchanged for an Exchange Note under an effective registration statement, in each case pursuant to a Registration Rights Agreement or a similar agreement, or (iii) as otherwise provided in Section 411, such Note shall bear the following legend (the “Restricted Notes Legend”) on the face thereof:</w:t>
      </w:r>
    </w:p>
    <w:p>
      <w:pPr>
        <w:spacing w:after="0" w:line="7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THIS NOTE HAS NOT BEEN REGISTERED UNDER THE SECURITIES ACT OF 1933, AS AMENDED (THE “SECURITIES ACT”), OR THE SECURITIES LAWS OF ANY STATE OR OTHER JURISDICTION. NEITHER THIS NOTE NOR ANY INTEREST OR PARTICIPATION HEREIN MAY BE REOFFERED, SOLD, ASSIGNED, TRANSFERRED, PLEDGED, ENCUMBERED OR OTHERWISE DISPOSED OF IN THE ABSENCE OF SUCH REGISTRATION OR UNLESS SUCH TRANSACTION IS EXEMPT FROM, OR NOT SUBJECT TO, SUCH REGISTRATION.</w:t>
      </w:r>
    </w:p>
    <w:p>
      <w:pPr>
        <w:spacing w:after="0" w:line="18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THE HOLDER OF THIS NOTE, BY ITS ACCEPTANCE HEREOF, AGREES ON ITS OWN BEHALF AND ON BEHALF OF ANY INVESTOR ACCOUNT FOR WHICH IT HAS PURCHASED NOTES, TO OFFER, SELL, OR OTHERWISE TRANSFER SUCH NOTE, PRIOR TO THE DATE (THE “RESALE RESTRICTION TERMINATION DATE”) THAT IS [</w:t>
      </w:r>
      <w:r>
        <w:rPr>
          <w:rFonts w:ascii="Arial" w:cs="Arial" w:eastAsia="Arial" w:hAnsi="Arial"/>
          <w:sz w:val="18"/>
          <w:szCs w:val="18"/>
          <w:b w:val="1"/>
          <w:bCs w:val="1"/>
          <w:i w:val="1"/>
          <w:iCs w:val="1"/>
          <w:color w:val="auto"/>
        </w:rPr>
        <w:t>IN THE CASE OF RULE 144A NOTES</w:t>
      </w:r>
      <w:r>
        <w:rPr>
          <w:rFonts w:ascii="Arial" w:cs="Arial" w:eastAsia="Arial" w:hAnsi="Arial"/>
          <w:sz w:val="18"/>
          <w:szCs w:val="18"/>
          <w:b w:val="1"/>
          <w:bCs w:val="1"/>
          <w:color w:val="auto"/>
        </w:rPr>
        <w:t>: ONE YEAR AFTER THE LATER OF THE ORIGINAL ISSUE DATE HEREOF, THE ORIGINAL ISSUE DATE OF THE ISSUANCE OF ANY ADDITIONAL NOTES AND THE LAST DATE ON WHICH THE ISSUER OR ANY AFFILIATE OF THE ISSUER WAS THE OWNER OF THIS NOTE (OR ANY PREDECESSOR OF SUCH NOTE)][</w:t>
      </w:r>
      <w:r>
        <w:rPr>
          <w:rFonts w:ascii="Arial" w:cs="Arial" w:eastAsia="Arial" w:hAnsi="Arial"/>
          <w:sz w:val="18"/>
          <w:szCs w:val="18"/>
          <w:b w:val="1"/>
          <w:bCs w:val="1"/>
          <w:i w:val="1"/>
          <w:iCs w:val="1"/>
          <w:color w:val="auto"/>
        </w:rPr>
        <w:t>IN THE CASE OF REGULATION S NOTES</w:t>
      </w:r>
      <w:r>
        <w:rPr>
          <w:rFonts w:ascii="Arial" w:cs="Arial" w:eastAsia="Arial" w:hAnsi="Arial"/>
          <w:sz w:val="18"/>
          <w:szCs w:val="18"/>
          <w:b w:val="1"/>
          <w:bCs w:val="1"/>
          <w:color w:val="auto"/>
        </w:rPr>
        <w:t>: 40 DAYS AFTER THE LATER OF THE ORIGINAL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122" w:name="page123"/>
    <w:bookmarkEnd w:id="122"/>
    <w:p>
      <w:pPr>
        <w:spacing w:after="0" w:line="25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 DATE HEREOF, THE ORIGINAL ISSUE DATE OF THE ISSUANCE OF ANY ADDITIONAL NOTES AND THE DATE ON WHICH THIS NOTE (OR ANY PREDECESSOR OF SUCH NOTE) WAS FIRST OFFERED TO PERSONS OTHER THAN DISTRIBUTORS (AS DEFINED IN RULE 902 OF REGULATION S) IN RELIANCE ON REGULATION S], ONLY (A) TO THE PARENT GUARANTOR OR ANY SUBSIDIARY THEREOF, (B) PURSUANT TO A REGISTRATION STATEMENT THAT HAS BEEN DECLARED EFFECTIVE UNDER THE SECURITIES ACT, (C) FOR SO LONG AS THE NOTES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501(a)(1), (2), (3), OR (7) UNDER THE SECURITIES ACT THAT IS NOT A QUALIFIED INSTITUTIONAL BUYER AND THAT IS PURCHASING FOR ITS OWN ACCOUNT OR FOR THE ACCOUNT OF ANOTHER INSTITUTIONAL ACCREDITED INVESTOR, IN EACH CASE IN A MINIMUM PRINCIPAL AMOUNT OF THE NOTES OF $250,000, FOR INVESTMENT PURPOSES AND NOT WITH A VIEW TO OR FOR OFFER OR SALE IN CONNECTION WITH ANY DISTRIBUTION IN VIOLATION OF THE SECURITIES ACT OR (F) PURSUANT TO ANOTHER AVAILABLE EXEMPTION FROM THE REGISTRATION REQUIREMENTS OF THE SECURITIES ACT, SUBJECT TO THE ISSUER’S AND THE TRUSTEE’S RIGHT PRIOR TO ANY SUCH OFFER, SALE OR TRANSFER PURSUANT TO CLAUSES (D), (E) OR (F) TO REQUIRE THE DELIVERY OF AN OPINION OF COUNSEL, CERTIFICATION, AND/OR OTHER INFORMATION SATISFACTORY TO EACH OF THEM. THIS LEGEND WILL BE REMOVED UPON THE REQUEST OF THE HOLDER AFTER THE RESALE RESTRICTION TERMINATION DATE. [</w:t>
      </w:r>
      <w:r>
        <w:rPr>
          <w:rFonts w:ascii="Arial" w:cs="Arial" w:eastAsia="Arial" w:hAnsi="Arial"/>
          <w:sz w:val="18"/>
          <w:szCs w:val="18"/>
          <w:b w:val="1"/>
          <w:bCs w:val="1"/>
          <w:i w:val="1"/>
          <w:iCs w:val="1"/>
          <w:color w:val="auto"/>
        </w:rPr>
        <w:t>IN THE CASE OF REGULATION S NOTES</w:t>
      </w:r>
      <w:r>
        <w:rPr>
          <w:rFonts w:ascii="Arial" w:cs="Arial" w:eastAsia="Arial" w:hAnsi="Arial"/>
          <w:sz w:val="18"/>
          <w:szCs w:val="18"/>
          <w:b w:val="1"/>
          <w:bCs w:val="1"/>
          <w:color w:val="auto"/>
        </w:rPr>
        <w:t>: BY ITS ACQUISITION HEREOF, THE HOLDER HEREOF REPRESENTS THAT IT IS NOT A U.S. PERSON NOR IS IT PURCHASING FOR THE ACCOUNT OF A U.S. PERSON AND IS ACQUIRING THIS NOTE IN AN OFFSHORE TRANSACTION IN ACCORDANCE WITH REGULATION S UNDER THE SECURITIES ACT.]</w:t>
      </w:r>
    </w:p>
    <w:p>
      <w:pPr>
        <w:spacing w:after="0" w:line="1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color w:val="auto"/>
        </w:rPr>
        <w:t>BY ITS ACQUISITION OF THIS NOTE, THE HOLDER THEREOF WILL BE DEEMED TO HAVE REPRESENTED AND WARRANTED THAT EITHER (1) NO PORTION OF THE ASSETS USED BY SUCH HOLDER TO ACQUIRE OR HOLD THIS NOTE CONSTITUTES THE ASSETS OF AN EMPLOYEE BENEFIT PLAN THAT IS SUBJECT TO TITLE I OF THE U.S. EMPLOYEE RETIREMENT INCOME NOTE ACT OF 1974, AS AMENDED (“ERISA”), ANY PLAN, INDIVIDUAL RETIREMENT ACCOUNT OR OTHER ARRANGEMENT THAT IS SUBJECT TO SECTION 4975 OF THE U.S. INTERNAL REVENUE CODE OF 1986, AS AMENDED (THE “CODE”), OR PROVISIONS UNDER ANY OTHER FEDERAL, STATE, LOCAL, NON-U.S. OR OTHER LAWS OR REGULATIONS THAT ARE SIMILAR TO SUCH PROVISIONS OF ERISA OR THE CODE (“SIMILAR LAWS”), OR AN ENTITY WHOSE UNDERLYING ASSETS ARE CONSIDERED TO INCLUDE “PLAN ASSETS” OF ANY SUCH PLAN, ACCOUNT OR ARRANGEMENT, OR (2) THE ACQUISITION AND HOLDING OF THIS NOTE WILL NOT CONSTITUTE A NON-EXEMPT PROHIBITED TRANSACTION UNDER SECTION 406 OF ERISA OR SECTION 4975 OF THE CODE OR A SIMILAR VIOLATION UNDER ANY APPLICABLE SIMILAR LAWS.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0" w:right="27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303. </w:t>
      </w:r>
      <w:r>
        <w:rPr>
          <w:rFonts w:ascii="Arial" w:cs="Arial" w:eastAsia="Arial" w:hAnsi="Arial"/>
          <w:sz w:val="18"/>
          <w:szCs w:val="18"/>
          <w:u w:val="single" w:color="auto"/>
          <w:color w:val="auto"/>
        </w:rPr>
        <w:t>Global Notes</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The Initial Notes are being offered and sold by the Issuer pursuant to a Purchase Agreement, dated November 15, 2015, among the Issuer, the Guarantors and Morgan Stanley &amp; Co. LLC. The Initial Notes and any Additional Notes (if issued as Restricted Notes) (the “Additional Restricted Notes”) shall be resold initially only to (A) QIBs in reliance on Rule 144A and (B) Non-U.S. Persons in reliance on Regulation S. Such Initial Notes and Additional Restricted Notes may thereafter be transferred to, among others, QIBs, purchasers in reliance on Regulation S and IAIs in accordance with Rule 501 of the Securities Act, in each case, in accordance with the procedure described herein. Additional Notes offered after the date hereof may be offered and sold by the Issuer from time to time pursuant to one or more purchase agreements in accordance with applicable law.</w:t>
      </w:r>
    </w:p>
    <w:p>
      <w:pPr>
        <w:spacing w:after="0" w:line="178"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Initial Notes and Additional Restricted Notes offered and sold to QIBs in the United States of America in reliance on Rule 144A (the “Rule 144A Notes”) shall be issued in the form of a permanent Global Note substantially in the form of Annex A, including appropriate legends as set forth in Section 302 (the “Rule 144A Global Note”), duly executed by the Issuer and authenticated by the Trustee as herein provided and deposited upon issuance with the Trustee, as Securities Custodian. The Rule 144A Global Note may be represented by more than one certificate, if so required by DTC’s rules regarding the maximum principal amount to be represented by a single certificate. The aggregate principal amount of the Rule 144A Global Note may from time to time be increased or decreased by adjustments made on the records of the Trustee, as Securities Custodian, as hereinafter provided.</w:t>
      </w:r>
    </w:p>
    <w:p>
      <w:pPr>
        <w:spacing w:after="0" w:line="16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Initial Notes and any Additional Restricted Notes offered and sold outside the United States of America (the “Regulation S Notes”) in reliance on Regulation S shall initially be issued in the form of a permanent Global Note substantially in the form of Annex A, including appropriate legends as set forth in Section 302 (the “Regulation S Global Note”), duly executed by the Issuer and authenticated by the Trustee as herein provided and deposited upon issuance with the Trustee, as Securities Custodian, for credit to the respective accounts of the purchasers (or to such other accounts as they may direct) at Euroclear Bank SA/NV, as operator of the Euroclear system (“Euroclear”) or Clearstream Banking, société anonyme (“Clearstream”). Prior to the 40th day after the later of the commencement of the offering of the Initial Notes and the Issue Date (such period through and including such 40th day, the “Restricted Period”), interests in the Regulation S Global Note may only be held through Euroclear and Clearstream, and may only be transferred to Non-U.S. Persons pursuant to Regulation S, unless exchanged for interests in another Global Note in accordance with the transfer and certification requirements described herein.</w:t>
      </w:r>
    </w:p>
    <w:p>
      <w:pPr>
        <w:spacing w:after="0" w:line="166"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Investors may hold their interests in the Regulation S Global Note after the Restricted Period through organizations other than Euroclear or Clearstream that are participants in DTC’s system or directly through Euroclear or Clearstream, if they are participants in such systems, or indirectly through organizations which are participants in such systems. If such interests are held through Euroclear or Clearstream, Euroclear and Clearstream shall hold such interests in the applicable Regulation S Global Note on behalf of their participants through customers’ securities accounts in their respective names on the books of their respective depositaries. Such depositaries, in turn, shall hold such interests in the applicable Regulation S Global Note in customers’ securities accounts in the depositaries’ names on the books of DTC.</w:t>
      </w:r>
    </w:p>
    <w:p>
      <w:pPr>
        <w:spacing w:after="0" w:line="178"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The Regulation S Global Note may be represented by more than one certificate, if so required by DTC’s rules regarding the maximum principal amount to be represented by a single certificate. The aggregate principal amount of the Regulation S Global Note may from time to time be increased or decreased by adjustments made on the records of the Trustee, as Securities Custodian, as hereinafter provided.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124" w:name="page125"/>
    <w:bookmarkEnd w:id="124"/>
    <w:p>
      <w:pPr>
        <w:ind w:right="2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Initial Notes and Additional Restricted Notes resold to IAIs (the “Institutional Accredited Investor Notes”) in the United States of America shall be issued in the form of a permanent Global Note substantially in the form of Annex A including appropriate legends as set forth in Section 302 (the “Institutional Accredited Investor Global Note”), duly executed by the Issuer and authenticated by the Trustee as herein provided and deposited upon issuance with the Trustee, as Securities Custodian. The Institutional Accredited Investor Global Note may be represented by more than one certificate, if so required by DTC’s rules regarding the maximum principal amount to be represented by a single certificate. The aggregate principal amount of the Institutional Accredited Investor Global Note may from time to time be increased or decreased by adjustments made on the records of the Trustee, as Securities Custodian, as hereinafter provided.</w:t>
      </w:r>
    </w:p>
    <w:p>
      <w:pPr>
        <w:spacing w:after="0" w:line="189"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Exchange Notes exchanged for interests in the Rule 144A Notes, the Regulation S Notes and the Institutional Accredited Investor Notes shall be issued in the form of a permanent Global Note, substantially in the form of Annex A, including appropriate legends as set forth in Section 302 (the “Exchange Global Note”), duly executed by the Issuer and authenticated by the Trustee as herein provided and deposited upon issuance with the Trustee, as Securities Custodian. The Exchange Global Note may be represented by more than one certificate, if so required by DTC’s rules regarding the maximum principal amount to be represented by a single certificate.</w:t>
      </w:r>
    </w:p>
    <w:p>
      <w:pPr>
        <w:spacing w:after="0" w:line="188"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Rule 144A Global Note, the Regulation S Global Note, the Institutional Accredited Investor Global Note and the Exchange Global Note are sometimes collectively herein referred to as the “Global Notes.”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FOUR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Title and Terms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Notes shall be entitled the “9.875% Senior Notes due 2024.” The Trustee shall authenticate and deliver on the Issue Date $540,000,000 in aggregate principal amount of the Initial Notes, upon delivery of an Issuer Order. The Trustee shall authenticate Additional Notes thereafter from time to time for original issue in unlimited aggregate principal amount upon receipt of an Issuer Order (subject to compliance with Section 1108). The Trustee shall also authenticate Exchange Notes thereafter from time to time for original issue in exchange for an equal principal amount of Initial Notes or Additional Notes upon receipt of an Issuer Order. Any such Issuer Order shall also specify the date on which the original issue of Notes is to be authenticated, and, in relation to any Additional Notes or Exchange Notes, it shall also specify the principal amount thereof to be issued and, in relation to any Additional Notes, it shall certify that such issuance is not prohibited by Section 1108.</w:t>
      </w:r>
    </w:p>
    <w:p>
      <w:pPr>
        <w:spacing w:after="0" w:line="17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Notes will mature on February 15, 2024. Interest on the Notes will accrue at the rate of 9.875% per annum, and will be payable semiannually in cash on each February 15 and August 15, commencing on August 15, 2017 in the case of the Initial Notes, to the Persons who are registered Holders of Notes at the close of business on the February 1 and August 1 immediately preceding the applicable Interest Payment Date. Interest on the Notes will accrue from the most recent date to which interest has been paid or, if no interest has been paid, from and including the date of issuance to but excluding the actual Interest Payment Date.</w:t>
      </w:r>
    </w:p>
    <w:p>
      <w:pPr>
        <w:spacing w:after="0" w:line="188"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The Notes shall be redeemable as provided in Article Twelve and subject to Legal Defeasance and Covenant Defeasance as provided in Article Fourteen. The Notes shall have such other terms as are indicated in Annex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402. </w:t>
      </w:r>
      <w:r>
        <w:rPr>
          <w:rFonts w:ascii="Arial" w:cs="Arial" w:eastAsia="Arial" w:hAnsi="Arial"/>
          <w:sz w:val="18"/>
          <w:szCs w:val="18"/>
          <w:u w:val="single" w:color="auto"/>
          <w:color w:val="auto"/>
        </w:rPr>
        <w:t>Denominations</w:t>
      </w:r>
      <w:r>
        <w:rPr>
          <w:rFonts w:ascii="Arial" w:cs="Arial" w:eastAsia="Arial" w:hAnsi="Arial"/>
          <w:sz w:val="18"/>
          <w:szCs w:val="18"/>
          <w:color w:val="auto"/>
        </w:rPr>
        <w:t>.</w:t>
      </w:r>
    </w:p>
    <w:p>
      <w:pPr>
        <w:spacing w:after="0" w:line="117"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The Notes shall be issuable only in fully registered form without coupons and only in denominations of $2,000 and any integral multiple of $1,000 in excess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Execution, Authentication, Delivery and Dating</w:t>
      </w:r>
      <w:r>
        <w:rPr>
          <w:rFonts w:ascii="Arial" w:cs="Arial" w:eastAsia="Arial" w:hAnsi="Arial"/>
          <w:sz w:val="18"/>
          <w:szCs w:val="18"/>
          <w:color w:val="auto"/>
        </w:rPr>
        <w:t>.</w:t>
      </w:r>
    </w:p>
    <w:p>
      <w:pPr>
        <w:spacing w:after="0" w:line="117" w:lineRule="exact"/>
        <w:rPr>
          <w:sz w:val="20"/>
          <w:szCs w:val="20"/>
          <w:color w:val="auto"/>
        </w:rPr>
      </w:pPr>
    </w:p>
    <w:p>
      <w:pPr>
        <w:ind w:right="260" w:firstLine="913"/>
        <w:spacing w:after="0" w:line="308" w:lineRule="auto"/>
        <w:rPr>
          <w:sz w:val="20"/>
          <w:szCs w:val="20"/>
          <w:color w:val="auto"/>
        </w:rPr>
      </w:pPr>
      <w:r>
        <w:rPr>
          <w:rFonts w:ascii="Arial" w:cs="Arial" w:eastAsia="Arial" w:hAnsi="Arial"/>
          <w:sz w:val="17"/>
          <w:szCs w:val="17"/>
          <w:color w:val="auto"/>
        </w:rPr>
        <w:t>The Notes shall be executed on behalf of the Issuer by one of its Officers. If its corporate seal is reproduced thereon, it shall be attested by the Secretary or an Assistant Secretary of the Issuer. The signature of any of these officers on the Notes may be manual or facsimile.</w:t>
      </w:r>
    </w:p>
    <w:p>
      <w:pPr>
        <w:spacing w:after="0" w:line="14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If the Issuer elects to reproduce its corporate seal on the Notes, then such seal may be in the form of a facsimile thereof and may be impressed, affixed, imprinted or otherwise reproduced on the Notes.</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Notes bearing the manual or facsimile signatures of individuals who were at any time the proper Officers of the Issuer shall bind the Issuer, notwithstanding the fact that such individuals or any of them have ceased to hold such offices prior to the authentication and delivery of such Notes or did not hold such offices at the date of such Notes.</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At any time and from time to time after the execution and delivery of this Supplemental Indenture and as provided in Section 401, the Issuer may deliver Notes executed by the Issuer to the Trustee for authentication, together with an Issuer Order for the authentication and delivery of such Notes, and the Trustee in accordance with the Issuer Order shall authenticate and deliver such Notes.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Note shall be dated the date of its authentication.</w:t>
      </w:r>
    </w:p>
    <w:p>
      <w:pPr>
        <w:spacing w:after="0" w:line="225" w:lineRule="exact"/>
        <w:rPr>
          <w:sz w:val="20"/>
          <w:szCs w:val="20"/>
          <w:color w:val="auto"/>
        </w:rPr>
      </w:pPr>
    </w:p>
    <w:p>
      <w:pPr>
        <w:ind w:right="280" w:firstLine="913"/>
        <w:spacing w:after="0" w:line="288" w:lineRule="auto"/>
        <w:rPr>
          <w:sz w:val="20"/>
          <w:szCs w:val="20"/>
          <w:color w:val="auto"/>
        </w:rPr>
      </w:pPr>
      <w:r>
        <w:rPr>
          <w:rFonts w:ascii="Arial" w:cs="Arial" w:eastAsia="Arial" w:hAnsi="Arial"/>
          <w:sz w:val="16"/>
          <w:szCs w:val="16"/>
          <w:color w:val="auto"/>
        </w:rPr>
        <w:t>No Note shall be entitled to any benefit under the Indenture or be valid or obligatory for any purpose unless there appears on such Note a certificate of authentication substantially in the form provided for in Annex A, signed manually in the name of the Trustee by an authorized signatory, and such certificate upon any Note shall be conclusive evidence, and the only evidence, that such Note has been duly authenticated and delivered</w:t>
      </w:r>
    </w:p>
    <w:p>
      <w:pPr>
        <w:jc w:val="both"/>
        <w:ind w:right="80"/>
        <w:spacing w:after="0" w:line="277" w:lineRule="auto"/>
        <w:rPr>
          <w:sz w:val="20"/>
          <w:szCs w:val="20"/>
          <w:color w:val="auto"/>
        </w:rPr>
      </w:pPr>
      <w:r>
        <w:rPr>
          <w:rFonts w:ascii="Arial" w:cs="Arial" w:eastAsia="Arial" w:hAnsi="Arial"/>
          <w:sz w:val="17"/>
          <w:szCs w:val="17"/>
          <w:color w:val="auto"/>
        </w:rPr>
        <w:t>hereunder. Notwithstanding the foregoing, if any Note shall have been authenticated and delivered hereunder but never issued and sold by the Issuer, and the Issuer shall deliver such Note to the Trustee for cancellation as provided in Section 409, for all purposes of the Indenture such Note shall be deemed never to have been authenticated and delivered hereunder and shall never be entitled to the benefits of the Indenture.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Pending the preparation of definitive Notes, the Issuer may execute, and upon Issuer Order the Trustee shall authenticate and deliver, temporary Notes which are printed, lithographed, typewritten, mimeographed or otherwise produced, in any authorized denomination, substantially of the tenor of the definitive Notes in lieu of which they are issued and with such appropriate insertions, omissions, substitutions and other variations as the Officers executing such Notes may determine, as evidenced by their execution of such Notes.</w:t>
      </w:r>
    </w:p>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If temporary Notes are issued, the Issuer will cause definitive Notes in either global or certificated form, as appropriate, to be prepared without unreasonable delay. After the preparation of definitive Notes, the temporary Notes shall be exchangeable for definitive Notes upon surrender of the temporary Notes at the office or agency of the Issuer in a Place of Payment, without charge to the Holder. Upon surrender for cancellation of any one or more temporary Notes, the Issuer shall execute and the Trustee shall authenticate and deliver in exchange therefor one or more definitive Notes, of any authorized denominations and of like tenor and aggregate principal amount. Until so exchanged, the temporary Notes shall in all respects be entitled to the same benefits under the Indenture as definitive Notes.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74" w:right="27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405. </w:t>
      </w:r>
      <w:r>
        <w:rPr>
          <w:rFonts w:ascii="Arial" w:cs="Arial" w:eastAsia="Arial" w:hAnsi="Arial"/>
          <w:sz w:val="18"/>
          <w:szCs w:val="18"/>
          <w:u w:val="single" w:color="auto"/>
          <w:color w:val="auto"/>
        </w:rPr>
        <w:t>Registrar, Global Notes and Definitive Notes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Issuer shall cause to be kept at the Corporate Trust Office of the Trustee a register (the register maintained in such office and in any other office or agency of the Issuer being herein sometimes collectively referred to as the “Security Register”) in which, subject to such reasonable regulations as it may prescribe, the Issuer shall provide for the registration of Notes and of transfers of Notes. The Trustee is hereby appointed “Registrar” for the purpose of registering Notes and transfers of Notes as herein provided.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Book-Entry Provisions</w:t>
      </w:r>
      <w:r>
        <w:rPr>
          <w:rFonts w:ascii="Arial" w:cs="Arial" w:eastAsia="Arial" w:hAnsi="Arial"/>
          <w:sz w:val="18"/>
          <w:szCs w:val="18"/>
          <w:color w:val="auto"/>
        </w:rPr>
        <w:t>. The provisions of clauses (1) through (6) below shall apply only to Global Notes:</w:t>
      </w:r>
    </w:p>
    <w:p>
      <w:pPr>
        <w:spacing w:after="0" w:line="117" w:lineRule="exact"/>
        <w:rPr>
          <w:sz w:val="20"/>
          <w:szCs w:val="20"/>
          <w:color w:val="auto"/>
        </w:rPr>
      </w:pPr>
    </w:p>
    <w:p>
      <w:pPr>
        <w:ind w:left="920" w:right="20" w:firstLine="421"/>
        <w:spacing w:after="0" w:line="288" w:lineRule="auto"/>
        <w:tabs>
          <w:tab w:leader="none" w:pos="159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Each Global Note authenticated under the Indenture shall be registered in the name of the Depositary designated for such Global Note or a nominee thereof, delivered to the Trustee, as Securities Custodian, and bear appropriate legends as set forth in Section 302. Transfers of a Global Note (but not a beneficial interest therein) will be limited to transfers thereof in whole, but not in part, to the Depositary, its successors or their respective nominees, except as set forth in this Section 405. If a beneficial interest in a Global Note is transferred or exchanged for a beneficial interest in another Global Note, the Trustee will (x) record a decrease in the principal amount of the Global Note being transferred or exchanged equal to the principal amount of such transfer or exchange and (y) record a like increase in the principal amount of the other Global Note. Any beneficial interest in one Global Note that is transferred to a Person who takes delivery in the form of an interest in another Global Note, or exchanged for an interest in another Global Note, will, upon transfer or exchange, cease to be an interest in such Global Note and become an interest in the other Global Note and, accordingly, will thereafter be subject to all transfer and exchange restrictions, if any, and other procedures applicable to beneficial interests in such other Global Note for as long as it remains such an interest.</w:t>
      </w:r>
    </w:p>
    <w:p>
      <w:pPr>
        <w:spacing w:after="0" w:line="61" w:lineRule="exact"/>
        <w:rPr>
          <w:rFonts w:ascii="Arial" w:cs="Arial" w:eastAsia="Arial" w:hAnsi="Arial"/>
          <w:sz w:val="16"/>
          <w:szCs w:val="16"/>
          <w:color w:val="auto"/>
        </w:rPr>
      </w:pPr>
    </w:p>
    <w:p>
      <w:pPr>
        <w:ind w:left="920" w:right="20" w:firstLine="421"/>
        <w:spacing w:after="0" w:line="293" w:lineRule="auto"/>
        <w:tabs>
          <w:tab w:leader="none" w:pos="159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Members of, or participants in, DTC (“Agent Members”) shall have no rights under the Indenture with respect to any Global Note held on their behalf by DTC or by the Trustee as the Securities Custodian, and DTC may be treated by the Issuer, the Guarantors, the Trustee and any agent of the Issuer, the Guarantors or the Trustee as the absolute owner of such Global Note for all purposes whatsoever. Notwithstanding the foregoing, nothing herein shall prevent the Issuer, the Guarantors, the Trustee or any agent of the Issuer, the Guarantors or the Trustee from giving effect to any written certification, proxy or other authorization furnished by DTC or impair, as between DTC and its Agent Members, the operation of customary practices of DTC governing the exercise of the rights of a Holder of a beneficial interest in any Global Note.</w:t>
      </w:r>
    </w:p>
    <w:p>
      <w:pPr>
        <w:spacing w:after="0" w:line="56" w:lineRule="exact"/>
        <w:rPr>
          <w:rFonts w:ascii="Arial" w:cs="Arial" w:eastAsia="Arial" w:hAnsi="Arial"/>
          <w:sz w:val="16"/>
          <w:szCs w:val="16"/>
          <w:color w:val="auto"/>
        </w:rPr>
      </w:pPr>
    </w:p>
    <w:p>
      <w:pPr>
        <w:ind w:left="920" w:firstLine="421"/>
        <w:spacing w:after="0" w:line="302" w:lineRule="auto"/>
        <w:tabs>
          <w:tab w:leader="none" w:pos="159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connection with any transfer of a portion of the beneficial interest in a Global Note pursuant to this Article Four to beneficial owners who are required to hold Definitive Notes, the Securities Custodian shall reflect on its books and records the date and a decrease in the principal amount of such Global Note in an amount equal to the principal amount of the beneficial interest in the Global Note to be transferred, and the Issuer shall execute, and the Trustee shall authenticate and make available for delivery, one or more Definitive Notes of like tenor and amount.</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274" w:right="319" w:bottom="1440" w:gutter="0" w:footer="0" w:header="0"/>
        </w:sectPr>
      </w:pPr>
    </w:p>
    <w:bookmarkStart w:id="127" w:name="page128"/>
    <w:bookmarkEnd w:id="127"/>
    <w:p>
      <w:pPr>
        <w:jc w:val="both"/>
        <w:ind w:left="-280" w:right="80" w:firstLine="421"/>
        <w:spacing w:after="0" w:line="259" w:lineRule="auto"/>
        <w:tabs>
          <w:tab w:leader="none" w:pos="3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transfer of an entire Global Note to beneficial owners pursuant to this this Article Four, such Global Note shall be deemed to be surrendered to the Trustee for cancellation, and the Issuer shall execute, and the Trustee shall authenticate and make available for delivery, to each beneficial owner identified by DTC in exchange for its beneficial interest in such Global Note, an equal aggregate principal amount of Definitive Notes of authorized denominations.</w:t>
      </w:r>
    </w:p>
    <w:p>
      <w:pPr>
        <w:spacing w:after="0" w:line="78" w:lineRule="exact"/>
        <w:rPr>
          <w:rFonts w:ascii="Arial" w:cs="Arial" w:eastAsia="Arial" w:hAnsi="Arial"/>
          <w:sz w:val="18"/>
          <w:szCs w:val="18"/>
          <w:color w:val="auto"/>
        </w:rPr>
      </w:pPr>
    </w:p>
    <w:p>
      <w:pPr>
        <w:ind w:left="-280" w:right="120" w:firstLine="421"/>
        <w:spacing w:after="0" w:line="342" w:lineRule="auto"/>
        <w:tabs>
          <w:tab w:leader="none" w:pos="39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registered Holder of a Global Note may grant proxies and otherwise authorize any Person, including Agent Members and Persons that may hold interests through Agent Members, to take any action which a Holder is entitled to take under the Indenture or the Notes.</w:t>
      </w:r>
    </w:p>
    <w:p>
      <w:pPr>
        <w:spacing w:after="0" w:line="15" w:lineRule="exact"/>
        <w:rPr>
          <w:rFonts w:ascii="Arial" w:cs="Arial" w:eastAsia="Arial" w:hAnsi="Arial"/>
          <w:sz w:val="16"/>
          <w:szCs w:val="16"/>
          <w:color w:val="auto"/>
        </w:rPr>
      </w:pPr>
    </w:p>
    <w:p>
      <w:pPr>
        <w:ind w:left="-280" w:right="60" w:firstLine="421"/>
        <w:spacing w:after="0" w:line="259" w:lineRule="auto"/>
        <w:tabs>
          <w:tab w:leader="none" w:pos="3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Holder of a Global Note shall, by acceptance of such Global Note, agree that transfers of beneficial interests in such Global Note may be effected only through a book-entry system maintained by (a) the Holder of such Global Note (or its agent) or (b) any holder of a beneficial interest in such Global Note, and that ownership of a beneficial interest in such Global Note shall be required to be reflected in a book entry.</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auto"/>
        </w:rPr>
        <w:t>Definitive Notes</w:t>
      </w:r>
      <w:r>
        <w:rPr>
          <w:rFonts w:ascii="Arial" w:cs="Arial" w:eastAsia="Arial" w:hAnsi="Arial"/>
          <w:sz w:val="18"/>
          <w:szCs w:val="18"/>
          <w:color w:val="auto"/>
        </w:rPr>
        <w:t>. The provision of clauses (i) – (iv) below shall apply only to Definitive Notes.</w:t>
      </w:r>
    </w:p>
    <w:p>
      <w:pPr>
        <w:spacing w:after="0" w:line="117" w:lineRule="exact"/>
        <w:rPr>
          <w:sz w:val="20"/>
          <w:szCs w:val="20"/>
          <w:color w:val="auto"/>
        </w:rPr>
      </w:pPr>
    </w:p>
    <w:p>
      <w:pPr>
        <w:ind w:left="-280" w:firstLine="421"/>
        <w:spacing w:after="0" w:line="269" w:lineRule="auto"/>
        <w:tabs>
          <w:tab w:leader="none" w:pos="35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Except as provided below, owners of beneficial interests in Global Notes will not be entitled to receive Definitive Notes. If required to do so pursuant to any applicable law or regulation, beneficial owners may obtain Definitive Notes in exchange for their beneficial interests in a Global Note upon written request in accordance with DTC’s and the Registrar’s procedures. In addition, Definitive Notes shall be transferred to all beneficial owners in exchange for their beneficial interests in a Global Note if (A) DTC notifies the Issuer that it is unwilling or unable to continue as depositary for such Global Note or DTC ceases to be a clearing agency registered under the Exchange Act, at a time when DTC is required to be so registered in order to act as Depositary, and in each case a successor Depositary is not appointed by the Issuer within 90 days of such notice, (B) subject to DTC’s rules, the Issuer, at its option, delivers to the Trustee and Registrar written notice stating that such Global Note shall be so exchangeable or (C) an Event of Default has occurred and is continuing and DTC notifies the Issuer and the Trustee of DTC’s decision to exchange such Global Note for Definitive Notes. In the event of the occurrence of any of the events specified in the second preceding sentence or in clause (A), (B) or (C) of the immediately preceding sentence, Definitive Notes delivered in exchange for any Global Note or beneficial interests therein will be registered in the names, and issued in any approved denominations, requested by or on behalf of DTC (in accordance with its customary procedures).</w:t>
      </w:r>
    </w:p>
    <w:p>
      <w:pPr>
        <w:spacing w:after="0" w:line="71" w:lineRule="exact"/>
        <w:rPr>
          <w:rFonts w:ascii="Arial" w:cs="Arial" w:eastAsia="Arial" w:hAnsi="Arial"/>
          <w:sz w:val="17"/>
          <w:szCs w:val="17"/>
          <w:color w:val="auto"/>
        </w:rPr>
      </w:pPr>
    </w:p>
    <w:p>
      <w:pPr>
        <w:ind w:left="-280" w:right="420" w:firstLine="421"/>
        <w:spacing w:after="0" w:line="277" w:lineRule="auto"/>
        <w:tabs>
          <w:tab w:leader="none" w:pos="4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Definitive Note delivered in exchange for an interest in a Global Note pursuant to this Article Four shall, except as otherwise provided by Section 302 or 411, bear the Restricted Notes Legend.</w:t>
      </w:r>
    </w:p>
    <w:p>
      <w:pPr>
        <w:spacing w:after="0" w:line="62" w:lineRule="exact"/>
        <w:rPr>
          <w:rFonts w:ascii="Arial" w:cs="Arial" w:eastAsia="Arial" w:hAnsi="Arial"/>
          <w:sz w:val="18"/>
          <w:szCs w:val="18"/>
          <w:color w:val="auto"/>
        </w:rPr>
      </w:pPr>
    </w:p>
    <w:p>
      <w:pPr>
        <w:ind w:left="-280" w:firstLine="421"/>
        <w:spacing w:after="0" w:line="257" w:lineRule="auto"/>
        <w:tabs>
          <w:tab w:leader="none" w:pos="4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a Definitive Note is transferred or exchanged for a beneficial interest in a Global Note, the Trustee will (x) cancel such Definitive Note, (y) record an increase in the principal amount of such Global Note equal to the principal amount of such transfer or exchange and (z) in the event that such transfer or exchange involves less than the entire principal amount of the canceled Definitive Note, the Issuer shall execute, and the Trustee shall authenticate and make available for delivery, to the transferring Holder a new Definitive Note representing the principal amount not so transferred.</w:t>
      </w:r>
    </w:p>
    <w:p>
      <w:pPr>
        <w:spacing w:after="0" w:line="1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180"/>
          </w:cols>
          <w:pgMar w:left="1440" w:top="274" w:right="279" w:bottom="1440" w:gutter="0" w:footer="0" w:header="0"/>
        </w:sectPr>
      </w:pPr>
    </w:p>
    <w:bookmarkStart w:id="128" w:name="page129"/>
    <w:bookmarkEnd w:id="128"/>
    <w:p>
      <w:pPr>
        <w:ind w:left="920" w:firstLine="421"/>
        <w:spacing w:after="0" w:line="271" w:lineRule="auto"/>
        <w:tabs>
          <w:tab w:leader="none" w:pos="1645" w:val="left"/>
        </w:tabs>
        <w:numPr>
          <w:ilvl w:val="0"/>
          <w:numId w:val="1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Definitive Note is transferred or exchanged for another Definitive Note, (x) the Trustee will cancel the Definitive Note being transferred or exchanged, (y) the Issuer shall execute, and the Trustee shall authenticate and make available for delivery, one or more new Definitive Notes in authorized denominations having an aggregate principal amount equal to the principal amount of such transfer or exchange to the transferee (in the case of a transfer) or the Holder of the canceled Definitive Note (in the case of an exchange), registered in the name of such transferee or Holder, as applicable, and (z) if such transfer or exchange involves less than the entire principal amount of the canceled Definitive Note, the Issuer shall execute, and the Trustee shall authenticate and make available for delivery to the Holder thereof, one or more Definitive Notes in authorized denominations having an aggregate principal amount equal to the untransferred or unexchanged portion of the canceled Definitive Notes, registered in the name of the Holder thereof.</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Mutilated, Destroyed, Lost and Stolen Notes</w:t>
      </w:r>
      <w:r>
        <w:rPr>
          <w:rFonts w:ascii="Arial" w:cs="Arial" w:eastAsia="Arial" w:hAnsi="Arial"/>
          <w:sz w:val="18"/>
          <w:szCs w:val="18"/>
          <w:color w:val="auto"/>
        </w:rPr>
        <w:t>.</w:t>
      </w:r>
    </w:p>
    <w:p>
      <w:pPr>
        <w:spacing w:after="0" w:line="11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If any mutilated Note is surrendered to the Trustee, the Issuer shall execute and the Trustee shall authenticate and deliver in exchange therefor a new Note of like tenor and principal amount and bearing a number not contemporaneously outstanding.</w:t>
      </w:r>
    </w:p>
    <w:p>
      <w:pPr>
        <w:spacing w:after="0" w:line="170"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If there shall be delivered to the Issuer and the Trustee (i) evidence to their satisfaction of the destruction, loss or theft of any Note and (ii) such security or indemnity as may be required by them to save each of them and any agent of either of them harmless, then, in the absence of notice to the Issuer or the Trustee that such Note has been acquired by a protected purchaser, the Issuer shall execute and the Trustee shall authenticate and deliver, in lieu of any such destroyed, lost or stolen Note, a new Note of like tenor and principal amount and bearing a number not contemporaneously outstanding.</w:t>
      </w:r>
    </w:p>
    <w:p>
      <w:pPr>
        <w:spacing w:after="0" w:line="154"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In case any such mutilated, destroyed, lost or stolen Note has become or is about to become due and payable, the Issuer in its discretion may, instead of issuing a new Note, pay such Note.</w:t>
      </w:r>
    </w:p>
    <w:p>
      <w:pPr>
        <w:spacing w:after="0" w:line="170"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Upon the issuance of any new Note under this Section, the Issuer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Every new Note issued pursuant to this Section in lieu of any destroyed, lost or stolen Note shall constitute an original additional contractual obligation of the Issuer whether or not the destroyed, lost or stolen Note shall be at any time enforceable by anyone, and shall be entitled to all the benefits of the Indenture equally and proportionately with any and all other Notes duly issued hereunder.</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Payment of Interest; Interest Rights Preserved</w:t>
      </w:r>
      <w:r>
        <w:rPr>
          <w:rFonts w:ascii="Arial" w:cs="Arial" w:eastAsia="Arial" w:hAnsi="Arial"/>
          <w:sz w:val="18"/>
          <w:szCs w:val="18"/>
          <w:color w:val="auto"/>
        </w:rPr>
        <w:t>.</w:t>
      </w:r>
    </w:p>
    <w:p>
      <w:pPr>
        <w:spacing w:after="0" w:line="117"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Interest on any Note which is payable, and is punctually paid or duly provided for, on any Interest Payment Date shall be paid to the Person in whose name that Note (or one or more Predecessor Notes) is registered at the close of business on the Regular Record Date for such interest.</w:t>
      </w:r>
    </w:p>
    <w:p>
      <w:pPr>
        <w:spacing w:after="0" w:line="124"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Any interest on any Note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Issuer, at its election in each case, as provided in clause (1) or (2) below: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129" w:name="page130"/>
    <w:bookmarkEnd w:id="129"/>
    <w:p>
      <w:pPr>
        <w:ind w:left="920" w:right="20" w:firstLine="421"/>
        <w:spacing w:after="0" w:line="286" w:lineRule="auto"/>
        <w:tabs>
          <w:tab w:leader="none" w:pos="1595" w:val="left"/>
        </w:tabs>
        <w:numPr>
          <w:ilvl w:val="0"/>
          <w:numId w:val="1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may elect to make payment of any Defaulted Interest to the Persons in whose names the Notes (or their respective Predecessor Notes) are registered at the close of business on a Special Record Date for the payment of such Defaulted Interest, which shall be fixed in the following manner. The Issuer shall notify the Trustee in writing of the amount of Defaulted Interest proposed to be paid on each Note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Issuer of such Special Record Date and, in the name and at the expense of the Issuer, shall cause notice of the proposed payment of such Defaulted Interest and the Special Record Date therefor to be given to each Holder of Notes in the manner set forth in Section 206, not less than 10 days prior to such Special Record Date. Notice of the proposed payment of such Defaulted Interest and the Special Record Date therefor having been so mailed, such Defaulted Interest shall be paid to the Persons in whose names the Notes (or their respective Predecessor Notes) are registered at the close of business on such Special Record Date and shall no longer be payable pursuant to the following clause (2).</w:t>
      </w:r>
    </w:p>
    <w:p>
      <w:pPr>
        <w:spacing w:after="0" w:line="63" w:lineRule="exact"/>
        <w:rPr>
          <w:rFonts w:ascii="Arial" w:cs="Arial" w:eastAsia="Arial" w:hAnsi="Arial"/>
          <w:sz w:val="16"/>
          <w:szCs w:val="16"/>
          <w:color w:val="auto"/>
        </w:rPr>
      </w:pPr>
    </w:p>
    <w:p>
      <w:pPr>
        <w:ind w:left="920" w:right="40" w:firstLine="421"/>
        <w:spacing w:after="0" w:line="312" w:lineRule="auto"/>
        <w:tabs>
          <w:tab w:leader="none" w:pos="159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Issuer may make payment of any Defaulted Interest on the Notes in any other lawful manner not inconsistent with the requirements of any securities exchange on which such Notes may be listed, and upon such notice as may be required by such exchange, if, after notice given by the Issuer to the Trustee of the proposed payment pursuant to this clause, such manner of payment shall be deemed practicable by the Trustee.</w:t>
      </w:r>
    </w:p>
    <w:p>
      <w:pPr>
        <w:spacing w:after="0" w:line="147"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Subject to the foregoing provisions of this Section, each Note delivered under the Indenture upon registration of transfer of or in exchange for or in lieu of any other Note shall carry the rights to interest accrued and unpaid, and to accrue, which were carried by such other Note.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Prior to due presentment of a Note for registration of transfer, the Issuer, the Guarantors, the Trustee and any agent of the Issuer, the Guarantors or the Trustee may treat the Person in whose name such Note is registered as the owner of such Note for the purpose of receiving payment of principal of and any premium and (subject to Section 407) any interest on such Note and for all other purposes whatsoever (except as required by applicable tax laws), whether or not such Note be overdue, and none of the Issuer, the Guarantors, the Trustee nor any of their respective agents shall be affected by notice to the contrary.</w:t>
      </w:r>
    </w:p>
    <w:p>
      <w:pPr>
        <w:spacing w:after="0" w:line="18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None of the Issuer, the Guarantors, the Trustee, nor any of their respective agents will have any responsibility or liability for any aspect of the records relating to, or payments made on account of, beneficial ownership interests of a Note or for maintaining, supervising or reviewing any records relating to such beneficial ownership interests.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409.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All Notes surrendered for payment, redemption, purchase, registration of transfer or exchange shall, if surrendered to any Person other than the Trustee, be delivered to the Trustee and shall be promptly cancelled by it. The Issuer may at any time deliver to the Trustee for cancellation any Notes previously authenticated and delivered hereunder which the Issuer may have acquired in any manner whatsoever, and may deliver to the Trustee (or to any other Person for delivery to the Trustee) for cancellation any Notes previously authenticated hereunder which the Issuer has not issued and sold, and all Notes so delivered shall be promptly cancelled by the Trustee. No Notes shall be authenticated in lieu of or in exchange for any Notes cancelled as provided in this Section, except as expressly permitted by the Indenture. All cancelled Notes held by the Trustee shall be disposed of in accordance with the Trustee’s standard provisions or as directed by an Issuer Order.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on the Notes shall be computed on the basis of a 360-day year of twelve 30-day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A Holder may transfer a Note (or a beneficial interest therein) to another Person or exchange a Note (or a beneficial interest therein) for another Note or Notes of any authorized denomination by presenting to the Trustee a written request therefor stating the name of the proposed transferee or requesting such an exchange, accompanied by any certification, opinion or other document required by this Section 411. The Trustee shall promptly register any transfer or exchange that meets the requirements of this Section 411 by noting the same in the Security Register maintained by the Trustee for the purpose, and no transfer or exchange shall be effective until it is registered in such register. The transfer or exchange of any Note (or a beneficial interest therein) may only be made in accordance with this Section 411 and Section 303, as applicable, and, in the case of a Global Note (or a beneficial interest therein), the applicable rules and procedures of DTC, Euroclear and Clearstream. The Trustee shall refuse to register any requested transfer or exchange that does not comply with this paragraph.</w:t>
      </w:r>
    </w:p>
    <w:p>
      <w:pPr>
        <w:spacing w:after="0" w:line="179"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u w:val="single" w:color="auto"/>
          <w:color w:val="auto"/>
        </w:rPr>
        <w:t>Transfers of Rule 144A Notes and Institutional Accredited Investor Notes</w:t>
      </w:r>
      <w:r>
        <w:rPr>
          <w:rFonts w:ascii="Arial" w:cs="Arial" w:eastAsia="Arial" w:hAnsi="Arial"/>
          <w:sz w:val="18"/>
          <w:szCs w:val="18"/>
          <w:color w:val="auto"/>
        </w:rPr>
        <w:t>. The following provisions shall apply with respect to any proposed registration of transfer of a Rule 144A Note or an Institutional Accredited Investor Note prior to the date which is one year after the later of the date of its original issue, the original issue date of any Additional Notes and the last date on which the Issuer or any Affiliate of the Issuer was the owner of such Notes (or any predecessor thereto) (the “Resale Restriction Termination Date”):</w:t>
      </w:r>
    </w:p>
    <w:p>
      <w:pPr>
        <w:spacing w:after="0" w:line="79" w:lineRule="exact"/>
        <w:rPr>
          <w:sz w:val="20"/>
          <w:szCs w:val="20"/>
          <w:color w:val="auto"/>
        </w:rPr>
      </w:pPr>
    </w:p>
    <w:p>
      <w:pPr>
        <w:ind w:left="920" w:right="40" w:firstLine="421"/>
        <w:spacing w:after="0" w:line="270" w:lineRule="auto"/>
        <w:tabs>
          <w:tab w:leader="none" w:pos="155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 registration of transfer of a Rule 144A Note or an Institutional Accredited Investor Note or a beneficial interest therein to a QIB shall be made upon the representation of the transferee in the form as set forth on the reverse of the Note that it is purchasing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Issuer as it has requested pursuant to Rule 144A or has determined not to request such information and that it is aware that the transferor is relying upon its foregoing representations in order to claim the exemption from registration provided by Rule 144A; provided that no such written representation or other written certification shall be required in connection with the transfer of a beneficial interest in the Rule 144A Global Note to a transferee in the form of a beneficial interest in that Rule 144A Global Note in accordance with the Indenture and the applicable procedures of DTC;</w:t>
      </w:r>
    </w:p>
    <w:p>
      <w:pPr>
        <w:spacing w:after="0" w:line="73" w:lineRule="exact"/>
        <w:rPr>
          <w:rFonts w:ascii="Arial" w:cs="Arial" w:eastAsia="Arial" w:hAnsi="Arial"/>
          <w:sz w:val="17"/>
          <w:szCs w:val="17"/>
          <w:color w:val="auto"/>
        </w:rPr>
      </w:pPr>
    </w:p>
    <w:p>
      <w:pPr>
        <w:jc w:val="both"/>
        <w:ind w:left="920" w:firstLine="421"/>
        <w:spacing w:after="0" w:line="312" w:lineRule="auto"/>
        <w:tabs>
          <w:tab w:leader="none" w:pos="160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 registration of transfer of a Rule 144A Note or an Institutional Accredited Investor Note or a beneficial interest therein to an IAI shall be made upon receipt by the Trustee or its agent of a certificate substantially in the form set forth in Annex C hereto from the proposed transferee and, if requested by the Issuer, the delivery of an Opinion of Counsel, certification and/or other information satisfactory to it;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131" w:name="page132"/>
    <w:bookmarkEnd w:id="131"/>
    <w:p>
      <w:pPr>
        <w:ind w:left="920" w:firstLine="421"/>
        <w:spacing w:after="0" w:line="312" w:lineRule="auto"/>
        <w:tabs>
          <w:tab w:leader="none" w:pos="1655" w:val="left"/>
        </w:tabs>
        <w:numPr>
          <w:ilvl w:val="0"/>
          <w:numId w:val="1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registration of transfer of a Rule 144A Note or an Institutional Accredited Investor Note or a beneficial interest therein to a Non-U.S. Person shall be made upon receipt by the Trustee or its agent of a certificate substantially in the form set forth in Annex C hereto from the proposed transferee and, if requested by the Issuer, the delivery of an Opinion of Counsel, certification and/or other information satisfactory to it.</w:t>
      </w:r>
    </w:p>
    <w:p>
      <w:pPr>
        <w:spacing w:after="0" w:line="14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u w:val="single" w:color="auto"/>
          <w:color w:val="auto"/>
        </w:rPr>
        <w:t>Transfers of Regulations S Notes</w:t>
      </w:r>
      <w:r>
        <w:rPr>
          <w:rFonts w:ascii="Arial" w:cs="Arial" w:eastAsia="Arial" w:hAnsi="Arial"/>
          <w:sz w:val="18"/>
          <w:szCs w:val="18"/>
          <w:color w:val="auto"/>
        </w:rPr>
        <w:t>. The following provisions shall apply with respect to any proposed transfer of a Regulation S Note prior to the expiration of the Restricted Period:</w:t>
      </w:r>
    </w:p>
    <w:p>
      <w:pPr>
        <w:spacing w:after="0" w:line="62" w:lineRule="exact"/>
        <w:rPr>
          <w:sz w:val="20"/>
          <w:szCs w:val="20"/>
          <w:color w:val="auto"/>
        </w:rPr>
      </w:pPr>
    </w:p>
    <w:p>
      <w:pPr>
        <w:ind w:left="920" w:right="40" w:firstLine="421"/>
        <w:spacing w:after="0" w:line="273" w:lineRule="auto"/>
        <w:tabs>
          <w:tab w:leader="none" w:pos="155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 transfer of a Regulation S Note or a beneficial interest therein to a QIB shall be made upon the representation of the transferee, in the form of assignment on the reverse of the certificate, that it is purchasing the Note for its own account or an account with respect to which it exercises sole investment discretion and that it and any such account is a “qualified institutional buyer” within the meaning of Rule 144A, is aware that the sale to it is being made in reliance on Rule 144A and acknowledges that it has received such information regarding the Issuer as it has requested pursuant to Rule 144A or has determined not to request such information and that it is aware that the transferor is relying upon its foregoing representations in order to claim the exemption from registration provided by Rule 144A;</w:t>
      </w:r>
    </w:p>
    <w:p>
      <w:pPr>
        <w:spacing w:after="0" w:line="70" w:lineRule="exact"/>
        <w:rPr>
          <w:rFonts w:ascii="Arial" w:cs="Arial" w:eastAsia="Arial" w:hAnsi="Arial"/>
          <w:sz w:val="17"/>
          <w:szCs w:val="17"/>
          <w:color w:val="auto"/>
        </w:rPr>
      </w:pPr>
    </w:p>
    <w:p>
      <w:pPr>
        <w:jc w:val="both"/>
        <w:ind w:left="920" w:right="260" w:firstLine="421"/>
        <w:spacing w:after="0" w:line="286" w:lineRule="auto"/>
        <w:tabs>
          <w:tab w:leader="none" w:pos="160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 transfer of a Regulation S Note or a beneficial interest therein to an IAI shall be made upon receipt by the Trustee or its agent of a certificate substantially in the form set forth in Annex C hereto from the proposed transferee and, if requested by the Issuer or the Trustee, the delivery of an Opinion of Counsel, certification and/or other information satisfactory to each of them; and</w:t>
      </w:r>
    </w:p>
    <w:p>
      <w:pPr>
        <w:spacing w:after="0" w:line="57" w:lineRule="exact"/>
        <w:rPr>
          <w:rFonts w:ascii="Arial" w:cs="Arial" w:eastAsia="Arial" w:hAnsi="Arial"/>
          <w:sz w:val="17"/>
          <w:szCs w:val="17"/>
          <w:color w:val="auto"/>
        </w:rPr>
      </w:pPr>
    </w:p>
    <w:p>
      <w:pPr>
        <w:ind w:left="920" w:right="40" w:firstLine="421"/>
        <w:spacing w:after="0" w:line="286" w:lineRule="auto"/>
        <w:tabs>
          <w:tab w:leader="none" w:pos="165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 transfer of a Regulation S Note or a beneficial interest therein to a Non-U.S. Person shall be made upon receipt by the Trustee or its agent of a certificate substantially in the form set forth in Annex D hereto from the proposed transferee and, if requested by the Issuer, receipt by the Trustee or its agent of an Opinion of Counsel, certification or other information satisfactory to the Issuer.</w:t>
      </w:r>
    </w:p>
    <w:p>
      <w:pPr>
        <w:spacing w:after="0" w:line="166"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After the expiration of the Restricted Period, interests in the Regulation S Note may be transferred in accordance with applicable law without requiring the certification set forth in Annex C hereto or Annex D hereto or any additional certification.</w:t>
      </w:r>
    </w:p>
    <w:p>
      <w:pPr>
        <w:spacing w:after="0" w:line="17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u w:val="single" w:color="auto"/>
          <w:color w:val="auto"/>
        </w:rPr>
        <w:t>Restricted Notes Legend</w:t>
      </w:r>
      <w:r>
        <w:rPr>
          <w:rFonts w:ascii="Arial" w:cs="Arial" w:eastAsia="Arial" w:hAnsi="Arial"/>
          <w:sz w:val="18"/>
          <w:szCs w:val="18"/>
          <w:color w:val="auto"/>
        </w:rPr>
        <w:t>. Upon the transfer, exchange or replacement of Notes not bearing a Restricted Notes Legend, the Registrar shall deliver Notes that do not bear a Restricted Notes Legend. Upon the transfer, exchange or replacement of Notes bearing a Restricted Notes Legend, the Registrar shall deliver only Notes that bear a Restricted Notes Legend unless (i) Initial Notes or Additional Restricted Notes are being exchanged for Exchange Notes in an exchange offer pursuant to a Registration Rights Agreement, in which case the Exchange Notes shall not bear a Restricted Notes Legend, (ii) an Initial Note or Additional Restricted Note is being transferred pursuant to an effective registration statement or (iii) there is delivered to the Registrar an Opinion of Counsel reasonably satisfactory to the Issuer and the Trustee to the effect that neither such legend nor the related restrictions on transfer are required in order to maintain compliance with the provisions of the Securities Act. Any Additional Notes sold in a registered offering shall not be required to bear the Restricted Notes Legend.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74" w:right="279" w:bottom="1440" w:gutter="0" w:footer="0" w:header="0"/>
        </w:sectPr>
      </w:pPr>
    </w:p>
    <w:bookmarkStart w:id="132" w:name="page133"/>
    <w:bookmarkEnd w:id="132"/>
    <w:p>
      <w:pPr>
        <w:ind w:right="400" w:firstLine="913"/>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Retention of Written Communications</w:t>
      </w:r>
      <w:r>
        <w:rPr>
          <w:rFonts w:ascii="Arial" w:cs="Arial" w:eastAsia="Arial" w:hAnsi="Arial"/>
          <w:sz w:val="18"/>
          <w:szCs w:val="18"/>
          <w:color w:val="auto"/>
        </w:rPr>
        <w:t>. The Registrar shall retain copies of all letters, notices and other written communications received pursuant to this Section 411. The Issuer shall have the right to inspect and make copies of all such letters, notices or other written communications at any reasonable time upon the giving of reasonable prior written notice to the Registrar.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Obligations with Respect to Transfers and Exchanges of Notes</w:t>
      </w:r>
      <w:r>
        <w:rPr>
          <w:rFonts w:ascii="Arial" w:cs="Arial" w:eastAsia="Arial" w:hAnsi="Arial"/>
          <w:sz w:val="18"/>
          <w:szCs w:val="18"/>
          <w:color w:val="auto"/>
        </w:rPr>
        <w:t>.</w:t>
      </w:r>
    </w:p>
    <w:p>
      <w:pPr>
        <w:spacing w:after="0" w:line="117" w:lineRule="exact"/>
        <w:rPr>
          <w:sz w:val="20"/>
          <w:szCs w:val="20"/>
          <w:color w:val="auto"/>
        </w:rPr>
      </w:pPr>
    </w:p>
    <w:p>
      <w:pPr>
        <w:ind w:left="920" w:right="540" w:firstLine="421"/>
        <w:spacing w:after="0" w:line="277" w:lineRule="auto"/>
        <w:tabs>
          <w:tab w:leader="none" w:pos="15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Issuer shall, subject to the other terms and conditions of this Article Three, execute and the Trustee shall authenticate Definitive Notes and Global Notes at the Registrar’s request.</w:t>
      </w:r>
    </w:p>
    <w:p>
      <w:pPr>
        <w:spacing w:after="0" w:line="62" w:lineRule="exact"/>
        <w:rPr>
          <w:rFonts w:ascii="Arial" w:cs="Arial" w:eastAsia="Arial" w:hAnsi="Arial"/>
          <w:sz w:val="18"/>
          <w:szCs w:val="18"/>
          <w:color w:val="auto"/>
        </w:rPr>
      </w:pPr>
    </w:p>
    <w:p>
      <w:pPr>
        <w:jc w:val="both"/>
        <w:ind w:left="920" w:right="100" w:firstLine="421"/>
        <w:spacing w:after="0" w:line="312" w:lineRule="auto"/>
        <w:tabs>
          <w:tab w:leader="none" w:pos="160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No service charge shall be made to a Holder for any registration of transfer or exchange, but the Issuer may require the Holder to pay a sum sufficient to cover any Transfer Tax or similar governmental charge payable in connection therewith (other than any such Transfer Taxes or similar governmental charges payable upon an exchange pursuant to Section 404, 1006, 1107, 1112 or 1208 not involving any transfer).</w:t>
      </w:r>
    </w:p>
    <w:p>
      <w:pPr>
        <w:spacing w:after="0" w:line="38" w:lineRule="exact"/>
        <w:rPr>
          <w:rFonts w:ascii="Arial" w:cs="Arial" w:eastAsia="Arial" w:hAnsi="Arial"/>
          <w:sz w:val="16"/>
          <w:szCs w:val="16"/>
          <w:color w:val="auto"/>
        </w:rPr>
      </w:pPr>
    </w:p>
    <w:p>
      <w:pPr>
        <w:ind w:left="920" w:right="140" w:firstLine="421"/>
        <w:spacing w:after="0" w:line="286" w:lineRule="auto"/>
        <w:tabs>
          <w:tab w:leader="none" w:pos="165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Issuer (and the Registrar) shall not be required to register the transfer of or exchange of any Note (A) for a period (1) of 15 days before giving any notice of redemption of Notes or (2) beginning 15 days before an Interest Payment Date and ending on such Interest Payment Date or (B) selected for redemption, except the unredeemed portion of any Note being redeemed in part.</w:t>
      </w:r>
    </w:p>
    <w:p>
      <w:pPr>
        <w:spacing w:after="0" w:line="57" w:lineRule="exact"/>
        <w:rPr>
          <w:rFonts w:ascii="Arial" w:cs="Arial" w:eastAsia="Arial" w:hAnsi="Arial"/>
          <w:sz w:val="17"/>
          <w:szCs w:val="17"/>
          <w:color w:val="auto"/>
        </w:rPr>
      </w:pPr>
    </w:p>
    <w:p>
      <w:pPr>
        <w:ind w:left="920" w:right="80" w:firstLine="421"/>
        <w:spacing w:after="0" w:line="302" w:lineRule="auto"/>
        <w:tabs>
          <w:tab w:leader="none" w:pos="164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Prior to the due presentation for registration of transfer of any Note, the Issuer, any Guarantor, the Trustee, the Paying Agent or the Registrar may deem and treat the Person in whose name a Note is registered as the owner of such Note for the purpose of receiving any payment on such Note and for all other purposes whatsoever, including the transfer or exchange of such Note, whether or not such Note is overdue, and none of the Issuer, any Guarantor, the Trustee, the Paying Agent or the Registrar shall be affected by notice to the contrary.</w:t>
      </w:r>
    </w:p>
    <w:p>
      <w:pPr>
        <w:spacing w:after="0" w:line="46" w:lineRule="exact"/>
        <w:rPr>
          <w:rFonts w:ascii="Arial" w:cs="Arial" w:eastAsia="Arial" w:hAnsi="Arial"/>
          <w:sz w:val="16"/>
          <w:szCs w:val="16"/>
          <w:color w:val="auto"/>
        </w:rPr>
      </w:pPr>
    </w:p>
    <w:p>
      <w:pPr>
        <w:ind w:left="920" w:right="60" w:firstLine="421"/>
        <w:spacing w:after="0" w:line="277" w:lineRule="auto"/>
        <w:tabs>
          <w:tab w:leader="none" w:pos="159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Notes issued upon any transfer or exchange pursuant to the terms of the Indenture shall evidence the same debt and shall be entitled to the same benefits under the Indenture as the Notes surrendered upon such transfer or exchange.</w:t>
      </w:r>
    </w:p>
    <w:p>
      <w:pPr>
        <w:spacing w:after="0" w:line="17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u w:val="single" w:color="auto"/>
          <w:color w:val="auto"/>
        </w:rPr>
        <w:t>No Obligation of the Trustee</w:t>
      </w:r>
      <w:r>
        <w:rPr>
          <w:rFonts w:ascii="Arial" w:cs="Arial" w:eastAsia="Arial" w:hAnsi="Arial"/>
          <w:sz w:val="16"/>
          <w:szCs w:val="16"/>
          <w:color w:val="auto"/>
        </w:rPr>
        <w:t>. The Trustee shall have no responsibility or obligation to any beneficial owner of a Global Note, Agent Member or other Person with respect to the accuracy of the records of DTC or its nominee or of any participant or member thereof, with respect to any ownership interest in the Notes or with respect to the delivery to any participant, member, beneficial owner or other Person (other than DTC) of any notice (including any notice of redemption or purchase)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the applicable rules and procedures of DTC. The Trustee may conclusively rely and shall be fully protected in so relying upon information furnished by DTC with respect to its Agent Members and any beneficial owners. The Trustee shall have no obligation or duty to monitor, determine or inquire as to compliance with any restrictions on transfer imposed under the Indenture or under applicable law with respect to any transfer of any interest in any Note (including any transfers between or among Agent Members or beneficial owners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133" w:name="page134"/>
    <w:bookmarkEnd w:id="133"/>
    <w:p>
      <w:pPr>
        <w:ind w:right="360" w:firstLine="913"/>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Affiliate Holders</w:t>
      </w:r>
      <w:r>
        <w:rPr>
          <w:rFonts w:ascii="Arial" w:cs="Arial" w:eastAsia="Arial" w:hAnsi="Arial"/>
          <w:sz w:val="18"/>
          <w:szCs w:val="18"/>
          <w:color w:val="auto"/>
        </w:rPr>
        <w:t>. By accepting a beneficial interest in a Global Note, any Person that is an Affiliate of the Issuer agrees to give notice to the Issuer, the Trustee and the Registrar of the acquisition and its Affiliate status.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FIVE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SATISFACTION AND DISCHARGE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11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 Indenture shall be discharged and shall cease to be of further effect, and the Trustee, upon Issuer Request and at the expense of the Issuer, shall execute proper instruments acknowledging satisfaction and discharge of the Indenture, when</w:t>
      </w:r>
    </w:p>
    <w:p>
      <w:pPr>
        <w:spacing w:after="0" w:line="62" w:lineRule="exact"/>
        <w:rPr>
          <w:sz w:val="20"/>
          <w:szCs w:val="20"/>
          <w:color w:val="auto"/>
        </w:rPr>
      </w:pPr>
    </w:p>
    <w:p>
      <w:pPr>
        <w:ind w:left="1600" w:hanging="259"/>
        <w:spacing w:after="0"/>
        <w:tabs>
          <w:tab w:leader="none" w:pos="16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500" w:right="180" w:firstLine="389"/>
        <w:spacing w:after="0" w:line="259" w:lineRule="auto"/>
        <w:tabs>
          <w:tab w:leader="none" w:pos="214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Notes theretofore authenticated and delivered (other than Notes which have been destroyed, lost or stolen and which have been replaced or paid as provided in Section 406 and Notes for whose payment money has theretofore been deposited in trust or segregated and held in trust by the Issuer and thereafter repaid to the Issuer or discharged from such trust, as provided in Section 1103) have been delivered to the Trustee for cancellation; or</w:t>
      </w:r>
    </w:p>
    <w:p>
      <w:pPr>
        <w:spacing w:after="0" w:line="78" w:lineRule="exact"/>
        <w:rPr>
          <w:rFonts w:ascii="Arial" w:cs="Arial" w:eastAsia="Arial" w:hAnsi="Arial"/>
          <w:sz w:val="18"/>
          <w:szCs w:val="18"/>
          <w:color w:val="auto"/>
        </w:rPr>
      </w:pPr>
    </w:p>
    <w:p>
      <w:pPr>
        <w:ind w:left="2140" w:hanging="251"/>
        <w:spacing w:after="0"/>
        <w:tabs>
          <w:tab w:leader="none" w:pos="21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Notes not theretofore delivered to the Trustee for cancellation</w:t>
      </w:r>
    </w:p>
    <w:p>
      <w:pPr>
        <w:spacing w:after="0" w:line="117" w:lineRule="exact"/>
        <w:rPr>
          <w:sz w:val="20"/>
          <w:szCs w:val="20"/>
          <w:color w:val="auto"/>
        </w:rPr>
      </w:pPr>
    </w:p>
    <w:p>
      <w:pPr>
        <w:ind w:left="1560" w:hanging="219"/>
        <w:spacing w:after="0"/>
        <w:tabs>
          <w:tab w:leader="none" w:pos="15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920" w:right="240" w:firstLine="421"/>
        <w:spacing w:after="0" w:line="342" w:lineRule="auto"/>
        <w:tabs>
          <w:tab w:leader="none" w:pos="160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will become due and payable at their Stated Maturity within one year, or are to be called for redemption within one year under arrangements satisfactory to the Trustee for the giving of notice of redemption by the Trustee in the name, and at the expense, of the Issuer, or</w:t>
      </w:r>
    </w:p>
    <w:p>
      <w:pPr>
        <w:spacing w:after="0" w:line="15" w:lineRule="exact"/>
        <w:rPr>
          <w:rFonts w:ascii="Arial" w:cs="Arial" w:eastAsia="Arial" w:hAnsi="Arial"/>
          <w:sz w:val="16"/>
          <w:szCs w:val="16"/>
          <w:color w:val="auto"/>
        </w:rPr>
      </w:pPr>
    </w:p>
    <w:p>
      <w:pPr>
        <w:ind w:left="1660" w:hanging="319"/>
        <w:spacing w:after="0"/>
        <w:tabs>
          <w:tab w:leader="none" w:pos="1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have been called for redemption pursuant to the provisions of Article Twelve,</w:t>
      </w:r>
    </w:p>
    <w:p>
      <w:pPr>
        <w:spacing w:after="0" w:line="117"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and the Issuer or any Guarantor in the case of (i), (ii) or (iii) of subclause (b), has irrevocably deposited or caused to be irrevocably deposited or caused to be deposited with the Trustee as trust funds, in trust solely for the benefit of the Holders, cash in Dollars, U.S. Government Obligations or a combination thereof, in such amounts as will be sufficient, without consideration of any reinvestment of interest, to pay and discharge the entire Indebtedness on the Notes not theretofore delivered to the Trustee for cancellation, for principal and any premium and accrued interest to the date of such deposit (in the case of Notes which have become due and payable) or to the Stated Maturity or Redemption Date, as the case may be;</w:t>
      </w:r>
    </w:p>
    <w:p>
      <w:pPr>
        <w:spacing w:after="0" w:line="85" w:lineRule="exact"/>
        <w:rPr>
          <w:sz w:val="20"/>
          <w:szCs w:val="20"/>
          <w:color w:val="auto"/>
        </w:rPr>
      </w:pPr>
    </w:p>
    <w:p>
      <w:pPr>
        <w:ind w:left="1600" w:hanging="259"/>
        <w:spacing w:after="0"/>
        <w:tabs>
          <w:tab w:leader="none" w:pos="16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Issuer has paid or caused to be paid all other sums payable under the Indenture by the Issuer;</w:t>
      </w:r>
    </w:p>
    <w:p>
      <w:pPr>
        <w:spacing w:after="0" w:line="117" w:lineRule="exact"/>
        <w:rPr>
          <w:rFonts w:ascii="Arial" w:cs="Arial" w:eastAsia="Arial" w:hAnsi="Arial"/>
          <w:sz w:val="18"/>
          <w:szCs w:val="18"/>
          <w:color w:val="auto"/>
        </w:rPr>
      </w:pPr>
    </w:p>
    <w:p>
      <w:pPr>
        <w:ind w:left="920" w:right="100" w:firstLine="421"/>
        <w:spacing w:after="0" w:line="277" w:lineRule="auto"/>
        <w:tabs>
          <w:tab w:leader="none" w:pos="15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to apply the deposited funds towards the payment of the Notes at Stated Maturity or on the Redemption Date, as the case may be;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134" w:name="page135"/>
    <w:bookmarkEnd w:id="134"/>
    <w:p>
      <w:pPr>
        <w:ind w:left="920" w:right="200" w:firstLine="421"/>
        <w:spacing w:after="0" w:line="277" w:lineRule="auto"/>
        <w:tabs>
          <w:tab w:leader="none" w:pos="15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has delivered to the Trustee an Officer’s Certificate and an Opinion of Counsel, each stating that all conditions precedent in the Indenture to the satisfaction and discharge of the Indenture have been complied with.</w:t>
      </w:r>
    </w:p>
    <w:p>
      <w:pPr>
        <w:spacing w:after="0" w:line="17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Notwithstanding the satisfaction and discharge of the Indenture, the obligations of the Issuer to the Holders under Sections 405 and 406, the obligations of the Issuer to the Trustee under Section 707, the obligations of the Trustee to any Authenticating Agent under Section 714 and, if cash or U.S. Government Obligations shall have been deposited with the Trustee pursuant to subclause (b) of clause (1) of this Section, the obligations of the Trustee under Section 502 and the last paragraph of Section 1103 shall survive so long as any Notes are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Subject to the provisions of the last paragraph of Section 1103, all cash and U.S. Government Obligations (including the proceeds thereof) deposited with the Trustee pursuant to Section 501 shall be held in trust and applied by it, in accordance with the provisions of the Notes and the Indenture, to the payment, either directly or through any Paying Agent (including the Issuer or a Subsidiary acting as its own Paying Agent) as the Trustee may determine, to the Persons entitled thereto, of the principal and any premium and interest for whose payment such cash and U.S. Government Obligations (including the proceeds thereof) have been deposited with the Trustee.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SIX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An “Event of Default,”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73" w:lineRule="exact"/>
        <w:rPr>
          <w:sz w:val="20"/>
          <w:szCs w:val="20"/>
          <w:color w:val="auto"/>
        </w:rPr>
      </w:pPr>
    </w:p>
    <w:p>
      <w:pPr>
        <w:ind w:left="1600" w:hanging="259"/>
        <w:spacing w:after="0"/>
        <w:tabs>
          <w:tab w:leader="none" w:pos="16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failure to pay interest on any of the Notes when the same becomes due and payable and the continuance of any such failure for 30 days;</w:t>
      </w:r>
    </w:p>
    <w:p>
      <w:pPr>
        <w:spacing w:after="0" w:line="140" w:lineRule="exact"/>
        <w:rPr>
          <w:rFonts w:ascii="Arial" w:cs="Arial" w:eastAsia="Arial" w:hAnsi="Arial"/>
          <w:sz w:val="16"/>
          <w:szCs w:val="16"/>
          <w:color w:val="auto"/>
        </w:rPr>
      </w:pPr>
    </w:p>
    <w:p>
      <w:pPr>
        <w:ind w:left="920" w:right="180" w:firstLine="421"/>
        <w:spacing w:after="0" w:line="277" w:lineRule="auto"/>
        <w:tabs>
          <w:tab w:leader="none" w:pos="15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failure to pay principal of or premium, if any, on any of the Notes when it becomes due and payable, whether at Stated Maturity, upon redemption, required purchase, acceleration or otherwise;</w:t>
      </w:r>
    </w:p>
    <w:p>
      <w:pPr>
        <w:spacing w:after="0" w:line="62" w:lineRule="exact"/>
        <w:rPr>
          <w:rFonts w:ascii="Arial" w:cs="Arial" w:eastAsia="Arial" w:hAnsi="Arial"/>
          <w:sz w:val="18"/>
          <w:szCs w:val="18"/>
          <w:color w:val="auto"/>
        </w:rPr>
      </w:pPr>
    </w:p>
    <w:p>
      <w:pPr>
        <w:ind w:left="920" w:right="100" w:firstLine="421"/>
        <w:spacing w:after="0" w:line="277" w:lineRule="auto"/>
        <w:tabs>
          <w:tab w:leader="none" w:pos="15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failure by the Issuer or any Guarantors to comply with any of their respective agreements or covenants under Article Nine or failure by the Issuer to comply in respect of its obligations to make a Change of Control Offer under Section 1107;</w:t>
      </w:r>
    </w:p>
    <w:p>
      <w:pPr>
        <w:spacing w:after="0" w:line="62" w:lineRule="exact"/>
        <w:rPr>
          <w:rFonts w:ascii="Arial" w:cs="Arial" w:eastAsia="Arial" w:hAnsi="Arial"/>
          <w:sz w:val="18"/>
          <w:szCs w:val="18"/>
          <w:color w:val="auto"/>
        </w:rPr>
      </w:pPr>
    </w:p>
    <w:p>
      <w:pPr>
        <w:ind w:left="920" w:right="100" w:firstLine="421"/>
        <w:spacing w:after="0" w:line="255" w:lineRule="auto"/>
        <w:tabs>
          <w:tab w:leader="none" w:pos="15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except with respect to the covenant contained in Section 804 or as described in clause (3) above, failure by the Parent Guarantor or any Restricted Subsidiary to comply with any other covenant or agreement contained in the Indenture and continuance of this failure for 60 days after notice of the failure has been given to the Issuer by the Trustee or to the Issuer and the Trustee by the Holders of at least 25.0% of the aggregate principal amount of the Notes then Outstanding, or (b) failure by the Parent Guarantor for 180 days after notice of the failure has been given to the Issuer by the Trustee or by the Holders of at least 25.0% of the aggregate principal amount of the Notes then Outstanding to comply with the covenant contained in Section 804;</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135" w:name="page136"/>
    <w:bookmarkEnd w:id="135"/>
    <w:p>
      <w:pPr>
        <w:jc w:val="both"/>
        <w:ind w:left="-280" w:right="320" w:firstLine="421"/>
        <w:spacing w:after="0" w:line="286" w:lineRule="auto"/>
        <w:tabs>
          <w:tab w:leader="none" w:pos="395" w:val="left"/>
        </w:tabs>
        <w:numPr>
          <w:ilvl w:val="0"/>
          <w:numId w:val="1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 by the Parent Guarantor or any Restricted Subsidiary under any mortgage, indenture or other instrument or agreement under which there is issued or by which there is secured or evidenced Indebtedness for borrowed money by the Parent Guarantor or any Restricted Subsidiary, whether such Indebtedness now exists or is incurred after the Issue Date, which default:</w:t>
      </w:r>
    </w:p>
    <w:p>
      <w:pPr>
        <w:spacing w:after="0" w:line="57" w:lineRule="exact"/>
        <w:rPr>
          <w:rFonts w:ascii="Arial" w:cs="Arial" w:eastAsia="Arial" w:hAnsi="Arial"/>
          <w:sz w:val="17"/>
          <w:szCs w:val="17"/>
          <w:color w:val="auto"/>
        </w:rPr>
      </w:pPr>
    </w:p>
    <w:p>
      <w:pPr>
        <w:ind w:left="300" w:right="40" w:firstLine="389"/>
        <w:spacing w:after="0" w:line="277" w:lineRule="auto"/>
        <w:tabs>
          <w:tab w:leader="none" w:pos="94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is caused by a failure to pay at its Stated Maturity principal on such Indebtedness within the applicable express grace period and any extensions thereof, or</w:t>
      </w:r>
    </w:p>
    <w:p>
      <w:pPr>
        <w:spacing w:after="0" w:line="62" w:lineRule="exact"/>
        <w:rPr>
          <w:rFonts w:ascii="Arial" w:cs="Arial" w:eastAsia="Arial" w:hAnsi="Arial"/>
          <w:sz w:val="18"/>
          <w:szCs w:val="18"/>
          <w:color w:val="auto"/>
        </w:rPr>
      </w:pPr>
    </w:p>
    <w:p>
      <w:pPr>
        <w:jc w:val="both"/>
        <w:ind w:left="300" w:right="360" w:firstLine="389"/>
        <w:spacing w:after="0" w:line="342" w:lineRule="auto"/>
        <w:tabs>
          <w:tab w:leader="none" w:pos="952" w:val="left"/>
        </w:tabs>
        <w:numPr>
          <w:ilvl w:val="1"/>
          <w:numId w:val="120"/>
        </w:numPr>
        <w:rPr>
          <w:rFonts w:ascii="Arial" w:cs="Arial" w:eastAsia="Arial" w:hAnsi="Arial"/>
          <w:sz w:val="16"/>
          <w:szCs w:val="16"/>
          <w:color w:val="auto"/>
        </w:rPr>
      </w:pPr>
      <w:r>
        <w:rPr>
          <w:rFonts w:ascii="Arial" w:cs="Arial" w:eastAsia="Arial" w:hAnsi="Arial"/>
          <w:sz w:val="16"/>
          <w:szCs w:val="16"/>
          <w:color w:val="auto"/>
        </w:rPr>
        <w:t>results in the acceleration of such Indebtedness prior to its Stated Maturity (which acceleration is not rescinded, annulled or otherwise cured within 30 days of receipt by the Parent Guarantor or such Restricted Subsidiary of notice of any such acceleration),</w:t>
      </w:r>
    </w:p>
    <w:p>
      <w:pPr>
        <w:spacing w:after="0" w:line="16" w:lineRule="exact"/>
        <w:rPr>
          <w:sz w:val="20"/>
          <w:szCs w:val="20"/>
          <w:color w:val="auto"/>
        </w:rPr>
      </w:pPr>
    </w:p>
    <w:p>
      <w:pPr>
        <w:ind w:left="300" w:right="160"/>
        <w:spacing w:after="0" w:line="308" w:lineRule="auto"/>
        <w:rPr>
          <w:sz w:val="20"/>
          <w:szCs w:val="20"/>
          <w:color w:val="auto"/>
        </w:rPr>
      </w:pPr>
      <w:r>
        <w:rPr>
          <w:rFonts w:ascii="Arial" w:cs="Arial" w:eastAsia="Arial" w:hAnsi="Arial"/>
          <w:sz w:val="17"/>
          <w:szCs w:val="17"/>
          <w:color w:val="auto"/>
        </w:rPr>
        <w:t>and, in each case, the principal amount of such Indebtedness, together with the principal amount of any other Indebtedness with respect to which an event described in clause (a) or (b) has occurred and is continuing, aggregates $100.0 million or more;</w:t>
      </w:r>
    </w:p>
    <w:p>
      <w:pPr>
        <w:spacing w:after="0" w:line="38" w:lineRule="exact"/>
        <w:rPr>
          <w:sz w:val="20"/>
          <w:szCs w:val="20"/>
          <w:color w:val="auto"/>
        </w:rPr>
      </w:pPr>
    </w:p>
    <w:p>
      <w:pPr>
        <w:jc w:val="both"/>
        <w:ind w:left="-280" w:right="160" w:firstLine="421"/>
        <w:spacing w:after="0" w:line="286" w:lineRule="auto"/>
        <w:tabs>
          <w:tab w:leader="none" w:pos="39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one or more judgments (to the extent not covered by insurance) for the payment of money in an aggregate amount in excess of $100.0 million shall be rendered against the Parent Guarantor, any of its Significant Subsidiaries or any combination thereof and the same shall remain undischarged for a period of 60 consecutive days during which execution shall not be effectively stayed;</w:t>
      </w:r>
    </w:p>
    <w:p>
      <w:pPr>
        <w:spacing w:after="0" w:line="57" w:lineRule="exact"/>
        <w:rPr>
          <w:rFonts w:ascii="Arial" w:cs="Arial" w:eastAsia="Arial" w:hAnsi="Arial"/>
          <w:sz w:val="17"/>
          <w:szCs w:val="17"/>
          <w:color w:val="auto"/>
        </w:rPr>
      </w:pPr>
    </w:p>
    <w:p>
      <w:pPr>
        <w:ind w:left="-280" w:firstLine="421"/>
        <w:spacing w:after="0" w:line="269" w:lineRule="auto"/>
        <w:tabs>
          <w:tab w:leader="none" w:pos="39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entry by a court having jurisdiction in the premises of (A) a decree or order for relief in respect of the Parent Guarantor or a Significant Subsidiary or group of Restricted Subsidiaries that, taken together (as of the latest audited consolidated financial statements for the Parent Guarantor and its Restricted Subsidiaries), would constitute a Significant Subsidiary in an involuntary case or proceeding under any applicable Bankruptcy Law or (B) a decree or order adjudging the Parent Guarantor a bankrupt or insolvent, or approving as properly filed a petition seeking reorganization, arrangement, adjustment or composition of or in respect of the Parent Guarantor or a Significant Subsidiary or group of Restricted Subsidiaries that, taken together (as of the latest audited consolidated financial statements for the Parent Guarantor and its Restricted Subsidiaries) would constitute a Significant Subsidiary, under any applicable Bankruptcy Law, or appointing a custodian, receiver, liquidator, assignee, trustee, sequestrator or other similar official of the Parent Guarantor or a Significant Subsidiary or group of Restricted Subsidiaries that, taken together (as of the latest audited consolidated financial statements for the Parent Guarantor and its Restricted Subsidiaries) would constitute a Significant Subsidiary, or of any substantial part of its or their property, or ordering the winding up or liquidation of its or their affairs, and the continuance of any such decree or order for relief or any such other decree or order unstayed and in effect for a period of 60 consecutive days;</w:t>
      </w:r>
    </w:p>
    <w:p>
      <w:pPr>
        <w:spacing w:after="0" w:line="71" w:lineRule="exact"/>
        <w:rPr>
          <w:rFonts w:ascii="Arial" w:cs="Arial" w:eastAsia="Arial" w:hAnsi="Arial"/>
          <w:sz w:val="17"/>
          <w:szCs w:val="17"/>
          <w:color w:val="auto"/>
        </w:rPr>
      </w:pPr>
    </w:p>
    <w:p>
      <w:pPr>
        <w:ind w:left="-280" w:right="20" w:firstLine="421"/>
        <w:spacing w:after="0" w:line="293" w:lineRule="auto"/>
        <w:tabs>
          <w:tab w:leader="none" w:pos="39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 the commencement by the Parent Guarantor or a Significant Subsidiary or group of Restricted Subsidiaries that, taken together (as of the latest audited consolidated financial statements for the Parent Guarantor and its Restricted Subsidiaries) would constitute a Significant Subsidiary of a voluntary case or proceeding under any applicable Bankruptcy Law or of any other case or proceeding to be adjudicated a bankrupt or insolvent, or (ii) the consent by it or them to the entry of a decree or order for relief in respect of the Parent Guarantor or a Significant Subsidiary or group of Restricted Subsidiaries that, taken together (as of the latest audited consolidated financial statements for the Parent Guarantor and its Restricted Subsidiaries) would constitute a Significant Subsidiary in an involuntary case or proceeding under any</w:t>
      </w:r>
    </w:p>
    <w:p>
      <w:pPr>
        <w:spacing w:after="0" w:line="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200"/>
          </w:cols>
          <w:pgMar w:left="1440" w:top="274" w:right="259" w:bottom="1440" w:gutter="0" w:footer="0" w:header="0"/>
        </w:sectPr>
      </w:pPr>
    </w:p>
    <w:bookmarkStart w:id="136" w:name="page137"/>
    <w:bookmarkEnd w:id="136"/>
    <w:p>
      <w:pPr>
        <w:ind w:left="9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Bankruptcy Law or to the commencement of any bankruptcy or insolvency case or proceeding against it or them, or (iii) the filing by it or them of a petition or answer or consent seeking reorganization or relief under any applicable Bankruptcy Law, or (iv) the consent by it or them to the filing of such petition or to the appointment of or taking possession by a custodian, receiver, liquidator, assignee, trustee, sequestrator or other similar official of the Parent Guarantor or a Significant Subsidiary or group of Restricted Subsidiaries that, taken together (as of the last audited consolidated financial statements for the Parent Guarantor and its Restricted Subsidiaries) would constitute a Significant Subsidiary or of any substantial part of its or their property, or (v) the making by it or them of an assignment for the benefit of creditors, or the admission by it or them in writing of its or their inability to pay its or their debts generally as they become due, or (vi) the taking of corporate action by the Parent Guarantor or a Significant Subsidiary or group of Restricted Subsidiaries that, taken together (as of the latest audited consolidated financial statements for the Parent Guarantor and its Restricted Subsidiaries) would constitute a Significant Subsidiary in furtherance of any such action; or</w:t>
      </w:r>
    </w:p>
    <w:p>
      <w:pPr>
        <w:spacing w:after="0" w:line="87" w:lineRule="exact"/>
        <w:rPr>
          <w:sz w:val="20"/>
          <w:szCs w:val="20"/>
          <w:color w:val="auto"/>
        </w:rPr>
      </w:pPr>
    </w:p>
    <w:p>
      <w:pPr>
        <w:ind w:left="920" w:right="60" w:firstLine="421"/>
        <w:spacing w:after="0" w:line="259" w:lineRule="auto"/>
        <w:tabs>
          <w:tab w:leader="none" w:pos="15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Guarantee of the Notes ceases to be in full force and effect (other than in accordance with the terms of such Guarantee and the Indenture) or is declared null and void and unenforceable or found to be invalid or any Guarantor denies its liability under the Guarantee of such Guarantor (other than by reason of release of such Guarantor from its Guarantee in accordance with the terms of the Indenture and the Guarantee).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If an Event of Default (other than an Event of Default specified in Section 601(7) or 601(8) with respect to the Parent Guarantor) shall have occurred and be continuing, the Trustee, by written notice to the Issuer, or the Holders of at least 25% in aggregate principal amount of the Notes then Outstanding, by written notice to the Issuer and the Trustee, may declare (an “acceleration declaration”) all amounts owing under the Notes to be due and payable, and upon any such declaration the aggregate principal of and accrued and unpaid interest on all of the Outstanding Notes shall become due and payable immediately. If an Event of Default specified in Section 601(7) or 601(8) occurs with respect to the Parent Guarantor, the principal of, premium, if any, and accrued and unpaid interest, if any, on all of the Outstanding Notes shall become immediately due and payable, without any further action or notice to the extent permitted by law.</w:t>
      </w:r>
    </w:p>
    <w:p>
      <w:pPr>
        <w:spacing w:after="0" w:line="189"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At any time after such an acceleration declaration occurs, but before a judgment or decree based on acceleration, the Holders of a majority in aggregate principal amount of the Notes, by written notice to the Issuer and the Trustee, may rescind and annul such acceleration declaration and its consequences if</w:t>
      </w:r>
    </w:p>
    <w:p>
      <w:pPr>
        <w:spacing w:after="0" w:line="73" w:lineRule="exact"/>
        <w:rPr>
          <w:sz w:val="20"/>
          <w:szCs w:val="20"/>
          <w:color w:val="auto"/>
        </w:rPr>
      </w:pPr>
    </w:p>
    <w:p>
      <w:pPr>
        <w:ind w:left="1580" w:hanging="239"/>
        <w:spacing w:after="0"/>
        <w:tabs>
          <w:tab w:leader="none" w:pos="15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such rescission would not conflict with any judgment or decree of a court of competent jurisdiction;</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Issuer has paid or deposited with the Trustee a sum sufficient to pay</w:t>
      </w:r>
    </w:p>
    <w:p>
      <w:pPr>
        <w:spacing w:after="0" w:line="117" w:lineRule="exact"/>
        <w:rPr>
          <w:rFonts w:ascii="Arial" w:cs="Arial" w:eastAsia="Arial" w:hAnsi="Arial"/>
          <w:sz w:val="18"/>
          <w:szCs w:val="18"/>
          <w:color w:val="auto"/>
        </w:rPr>
      </w:pPr>
    </w:p>
    <w:p>
      <w:pPr>
        <w:ind w:left="2180" w:hanging="291"/>
        <w:spacing w:after="0"/>
        <w:tabs>
          <w:tab w:leader="none" w:pos="21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all overdue interest on all the Notes,</w:t>
      </w:r>
    </w:p>
    <w:p>
      <w:pPr>
        <w:spacing w:after="0" w:line="117" w:lineRule="exact"/>
        <w:rPr>
          <w:rFonts w:ascii="Arial" w:cs="Arial" w:eastAsia="Arial" w:hAnsi="Arial"/>
          <w:sz w:val="18"/>
          <w:szCs w:val="18"/>
          <w:color w:val="auto"/>
        </w:rPr>
      </w:pPr>
    </w:p>
    <w:p>
      <w:pPr>
        <w:ind w:left="1500" w:right="680" w:firstLine="389"/>
        <w:spacing w:after="0" w:line="277" w:lineRule="auto"/>
        <w:tabs>
          <w:tab w:leader="none" w:pos="218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principal of (and premium, if any, on) any such Notes which have become due otherwise than by such acceleration declaration and any interest thereon at the rate or rates prescribed therefor in the Notes,</w:t>
      </w:r>
    </w:p>
    <w:p>
      <w:pPr>
        <w:spacing w:after="0" w:line="62" w:lineRule="exact"/>
        <w:rPr>
          <w:rFonts w:ascii="Arial" w:cs="Arial" w:eastAsia="Arial" w:hAnsi="Arial"/>
          <w:sz w:val="18"/>
          <w:szCs w:val="18"/>
          <w:color w:val="auto"/>
        </w:rPr>
      </w:pPr>
    </w:p>
    <w:p>
      <w:pPr>
        <w:ind w:left="2180" w:hanging="291"/>
        <w:spacing w:after="0"/>
        <w:tabs>
          <w:tab w:leader="none" w:pos="218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prescribed therefor in the Notes,</w:t>
      </w:r>
    </w:p>
    <w:p>
      <w:pPr>
        <w:spacing w:after="0" w:line="46"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4" w:right="279" w:bottom="1440" w:gutter="0" w:footer="0" w:header="0"/>
        </w:sectPr>
      </w:pPr>
    </w:p>
    <w:bookmarkStart w:id="137" w:name="page138"/>
    <w:bookmarkEnd w:id="137"/>
    <w:p>
      <w:pPr>
        <w:ind w:left="1500" w:right="40" w:firstLine="389"/>
        <w:spacing w:after="0" w:line="277" w:lineRule="auto"/>
        <w:tabs>
          <w:tab w:leader="none" w:pos="21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sums paid or advanced by the Trustee hereunder and the reasonable compensation, expenses, disbursements and advances of the Trustee, its agents and counsel; and</w:t>
      </w:r>
    </w:p>
    <w:p>
      <w:pPr>
        <w:spacing w:after="0" w:line="62" w:lineRule="exact"/>
        <w:rPr>
          <w:rFonts w:ascii="Arial" w:cs="Arial" w:eastAsia="Arial" w:hAnsi="Arial"/>
          <w:sz w:val="18"/>
          <w:szCs w:val="18"/>
          <w:color w:val="auto"/>
        </w:rPr>
      </w:pPr>
    </w:p>
    <w:p>
      <w:pPr>
        <w:ind w:left="920" w:right="320" w:firstLine="421"/>
        <w:spacing w:after="0" w:line="277" w:lineRule="auto"/>
        <w:tabs>
          <w:tab w:leader="none" w:pos="158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the principal of, and interest on, the Notes that have become due solely by such acceleration declaration, have been cured or waived as provided in Section 613.</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If an Event of Default occurs and is continuing, the Trustee, in its own name and as trustee of an express trust, shall be entitled and empowered to institute any action or proceedings at law or in equity for the collection of the sums so due and unpaid or enforce the performance of any provision of the Notes or the Indenture, and may prosecute any such action or proceedings to judgment or final decree, and may enforce any such judgment or final decree against the Issuer or any other obligor upon the Notes (and collect in the manner provided by law out of the property of the Issuer or any other obligor upon the Notes wherever situated the moneys adjudged or decreed to be payable).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54" w:lineRule="auto"/>
        <w:rPr>
          <w:sz w:val="20"/>
          <w:szCs w:val="20"/>
          <w:color w:val="auto"/>
        </w:rPr>
      </w:pPr>
      <w:r>
        <w:rPr>
          <w:rFonts w:ascii="Arial" w:cs="Arial" w:eastAsia="Arial" w:hAnsi="Arial"/>
          <w:sz w:val="18"/>
          <w:szCs w:val="18"/>
          <w:color w:val="auto"/>
        </w:rPr>
        <w:t>In case of any judicial proceeding relative to the Issuer, the Guarantors or any other obligor upon the Notes, or the property or creditors of the Issuer or the Guarantors,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expenses, disbursements and advances of the Trustee, its agents and counsel, and any other amounts due the Trustee under Section 707.</w:t>
      </w:r>
    </w:p>
    <w:p>
      <w:pPr>
        <w:spacing w:after="0" w:line="192"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No provision of the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Trustee may, on behalf of the Holders, vote for the election of a trustee in bankruptcy or similar official and be a member of a creditors’ or other similar committee.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Trustee May Enforce Claims Without Possession of Notes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All rights of action and claims under the Indenture or the Notes may be prosecuted and enforced by the Trustee without the possession of any of the Notes or the production thereof in any proceeding relating thereto, and any such proceeding instituted by the Trustee shall be brought in its own name as trustee of an express trust, and any recovery of judgment shall, after provision for the payment of the compensation, expenses, disbursements and advances of the Trustee, its agents and counsel, be for the ratable benefit of the Holders of the Notes in respect of which such judgment has been recovered.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Notes and the notation thereon of the payment if only partially paid and upon surrender thereof if fully paid:</w:t>
      </w:r>
    </w:p>
    <w:p>
      <w:pPr>
        <w:spacing w:after="0" w:line="7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FIRST: To the payment of all amounts due the Trustee under Section 707;</w:t>
      </w:r>
    </w:p>
    <w:p>
      <w:pPr>
        <w:spacing w:after="0" w:line="117" w:lineRule="exact"/>
        <w:rPr>
          <w:sz w:val="20"/>
          <w:szCs w:val="20"/>
          <w:color w:val="auto"/>
        </w:rPr>
      </w:pPr>
    </w:p>
    <w:p>
      <w:pPr>
        <w:ind w:left="920" w:firstLine="420"/>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any premium and interest on the Notes, ratably, without preference or priority of any kind, according to the amounts due and payable on the Notes for principal and any premium and interest, respectively; and</w:t>
      </w:r>
    </w:p>
    <w:p>
      <w:pPr>
        <w:spacing w:after="0" w:line="73" w:lineRule="exact"/>
        <w:rPr>
          <w:sz w:val="20"/>
          <w:szCs w:val="20"/>
          <w:color w:val="auto"/>
        </w:rPr>
      </w:pPr>
    </w:p>
    <w:p>
      <w:pPr>
        <w:ind w:left="920" w:right="240" w:firstLine="420"/>
        <w:spacing w:after="0" w:line="277" w:lineRule="auto"/>
        <w:rPr>
          <w:sz w:val="20"/>
          <w:szCs w:val="20"/>
          <w:color w:val="auto"/>
        </w:rPr>
      </w:pPr>
      <w:r>
        <w:rPr>
          <w:rFonts w:ascii="Arial" w:cs="Arial" w:eastAsia="Arial" w:hAnsi="Arial"/>
          <w:sz w:val="18"/>
          <w:szCs w:val="18"/>
          <w:color w:val="auto"/>
        </w:rPr>
        <w:t>THIRD: The remainder, if any, shall be paid to the Guarantors or the Issuer, as applicable, or to whomsoever may be lawfully entitled to receive the same, or as a court of competent jurisdiction may direct.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A Holder of Notes may not institute any proceeding, judicial or otherwise, with respect to the Indenture or the Notes, or for the appointment of a receiver or trustee, or for any other remedy hereunder, unless:</w:t>
      </w:r>
    </w:p>
    <w:p>
      <w:pPr>
        <w:spacing w:after="0" w:line="62" w:lineRule="exact"/>
        <w:rPr>
          <w:sz w:val="20"/>
          <w:szCs w:val="20"/>
          <w:color w:val="auto"/>
        </w:rPr>
      </w:pPr>
    </w:p>
    <w:p>
      <w:pPr>
        <w:ind w:left="1600" w:hanging="259"/>
        <w:spacing w:after="0"/>
        <w:tabs>
          <w:tab w:leader="none" w:pos="16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Holder gives to the Trustee written notice of a continuing Event of Default;</w:t>
      </w:r>
    </w:p>
    <w:p>
      <w:pPr>
        <w:spacing w:after="0" w:line="117" w:lineRule="exact"/>
        <w:rPr>
          <w:rFonts w:ascii="Arial" w:cs="Arial" w:eastAsia="Arial" w:hAnsi="Arial"/>
          <w:sz w:val="18"/>
          <w:szCs w:val="18"/>
          <w:color w:val="auto"/>
        </w:rPr>
      </w:pPr>
    </w:p>
    <w:p>
      <w:pPr>
        <w:ind w:left="920" w:right="20" w:firstLine="421"/>
        <w:spacing w:after="0" w:line="277" w:lineRule="auto"/>
        <w:tabs>
          <w:tab w:leader="none" w:pos="159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Holder or Holders of at least 25.0% in aggregate principal amount of the Outstanding Notes make a written request to the Trustee to pursue the remedy;</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such Holder or Holders offer the Trustee indemnity satisfactory to the Trustee against any costs, liability or expense;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17" w:lineRule="exact"/>
        <w:rPr>
          <w:rFonts w:ascii="Arial" w:cs="Arial" w:eastAsia="Arial" w:hAnsi="Arial"/>
          <w:sz w:val="18"/>
          <w:szCs w:val="18"/>
          <w:color w:val="auto"/>
        </w:rPr>
      </w:pPr>
    </w:p>
    <w:p>
      <w:pPr>
        <w:ind w:left="920" w:right="120" w:firstLine="421"/>
        <w:spacing w:after="0" w:line="277" w:lineRule="auto"/>
        <w:tabs>
          <w:tab w:leader="none" w:pos="159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do not give the Trustee a direction that is inconsistent with the request.</w:t>
      </w:r>
    </w:p>
    <w:p>
      <w:pPr>
        <w:spacing w:after="0" w:line="17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A Holder may not use the Indenture to prejudice the rights of another Holder or to obtain a preference or priority over another Holder (it being understood that the Trustee does not have an affirmative duty to ascertain whether or not any such use by a Holder prejudices the rights of any other Holders or obtains a preference or priority over such other 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Unconditional Right of Holders to Receive Principal, Premium and Interest</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Notwithstanding any other provision in the Indenture, the Holder of any Notes shall have the right, which is absolute and unconditional, to receive payment of the principal of and any premium and (subject to Section 407) interest on such Notes on the Stated Maturity expressed in such Notes (or, in the case of redemption or offer by the Issuer to purchase the Notes pursuant to the terms of the Indenture, on the Redemption Date or purchase date, as applicable), and to bring suit for the enforcement of any such payment, which right shall not be impaired without the consent of such Holder.</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74" w:right="27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the Indenture and such proceeding has been discontinued or abandoned for any reason, or has been determined adversely to the Trustee or to such Holder, then and in every such case, subject to any determination in such proceeding, the Issuer, the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117" w:lineRule="exact"/>
        <w:rPr>
          <w:sz w:val="20"/>
          <w:szCs w:val="20"/>
          <w:color w:val="auto"/>
        </w:rPr>
      </w:pPr>
    </w:p>
    <w:p>
      <w:pPr>
        <w:ind w:right="280" w:firstLine="913"/>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Notes in the last paragraph of Section 406,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117" w:lineRule="exact"/>
        <w:rPr>
          <w:sz w:val="20"/>
          <w:szCs w:val="20"/>
          <w:color w:val="auto"/>
        </w:rPr>
      </w:pPr>
    </w:p>
    <w:p>
      <w:pPr>
        <w:jc w:val="both"/>
        <w:ind w:right="60" w:firstLine="913"/>
        <w:spacing w:after="0" w:line="312" w:lineRule="auto"/>
        <w:rPr>
          <w:sz w:val="20"/>
          <w:szCs w:val="20"/>
          <w:color w:val="auto"/>
        </w:rPr>
      </w:pPr>
      <w:r>
        <w:rPr>
          <w:rFonts w:ascii="Arial" w:cs="Arial" w:eastAsia="Arial" w:hAnsi="Arial"/>
          <w:sz w:val="16"/>
          <w:szCs w:val="16"/>
          <w:color w:val="auto"/>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Subject to Section 703(5), the Holders of a majority in aggregate principal amount of the then Outstanding Notes shall have the right to direct the time, method and place of conducting any proceeding for exercising any remedy available to the Trustee, or exercising any trust or power conferred on the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920" w:firstLine="421"/>
        <w:spacing w:after="0" w:line="264" w:lineRule="auto"/>
        <w:tabs>
          <w:tab w:leader="none" w:pos="159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Trustee may refuse to follow any direction that conflicts with any rule of law or with the Indenture, that may involve the Trustee in personal liability, or that the Trustee determines in good faith may be unduly prejudicial to the rights of Holders of Notes not joining in the giving of such direction, and</w:t>
      </w:r>
    </w:p>
    <w:p>
      <w:pPr>
        <w:spacing w:after="0" w:line="73" w:lineRule="exact"/>
        <w:rPr>
          <w:rFonts w:ascii="Arial" w:cs="Arial" w:eastAsia="Arial" w:hAnsi="Arial"/>
          <w:sz w:val="18"/>
          <w:szCs w:val="18"/>
          <w:color w:val="auto"/>
        </w:rPr>
      </w:pPr>
    </w:p>
    <w:p>
      <w:pPr>
        <w:ind w:left="920" w:right="120" w:firstLine="421"/>
        <w:spacing w:after="0" w:line="277" w:lineRule="auto"/>
        <w:tabs>
          <w:tab w:leader="none" w:pos="159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that is not inconsistent with any such direction received from such Holders of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Waiver of Existing Defaults</w:t>
      </w:r>
      <w:r>
        <w:rPr>
          <w:rFonts w:ascii="Arial" w:cs="Arial" w:eastAsia="Arial" w:hAnsi="Arial"/>
          <w:sz w:val="18"/>
          <w:szCs w:val="18"/>
          <w:color w:val="auto"/>
        </w:rPr>
        <w:t>.</w:t>
      </w:r>
    </w:p>
    <w:p>
      <w:pPr>
        <w:spacing w:after="0" w:line="117" w:lineRule="exact"/>
        <w:rPr>
          <w:sz w:val="20"/>
          <w:szCs w:val="20"/>
          <w:color w:val="auto"/>
        </w:rPr>
      </w:pPr>
    </w:p>
    <w:p>
      <w:pPr>
        <w:ind w:right="420" w:firstLine="913"/>
        <w:spacing w:after="0" w:line="308" w:lineRule="auto"/>
        <w:rPr>
          <w:sz w:val="20"/>
          <w:szCs w:val="20"/>
          <w:color w:val="auto"/>
        </w:rPr>
      </w:pPr>
      <w:r>
        <w:rPr>
          <w:rFonts w:ascii="Arial" w:cs="Arial" w:eastAsia="Arial" w:hAnsi="Arial"/>
          <w:sz w:val="17"/>
          <w:szCs w:val="17"/>
          <w:color w:val="auto"/>
        </w:rPr>
        <w:t>The Holders of a majority in aggregate principal amount of the Outstanding Notes may, on behalf of the Holders of all the Notes, waive any existing Default or Event of Default and its consequences under the Indenture, except a continuing Default or Event of Default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140" w:name="page141"/>
    <w:bookmarkEnd w:id="140"/>
    <w:p>
      <w:pPr>
        <w:ind w:left="920" w:right="760" w:firstLine="421"/>
        <w:spacing w:after="0" w:line="308" w:lineRule="auto"/>
        <w:tabs>
          <w:tab w:leader="none" w:pos="1595" w:val="left"/>
        </w:tabs>
        <w:numPr>
          <w:ilvl w:val="0"/>
          <w:numId w:val="1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payment of the principal of or any premium or interest on the Notes (including any Note which is required to have been purchased by the Issuer pursuant to an offer to purchase by the Issuer made pursuant to the terms of the Indenture), or</w:t>
      </w:r>
    </w:p>
    <w:p>
      <w:pPr>
        <w:spacing w:after="0" w:line="38" w:lineRule="exact"/>
        <w:rPr>
          <w:rFonts w:ascii="Arial" w:cs="Arial" w:eastAsia="Arial" w:hAnsi="Arial"/>
          <w:sz w:val="17"/>
          <w:szCs w:val="17"/>
          <w:color w:val="auto"/>
        </w:rPr>
      </w:pPr>
    </w:p>
    <w:p>
      <w:pPr>
        <w:ind w:left="920" w:right="120" w:firstLine="421"/>
        <w:spacing w:after="0" w:line="277" w:lineRule="auto"/>
        <w:tabs>
          <w:tab w:leader="none" w:pos="159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Ten cannot be modified or amended without the consent of the Holder of each Outstanding Note affected.</w:t>
      </w:r>
    </w:p>
    <w:p>
      <w:pPr>
        <w:spacing w:after="0" w:line="170"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Upon any such waiver with respect to an existing default, such default shall cease to exist, and any Event of Default arising therefrom shall be deemed to have been cured, for every purpose of the Indenture; but no such waiver shall extend to any subsequent or other default or impair any right consequent thereon.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 xml:space="preserve">In any suit for the enforcement of any right or remedy under the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neither this Section nor the Trust Indenture Act shall be deemed to authorize any court to require such an undertaking or to make such an assessment in any suit instituted by the Issuer.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Waiver of Usury, Stay or Extension Laws</w:t>
      </w:r>
      <w:r>
        <w:rPr>
          <w:rFonts w:ascii="Arial" w:cs="Arial" w:eastAsia="Arial" w:hAnsi="Arial"/>
          <w:sz w:val="18"/>
          <w:szCs w:val="18"/>
          <w:color w:val="auto"/>
        </w:rPr>
        <w:t>.</w:t>
      </w:r>
    </w:p>
    <w:p>
      <w:pPr>
        <w:spacing w:after="0" w:line="117" w:lineRule="exact"/>
        <w:rPr>
          <w:sz w:val="20"/>
          <w:szCs w:val="20"/>
          <w:color w:val="auto"/>
        </w:rPr>
      </w:pPr>
    </w:p>
    <w:p>
      <w:pPr>
        <w:ind w:right="240" w:firstLine="913"/>
        <w:spacing w:after="0" w:line="297" w:lineRule="auto"/>
        <w:rPr>
          <w:sz w:val="20"/>
          <w:szCs w:val="20"/>
          <w:color w:val="auto"/>
        </w:rPr>
      </w:pPr>
      <w:r>
        <w:rPr>
          <w:rFonts w:ascii="Arial" w:cs="Arial" w:eastAsia="Arial" w:hAnsi="Arial"/>
          <w:sz w:val="16"/>
          <w:szCs w:val="16"/>
          <w:color w:val="auto"/>
        </w:rPr>
        <w:t>Each of the Issuer and the Guarantors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the Indenture; and each of the Issuer and the Guarantors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SEVEN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Certain Duties and Responsibilities</w:t>
      </w:r>
      <w:r>
        <w:rPr>
          <w:rFonts w:ascii="Arial" w:cs="Arial" w:eastAsia="Arial" w:hAnsi="Arial"/>
          <w:sz w:val="18"/>
          <w:szCs w:val="18"/>
          <w:color w:val="auto"/>
        </w:rPr>
        <w:t>.</w:t>
      </w:r>
    </w:p>
    <w:p>
      <w:pPr>
        <w:spacing w:after="0" w:line="117"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The duties and responsibilities of the Trustee shall be as provided by the Trust Indenture Act. Notwithstanding the foregoing, no implied covenants shall be read into the Indenture against the Trustee, and no provision of the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the Indenture relating to the conduct or affecting the liability of or affording protection to the Trustee shall be subject to the provisions of this Section.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 xml:space="preserve">If a default occurs hereunder which is actually known to a Responsible Officer of the Trustee, the Trustee shall give the Holders of the Notes notice of such default as and to the extent provided by the Trust Indenture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any default of the character specified in Section 601(4) or 601(5), no such notice to Holders shall be given until at least 30 days after the occurrence thereof. For the purpose of this Section, the term “default” means any Event of Default and any event which is, or after notice or lapse of time or both would become, an Event of Default.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141" w:name="page142"/>
    <w:bookmarkEnd w:id="141"/>
    <w:p>
      <w:pPr>
        <w:ind w:right="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not be deemed to have notice of any default unless a Responsible Officer of the Trustee has actual knowledge thereof or unless written notice of any event which is in fact such a default is received by the Trustee from the Issuer or a Holder at the Corporate Trust Office of the Trustee, and such notice references such Notes and the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Subject to the provisions of Section 701:</w:t>
      </w:r>
    </w:p>
    <w:p>
      <w:pPr>
        <w:spacing w:after="0" w:line="117" w:lineRule="exact"/>
        <w:rPr>
          <w:sz w:val="20"/>
          <w:szCs w:val="20"/>
          <w:color w:val="auto"/>
        </w:rPr>
      </w:pPr>
    </w:p>
    <w:p>
      <w:pPr>
        <w:ind w:left="920" w:right="240" w:firstLine="421"/>
        <w:spacing w:after="0" w:line="264" w:lineRule="auto"/>
        <w:tabs>
          <w:tab w:leader="none" w:pos="159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73" w:lineRule="exact"/>
        <w:rPr>
          <w:rFonts w:ascii="Arial" w:cs="Arial" w:eastAsia="Arial" w:hAnsi="Arial"/>
          <w:sz w:val="18"/>
          <w:szCs w:val="18"/>
          <w:color w:val="auto"/>
        </w:rPr>
      </w:pPr>
    </w:p>
    <w:p>
      <w:pPr>
        <w:ind w:left="920" w:right="300" w:firstLine="421"/>
        <w:spacing w:after="0" w:line="277" w:lineRule="auto"/>
        <w:tabs>
          <w:tab w:leader="none" w:pos="159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request or direction of the Issuer mentioned herein shall be sufficiently evidenced by an Issuer Request or Issuer Order, and any resolution of the Board of Directors shall be sufficiently evidenced by a Board Resolution;</w:t>
      </w:r>
    </w:p>
    <w:p>
      <w:pPr>
        <w:spacing w:after="0" w:line="62" w:lineRule="exact"/>
        <w:rPr>
          <w:rFonts w:ascii="Arial" w:cs="Arial" w:eastAsia="Arial" w:hAnsi="Arial"/>
          <w:sz w:val="18"/>
          <w:szCs w:val="18"/>
          <w:color w:val="auto"/>
        </w:rPr>
      </w:pPr>
    </w:p>
    <w:p>
      <w:pPr>
        <w:ind w:left="920" w:firstLine="421"/>
        <w:spacing w:after="0" w:line="264" w:lineRule="auto"/>
        <w:tabs>
          <w:tab w:leader="none" w:pos="159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whenever in the administration of the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73" w:lineRule="exact"/>
        <w:rPr>
          <w:rFonts w:ascii="Arial" w:cs="Arial" w:eastAsia="Arial" w:hAnsi="Arial"/>
          <w:sz w:val="18"/>
          <w:szCs w:val="18"/>
          <w:color w:val="auto"/>
        </w:rPr>
      </w:pPr>
    </w:p>
    <w:p>
      <w:pPr>
        <w:ind w:left="920" w:right="460" w:firstLine="421"/>
        <w:spacing w:after="0" w:line="342" w:lineRule="auto"/>
        <w:tabs>
          <w:tab w:leader="none" w:pos="159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5" w:lineRule="exact"/>
        <w:rPr>
          <w:rFonts w:ascii="Arial" w:cs="Arial" w:eastAsia="Arial" w:hAnsi="Arial"/>
          <w:sz w:val="16"/>
          <w:szCs w:val="16"/>
          <w:color w:val="auto"/>
        </w:rPr>
      </w:pPr>
    </w:p>
    <w:p>
      <w:pPr>
        <w:ind w:left="920" w:right="20" w:firstLine="421"/>
        <w:spacing w:after="0" w:line="312" w:lineRule="auto"/>
        <w:tabs>
          <w:tab w:leader="none" w:pos="159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the Indenture at the request or direction of any of the Holders pursuant to the Indenture, unless such Holders shall have offered to the Trustee security or indemnity satisfactory to the Trustee against the costs, expenses and liabilities which might be incurred by it in compliance with such request or direction;</w:t>
      </w:r>
    </w:p>
    <w:p>
      <w:pPr>
        <w:spacing w:after="0" w:line="38" w:lineRule="exact"/>
        <w:rPr>
          <w:rFonts w:ascii="Arial" w:cs="Arial" w:eastAsia="Arial" w:hAnsi="Arial"/>
          <w:sz w:val="16"/>
          <w:szCs w:val="16"/>
          <w:color w:val="auto"/>
        </w:rPr>
      </w:pPr>
    </w:p>
    <w:p>
      <w:pPr>
        <w:ind w:left="920" w:firstLine="421"/>
        <w:spacing w:after="0" w:line="257" w:lineRule="auto"/>
        <w:tabs>
          <w:tab w:leader="none" w:pos="159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w:t>
      </w:r>
    </w:p>
    <w:p>
      <w:pPr>
        <w:spacing w:after="0" w:line="80" w:lineRule="exact"/>
        <w:rPr>
          <w:rFonts w:ascii="Arial" w:cs="Arial" w:eastAsia="Arial" w:hAnsi="Arial"/>
          <w:sz w:val="18"/>
          <w:szCs w:val="18"/>
          <w:color w:val="auto"/>
        </w:rPr>
      </w:pPr>
    </w:p>
    <w:p>
      <w:pPr>
        <w:ind w:left="920" w:firstLine="421"/>
        <w:spacing w:after="0" w:line="264" w:lineRule="auto"/>
        <w:tabs>
          <w:tab w:leader="none" w:pos="159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142" w:name="page143"/>
    <w:bookmarkEnd w:id="142"/>
    <w:p>
      <w:pPr>
        <w:ind w:left="1600" w:hanging="259"/>
        <w:spacing w:after="0"/>
        <w:tabs>
          <w:tab w:leader="none" w:pos="16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not be liable for any action it takes or omits to take in good faith which it believes authorized or within its rights;</w:t>
      </w:r>
    </w:p>
    <w:p>
      <w:pPr>
        <w:spacing w:after="0" w:line="128" w:lineRule="exact"/>
        <w:rPr>
          <w:rFonts w:ascii="Arial" w:cs="Arial" w:eastAsia="Arial" w:hAnsi="Arial"/>
          <w:sz w:val="17"/>
          <w:szCs w:val="17"/>
          <w:color w:val="auto"/>
        </w:rPr>
      </w:pPr>
    </w:p>
    <w:p>
      <w:pPr>
        <w:jc w:val="both"/>
        <w:ind w:left="920" w:right="320" w:firstLine="421"/>
        <w:spacing w:after="0" w:line="279" w:lineRule="auto"/>
        <w:tabs>
          <w:tab w:leader="none" w:pos="159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Trustee shall not incur any liability for not performing any act or fulfilling any duty, obligation or responsibility hereunder by reason of any occurrence beyond the control of the Trustee (including but not limited to any act or provision of any present or future law or regulation or governmental authority, any act of God or war, civil unrest, local or national disturbance or disaster, any act of terrorism, or the unavailability of the Federal Reserve Bank wire or facsimile or other wire or communication facility);</w:t>
      </w:r>
    </w:p>
    <w:p>
      <w:pPr>
        <w:spacing w:after="0" w:line="63" w:lineRule="exact"/>
        <w:rPr>
          <w:rFonts w:ascii="Arial" w:cs="Arial" w:eastAsia="Arial" w:hAnsi="Arial"/>
          <w:sz w:val="17"/>
          <w:szCs w:val="17"/>
          <w:color w:val="auto"/>
        </w:rPr>
      </w:pPr>
    </w:p>
    <w:p>
      <w:pPr>
        <w:ind w:left="920" w:right="20" w:firstLine="421"/>
        <w:spacing w:after="0" w:line="257" w:lineRule="auto"/>
        <w:tabs>
          <w:tab w:leader="none" w:pos="168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Trustee shall be entitled to conclusively rely upon any order, judgment, certification, demand, notice, instrument or other writing delivered to it hereunder without being required to determine the authenticity or the correctness of any fact stated therein or the propriety or validity or the service thereof. The Trustee may act in conclusive reliance upon any instrument or signature believed by it to be genuine and may assume that any person purporting to give receipt or advice to make any statement or execute any document in connection with the provisions hereof has been duly authorized to do so; and</w:t>
      </w:r>
    </w:p>
    <w:p>
      <w:pPr>
        <w:spacing w:after="0" w:line="80" w:lineRule="exact"/>
        <w:rPr>
          <w:rFonts w:ascii="Arial" w:cs="Arial" w:eastAsia="Arial" w:hAnsi="Arial"/>
          <w:sz w:val="18"/>
          <w:szCs w:val="18"/>
          <w:color w:val="auto"/>
        </w:rPr>
      </w:pPr>
    </w:p>
    <w:p>
      <w:pPr>
        <w:ind w:left="920" w:right="180" w:firstLine="421"/>
        <w:spacing w:after="0" w:line="264" w:lineRule="auto"/>
        <w:tabs>
          <w:tab w:leader="none" w:pos="167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such Trustee has been advised of the likelihood of such loss or damage and regardless of the form of 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Not Responsible for Recitals or Issuance of Notes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recitals contained herein and in the Notes, except the Trustee’s certificates of authentication, shall be taken as the statements of the Issuer and neither the Trustee nor any Authenticating Agent assumes any responsibility for their correctness. The Trustee makes no representations as to the validity or sufficiency of the Indenture or of the Notes. Neither the Trustee nor any Authenticating Agent shall be accountable for the use or application by the Issuer of Notes or the proceeds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May Hold Notes</w:t>
      </w:r>
      <w:r>
        <w:rPr>
          <w:rFonts w:ascii="Arial" w:cs="Arial" w:eastAsia="Arial" w:hAnsi="Arial"/>
          <w:sz w:val="18"/>
          <w:szCs w:val="18"/>
          <w:color w:val="auto"/>
        </w:rPr>
        <w:t>.</w:t>
      </w:r>
    </w:p>
    <w:p>
      <w:pPr>
        <w:spacing w:after="0" w:line="117"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The Trustee, any Authenticating Agent, any Paying Agent, any Registrar or any other agent of the Issuer, in its individual or any other capacity, may become the owner or pledgee of Notes and, subject to Sections 708 and 713, may otherwise deal with the Issuer with the same rights it would have if it were not Trustee, Authenticating Agent, Paying Agent, Registrar or such other agent.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Money Held in Trust</w:t>
      </w:r>
      <w:r>
        <w:rPr>
          <w:rFonts w:ascii="Arial" w:cs="Arial" w:eastAsia="Arial" w:hAnsi="Arial"/>
          <w:sz w:val="18"/>
          <w:szCs w:val="18"/>
          <w:color w:val="auto"/>
        </w:rPr>
        <w:t>.</w:t>
      </w:r>
    </w:p>
    <w:p>
      <w:pPr>
        <w:spacing w:after="0" w:line="117"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Money and U.S. Government Obligations held by the Trustee in trust hereunder need not be segregated from other funds except to the extent required by law. The Trustee shall be under no liability for interest on any money received by it hereunder except as otherwise agreed with the Issuer.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Issuer agrees:</w:t>
      </w:r>
    </w:p>
    <w:p>
      <w:pPr>
        <w:spacing w:after="0" w:line="117" w:lineRule="exact"/>
        <w:rPr>
          <w:sz w:val="20"/>
          <w:szCs w:val="20"/>
          <w:color w:val="auto"/>
        </w:rPr>
      </w:pPr>
    </w:p>
    <w:p>
      <w:pPr>
        <w:ind w:left="920" w:firstLine="421"/>
        <w:spacing w:after="0" w:line="277" w:lineRule="auto"/>
        <w:tabs>
          <w:tab w:leader="none" w:pos="159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pay to the Trustee from time to time compensation for all services rendered by it hereunder (which compensation shall not be limited by any provision of law in regard to the compensation of a trustee of an express trust);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274" w:right="299" w:bottom="1440" w:gutter="0" w:footer="0" w:header="0"/>
        </w:sectPr>
      </w:pPr>
    </w:p>
    <w:bookmarkStart w:id="143" w:name="page144"/>
    <w:bookmarkEnd w:id="143"/>
    <w:p>
      <w:pPr>
        <w:ind w:left="920" w:right="100" w:firstLine="421"/>
        <w:spacing w:after="0" w:line="259" w:lineRule="auto"/>
        <w:tabs>
          <w:tab w:leader="none" w:pos="1595"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expressly provided herein, to reimburse the Trustee upon its request for all expenses, disbursements and advances incurred or made by the Trustee in accordance with any provision of the Indenture (including the compensation and the expenses and disbursements of its agents and counsel), except any such expense, disbursement or advance as may be attributable to its gross negligence or willful misconduct; and</w:t>
      </w:r>
    </w:p>
    <w:p>
      <w:pPr>
        <w:spacing w:after="0" w:line="78" w:lineRule="exact"/>
        <w:rPr>
          <w:rFonts w:ascii="Arial" w:cs="Arial" w:eastAsia="Arial" w:hAnsi="Arial"/>
          <w:sz w:val="18"/>
          <w:szCs w:val="18"/>
          <w:color w:val="auto"/>
        </w:rPr>
      </w:pPr>
    </w:p>
    <w:p>
      <w:pPr>
        <w:ind w:left="920" w:right="60" w:firstLine="421"/>
        <w:spacing w:after="0" w:line="288" w:lineRule="auto"/>
        <w:tabs>
          <w:tab w:leader="none" w:pos="159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to indemnify the Trustee for, and to hold it harmless against, any loss, liability or expense incurred without gross negligence or willful misconduct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 When the Trustee incurs expenses or renders services after the occurrence of an Event of Default specified in paragraph (7) or (8) of Section 601 of the Indenture, such expenses and the compensation for such services are intended to constitute expenses of administration under any Insolvency or Liquidation Proceeding. For the purposes of this paragraph, “Insolvency or Liquidation Proceeding” means, with respect to any Person, (a) an insolvency or bankruptcy case or proceeding, or any receivership, liquidation, reorganization or similar case or proceeding in connection therewith, relative to such Person or its creditors, as such, or its assets, or (b) any liquidation, dissolution or other winding-up proceeding of such Person, whether voluntary or involuntary and whether or not involving insolvency or bankruptcy or (c) any assignment for the benefit of creditors or any other marshaling of assets and liabilities of such Person.</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obligations of the Issuer under this Section 707 shall survive the satisfaction and discharge of this Indenture.</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To secure the Issuer’s payment obligations in this Section 707,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Conflicting Interests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If the Trustee has or shall acquire a conflicting interest within the meaning of the Trust Indenture Act, the Trustee shall either eliminate such interest or, except as otherwise provided in Section 310(b) of the Trust Indenture Act, resign, to the extent and in the manner provided by, and subject to the provisions of, the Trust Indenture Act and the Indenture. To the extent permitted by the Trust Indenture Act, the Trustee shall not be deemed to have a conflicting interest by virtue of being a trustee under the Base Indenture with respect to Securities of more than one series.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There shall at all times be one (and only one) Trustee hereunder. Each Trustee shall be a Person that is eligible pursuant to the Trust Indenture Act to act as such, and has a combined capital and surplus of at least $50.0 million.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274" w:right="31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117"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711.</w:t>
      </w:r>
    </w:p>
    <w:p>
      <w:pPr>
        <w:spacing w:after="0" w:line="170"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Trustee may resign at any time by giving written notice thereof to the Issuer. If the instrument of acceptance by a successor Trustee required by Section 711 shall not have been delivered to the Trustee within 30 days after the giving of such notice of resignation, the resigning Trustee may petition any court of competent jurisdiction for the appointment of a successor Trustee.</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Trustee may be removed at any time by Act of the Holders of a majority in aggregate principal amount of the Outstanding Notes (voting as a single class), delivered to the Trustee and to the Issuer.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at any time:</w:t>
      </w:r>
    </w:p>
    <w:p>
      <w:pPr>
        <w:spacing w:after="0" w:line="117" w:lineRule="exact"/>
        <w:rPr>
          <w:sz w:val="20"/>
          <w:szCs w:val="20"/>
          <w:color w:val="auto"/>
        </w:rPr>
      </w:pPr>
    </w:p>
    <w:p>
      <w:pPr>
        <w:ind w:left="920" w:right="80" w:firstLine="421"/>
        <w:spacing w:after="0" w:line="277" w:lineRule="auto"/>
        <w:tabs>
          <w:tab w:leader="none" w:pos="159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Trustee shall fail to comply with Section 708 after written request therefor by the Issuer or by any Holder who has been a bona fide Holder of a Note for at least six months;</w:t>
      </w:r>
    </w:p>
    <w:p>
      <w:pPr>
        <w:spacing w:after="0" w:line="62" w:lineRule="exact"/>
        <w:rPr>
          <w:rFonts w:ascii="Arial" w:cs="Arial" w:eastAsia="Arial" w:hAnsi="Arial"/>
          <w:sz w:val="18"/>
          <w:szCs w:val="18"/>
          <w:color w:val="auto"/>
        </w:rPr>
      </w:pPr>
    </w:p>
    <w:p>
      <w:pPr>
        <w:ind w:left="920" w:right="20" w:firstLine="421"/>
        <w:spacing w:after="0" w:line="277" w:lineRule="auto"/>
        <w:tabs>
          <w:tab w:leader="none" w:pos="159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709 and shall fail to resign after written request therefor by the Issuer or by any such Holder; or</w:t>
      </w:r>
    </w:p>
    <w:p>
      <w:pPr>
        <w:spacing w:after="0" w:line="62" w:lineRule="exact"/>
        <w:rPr>
          <w:rFonts w:ascii="Arial" w:cs="Arial" w:eastAsia="Arial" w:hAnsi="Arial"/>
          <w:sz w:val="18"/>
          <w:szCs w:val="18"/>
          <w:color w:val="auto"/>
        </w:rPr>
      </w:pPr>
    </w:p>
    <w:p>
      <w:pPr>
        <w:ind w:left="920" w:right="160" w:firstLine="421"/>
        <w:spacing w:after="0" w:line="264" w:lineRule="auto"/>
        <w:tabs>
          <w:tab w:leader="none" w:pos="159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then, in any such case, (A) the Issuer by a resolution duly passed by its Board of Directors may remove the Trustee, or (B) subject to Section 614, any Holder who has been a bona fide Holder of a Note for at least six months may, on behalf of himself and all others similarly situated, petition any court of competent jurisdiction for the removal of the Trustee and the appointment of a successor Trustee or Trustees.</w:t>
      </w:r>
    </w:p>
    <w:p>
      <w:pPr>
        <w:spacing w:after="0" w:line="18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If the Trustee shall resign, be removed or become incapable of acting, or if a vacancy shall occur in the office of Trustee for any cause, with respect to the Notes, the Issuer, by a resolution duly passed by its Board of Directors, shall promptly appoint a successor Trustee and shall comply with the applicable requirements of Section 711. If, within one year after such resignation, removal or incapability, or the occurrence of such vacancy, a successor Trustee with respect to the Notes shall be appointed by Act of the Holders of a majority in aggregate principal amount of the Outstanding Notes (voting as a single class) delivered to the Issuer and the retiring Trustee, the successor Trustee so appointed shall, forthwith upon its acceptance of such appointment in accordance with the applicable requirements of Section 711, become the successor Trustee and to that extent supersede the successor Trustee appointed by the Issuer. If no successor Trustee shall have been so appointed by the Issuer or the Holders and accepted appointment in the manner required by Section 711, any Holder who has been a bona fide Holder of a Note for at least six months may, on behalf of himself and all others similarly situated, petition any court of competent jurisdiction for the appointment of a successor Trustee.</w:t>
      </w:r>
    </w:p>
    <w:p>
      <w:pPr>
        <w:spacing w:after="0" w:line="182" w:lineRule="exact"/>
        <w:rPr>
          <w:sz w:val="20"/>
          <w:szCs w:val="20"/>
          <w:color w:val="auto"/>
        </w:rPr>
      </w:pPr>
    </w:p>
    <w:p>
      <w:pPr>
        <w:ind w:right="260" w:firstLine="913"/>
        <w:spacing w:after="0" w:line="342" w:lineRule="auto"/>
        <w:rPr>
          <w:sz w:val="20"/>
          <w:szCs w:val="20"/>
          <w:color w:val="auto"/>
        </w:rPr>
      </w:pPr>
      <w:r>
        <w:rPr>
          <w:rFonts w:ascii="Arial" w:cs="Arial" w:eastAsia="Arial" w:hAnsi="Arial"/>
          <w:sz w:val="16"/>
          <w:szCs w:val="16"/>
          <w:color w:val="auto"/>
        </w:rPr>
        <w:t>The Issuer shall give notice of each resignation and each removal of the Trustee and each appointment of a successor Trustee to all Holders of Notes in the manner provided in Section 206. Each notice shall include the name of the successor Trustee and the address of its Corporate Trust Office.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case of the appointment hereunder of a successor Trustee, every such successor Trustee so appointed shall execute, acknowledge and deliver to the Issuer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Issuer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8" w:lineRule="exact"/>
        <w:rPr>
          <w:sz w:val="20"/>
          <w:szCs w:val="20"/>
          <w:color w:val="auto"/>
        </w:rPr>
      </w:pPr>
    </w:p>
    <w:p>
      <w:pPr>
        <w:ind w:right="780" w:firstLine="913"/>
        <w:spacing w:after="0" w:line="342" w:lineRule="auto"/>
        <w:rPr>
          <w:sz w:val="20"/>
          <w:szCs w:val="20"/>
          <w:color w:val="auto"/>
        </w:rPr>
      </w:pPr>
      <w:r>
        <w:rPr>
          <w:rFonts w:ascii="Arial" w:cs="Arial" w:eastAsia="Arial" w:hAnsi="Arial"/>
          <w:sz w:val="16"/>
          <w:szCs w:val="16"/>
          <w:color w:val="auto"/>
        </w:rPr>
        <w:t>Upon request of any such successor Trustee, the Issuer shall execute any and all instruments for more fully and certainly vesting in and confirming to such successor Trustee all such rights, powers and trusts referred to in the first or second preceding paragraph, as the case may be.</w:t>
      </w:r>
    </w:p>
    <w:p>
      <w:pPr>
        <w:spacing w:after="0" w:line="124"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corporation shall be otherwise qualified and eligible under this Article, without the execution or filing of any paper or any further act on the part of any of the parties hereto.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Preferential Collection of Claims Against Issuer</w:t>
      </w:r>
      <w:r>
        <w:rPr>
          <w:rFonts w:ascii="Arial" w:cs="Arial" w:eastAsia="Arial" w:hAnsi="Arial"/>
          <w:sz w:val="18"/>
          <w:szCs w:val="18"/>
          <w:color w:val="auto"/>
        </w:rPr>
        <w:t>.</w:t>
      </w:r>
    </w:p>
    <w:p>
      <w:pPr>
        <w:spacing w:after="0" w:line="117"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If and when the Trustee shall be or become a creditor of the Issuer or any other obligor upon the Notes, the Trustee shall be subject to the provisions of the Trust Indenture Act regarding the collection of claims against the Issuer or any such other obligor.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Appointment of Authenticating Agent</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The Trustee may appoint an Authenticating Agent or Agents which shall be authorized to act on behalf of the Trustee to authenticate Notes issued upon original issue and upon exchange, registration of transfer or partial redemption thereof or pursuant to Section 406, and Notes so authenticated shall be entitled to the benefits of the Indenture and shall be valid and obligatory for all purposes as if authenticated by the Trustee hereunder. Wherever reference is made in this Supplemental Indenture to the authentication and delivery of Notes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Issuer and shall at all times be a corporation organized and doing business under the laws of the United States of America, any State thereof or the District of Columbia, authorized under such laws to act as Authenticating Agent, having a</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146" w:name="page147"/>
    <w:bookmarkEnd w:id="146"/>
    <w:p>
      <w:pPr>
        <w:ind w:right="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combined capital and surplus of not less than $50.0 million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73" w:lineRule="exact"/>
        <w:rPr>
          <w:sz w:val="20"/>
          <w:szCs w:val="20"/>
          <w:color w:val="auto"/>
        </w:rPr>
      </w:pPr>
    </w:p>
    <w:p>
      <w:pPr>
        <w:ind w:right="240" w:firstLine="913"/>
        <w:spacing w:after="0" w:line="302"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54"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An Authenticating Agent may resign at any time by giving written notice thereof to the Trustee and to the Issuer. The Trustee may at any time terminate the agency of an Authenticating Agent by giving written notice thereof to such Authenticating Agent and to the Issuer.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Issuer and shall give notice of such appointment in the manner provided in Section 206 to all Holders of Notes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6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707.</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If an appointment is made pursuant to this Section, the Notes may have endorsed thereon, in addition to the Trustee’s certificate of authentication, an alternative certificate of authentication in the following form:</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is one of the Notes designated therein referred to in the within-mentioned Indenture.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As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-130810</wp:posOffset>
            </wp:positionV>
            <wp:extent cx="265874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-130810</wp:posOffset>
            </wp:positionV>
            <wp:extent cx="265874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EIGHT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HOLDERS’ LISTS AND REPORTS BY TRUSTEE AND ISSUER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Issuer to Furnish Trustee Names and Addresses of Holders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Issuer will furnish or cause to be furnished to the Trustee</w:t>
      </w:r>
    </w:p>
    <w:p>
      <w:pPr>
        <w:spacing w:after="0" w:line="117" w:lineRule="exact"/>
        <w:rPr>
          <w:sz w:val="20"/>
          <w:szCs w:val="20"/>
          <w:color w:val="auto"/>
        </w:rPr>
      </w:pPr>
    </w:p>
    <w:p>
      <w:pPr>
        <w:ind w:left="920" w:right="120" w:firstLine="421"/>
        <w:spacing w:after="0" w:line="277" w:lineRule="auto"/>
        <w:tabs>
          <w:tab w:leader="none" w:pos="15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semi-annually, not later than each Interest Payment Date in each year, a list, in such form as the Trustee may reasonably require, of the names and addresses of the Holders of Notes as of the preceding Regular Record Date, and</w:t>
      </w:r>
    </w:p>
    <w:p>
      <w:pPr>
        <w:spacing w:after="0" w:line="62" w:lineRule="exact"/>
        <w:rPr>
          <w:rFonts w:ascii="Arial" w:cs="Arial" w:eastAsia="Arial" w:hAnsi="Arial"/>
          <w:sz w:val="18"/>
          <w:szCs w:val="18"/>
          <w:color w:val="auto"/>
        </w:rPr>
      </w:pPr>
    </w:p>
    <w:p>
      <w:pPr>
        <w:ind w:left="920" w:right="380" w:firstLine="421"/>
        <w:spacing w:after="0" w:line="277" w:lineRule="auto"/>
        <w:tabs>
          <w:tab w:leader="none" w:pos="15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Issuer of any such request, a list of similar form and content as of a date not more than 15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excluding from any such list names and addresses received by the Trustee in its capacity as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Preservation of Information; Communications to Holders</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 Trustee shall preserve, in as current a form as is reasonably practicable, the names and addresses of Holders contained in the most recent list furnished to the Trustee as provided in Section 801 and the names and addresses of Holders received by the Trustee in its capacity as Registrar. The Trustee may destroy any list furnished to it as provided in Section 801 upon receipt of a new list so furnished.</w:t>
      </w:r>
    </w:p>
    <w:p>
      <w:pPr>
        <w:spacing w:after="0" w:line="181" w:lineRule="exact"/>
        <w:rPr>
          <w:sz w:val="20"/>
          <w:szCs w:val="20"/>
          <w:color w:val="auto"/>
        </w:rPr>
      </w:pPr>
    </w:p>
    <w:p>
      <w:pPr>
        <w:ind w:right="960" w:firstLine="913"/>
        <w:spacing w:after="0" w:line="277" w:lineRule="auto"/>
        <w:rPr>
          <w:sz w:val="20"/>
          <w:szCs w:val="20"/>
          <w:color w:val="auto"/>
        </w:rPr>
      </w:pPr>
      <w:r>
        <w:rPr>
          <w:rFonts w:ascii="Arial" w:cs="Arial" w:eastAsia="Arial" w:hAnsi="Arial"/>
          <w:sz w:val="18"/>
          <w:szCs w:val="18"/>
          <w:color w:val="auto"/>
        </w:rPr>
        <w:t>The rights of Holders to communicate with other Holders with respect to their rights under the Indenture or under the Notes, and the corresponding rights and privileges of the Trustee, shall be as provided by the Trust Indenture Act.</w:t>
      </w:r>
    </w:p>
    <w:p>
      <w:pPr>
        <w:spacing w:after="0" w:line="170"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Every Holder of Notes, by receiving and holding the same, agrees with the Issuer and the Trustee that neither the Issuer nor the Trustee nor any agent of any of them shall be held accountable by reason of any disclosure of information as to names and addresses of Holders made pursuant to the Trust Indenture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Reports by Trustee</w:t>
      </w:r>
      <w:r>
        <w:rPr>
          <w:rFonts w:ascii="Arial" w:cs="Arial" w:eastAsia="Arial" w:hAnsi="Arial"/>
          <w:sz w:val="18"/>
          <w:szCs w:val="18"/>
          <w:color w:val="auto"/>
        </w:rPr>
        <w:t>.</w:t>
      </w:r>
    </w:p>
    <w:p>
      <w:pPr>
        <w:spacing w:after="0" w:line="11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Trustee shall transmit to Holders such reports concerning the Trustee and its actions under the Indenture as may be required pursuant to the Trust Indenture Act at the times and in the manner provided pursuant thereto.</w:t>
      </w:r>
    </w:p>
    <w:p>
      <w:pPr>
        <w:spacing w:after="0" w:line="170"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A copy of each such report shall, at the time of such transmission to Holders, be filed by the Trustee with each stock exchange upon which the Notes are listed, with the SEC and with the Issuer. The Issuer will notify the Trustee when any Notes are listed on any stock exchange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Reports by Issuer</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4" w:lineRule="auto"/>
        <w:tabs>
          <w:tab w:leader="none" w:pos="115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Whether or not required by the SEC, so long as any Notes are Outstanding, the Parent Guarantor will furnish to the Trustee and the Holders of Notes, or, to the extent permitted by the SEC, file electronically with the SEC through the SEC’s Electronic Data Gathering, Analysis and Retrieval System (or any successor system) within the time periods specified in the SEC’s rules and regulations:</w:t>
      </w:r>
    </w:p>
    <w:p>
      <w:pPr>
        <w:spacing w:after="0" w:line="73" w:lineRule="exact"/>
        <w:rPr>
          <w:rFonts w:ascii="Arial" w:cs="Arial" w:eastAsia="Arial" w:hAnsi="Arial"/>
          <w:sz w:val="18"/>
          <w:szCs w:val="18"/>
          <w:color w:val="auto"/>
        </w:rPr>
      </w:pPr>
    </w:p>
    <w:p>
      <w:pPr>
        <w:ind w:left="920" w:right="140" w:firstLine="421"/>
        <w:spacing w:after="0" w:line="277" w:lineRule="auto"/>
        <w:tabs>
          <w:tab w:leader="none" w:pos="159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Parent Guarantor were required to file such reports; and</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all current reports that would be required to be filed with the SEC on Form 8-K if the Parent Guarantor were required to file such</w:t>
      </w:r>
    </w:p>
    <w:p>
      <w:pPr>
        <w:spacing w:after="0" w:line="34"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8"/>
          <w:szCs w:val="18"/>
          <w:color w:val="auto"/>
        </w:rPr>
        <w:t>reports.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0" w:right="259" w:bottom="1440" w:gutter="0" w:footer="0" w:header="0"/>
        </w:sectPr>
      </w:pPr>
    </w:p>
    <w:bookmarkStart w:id="148" w:name="page149"/>
    <w:bookmarkEnd w:id="148"/>
    <w:p>
      <w:pPr>
        <w:ind w:firstLine="921"/>
        <w:spacing w:after="0" w:line="257" w:lineRule="auto"/>
        <w:tabs>
          <w:tab w:leader="none" w:pos="1168"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Parent Guarantor has designated any of its Subsidiaries as Unrestricted Subsidiaries, and such Unrestricted Subsidiaries, individually or taken together, would constitute a Significant Subsidiary,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the Parent Guarantor and its Restricted Subsidiaries excluding the Unrestricted Subsidiaries.</w:t>
      </w:r>
    </w:p>
    <w:p>
      <w:pPr>
        <w:spacing w:after="0" w:line="80" w:lineRule="exact"/>
        <w:rPr>
          <w:rFonts w:ascii="Arial" w:cs="Arial" w:eastAsia="Arial" w:hAnsi="Arial"/>
          <w:sz w:val="18"/>
          <w:szCs w:val="18"/>
          <w:color w:val="auto"/>
        </w:rPr>
      </w:pPr>
    </w:p>
    <w:p>
      <w:pPr>
        <w:ind w:right="220" w:firstLine="921"/>
        <w:spacing w:after="0" w:line="264" w:lineRule="auto"/>
        <w:tabs>
          <w:tab w:leader="none" w:pos="115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For so long as any Notes remain outstanding and constitute ‘‘restricted securities’’ under Rule 144, the Parent Guarantor will furnish to the holders of the Notes, and to securities analysts and prospective investors, upon their request, the information required to be delivered pursuant to Rule 144A(d)(4) under the Securities Act.</w:t>
      </w:r>
    </w:p>
    <w:p>
      <w:pPr>
        <w:spacing w:after="0" w:line="73" w:lineRule="exact"/>
        <w:rPr>
          <w:rFonts w:ascii="Arial" w:cs="Arial" w:eastAsia="Arial" w:hAnsi="Arial"/>
          <w:sz w:val="18"/>
          <w:szCs w:val="18"/>
          <w:color w:val="auto"/>
        </w:rPr>
      </w:pPr>
    </w:p>
    <w:p>
      <w:pPr>
        <w:jc w:val="both"/>
        <w:ind w:right="320" w:firstLine="921"/>
        <w:spacing w:after="0" w:line="342" w:lineRule="auto"/>
        <w:tabs>
          <w:tab w:leader="none" w:pos="116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Delivery of reports, information and documents to the Trustee under this Section 804 is for informational purposes only and the Trustee’s receipt of the foregoing shall not constitute constructive notice of any information contained therein or determinable from information contained therein.</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NINE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Issuer and Guarantors May Consolidate, Etc., Only on Certain Terms</w:t>
      </w:r>
      <w:r>
        <w:rPr>
          <w:rFonts w:ascii="Arial" w:cs="Arial" w:eastAsia="Arial" w:hAnsi="Arial"/>
          <w:sz w:val="18"/>
          <w:szCs w:val="18"/>
          <w:color w:val="auto"/>
        </w:rPr>
        <w:t>.</w:t>
      </w:r>
    </w:p>
    <w:p>
      <w:pPr>
        <w:spacing w:after="0" w:line="117"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Neither the Issuer nor any Guarantor shall consolidate or amalgamate with, or merge into, any other Person, or convey, transfer or lease its properties and assets as, or substantially as, an entirety to any Person unless:</w:t>
      </w:r>
    </w:p>
    <w:p>
      <w:pPr>
        <w:spacing w:after="0" w:line="62" w:lineRule="exact"/>
        <w:rPr>
          <w:sz w:val="20"/>
          <w:szCs w:val="20"/>
          <w:color w:val="auto"/>
        </w:rPr>
      </w:pPr>
    </w:p>
    <w:p>
      <w:pPr>
        <w:ind w:left="920" w:right="100" w:firstLine="421"/>
        <w:spacing w:after="0" w:line="290" w:lineRule="auto"/>
        <w:tabs>
          <w:tab w:leader="none" w:pos="159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Person formed by such consolidation or amalgamation or into which the Issuer or such Guarantor, as the case may be, is merged or the Person which acquires by conveyance or transfer, or which leases the properties and assets of the Issuer or such Guarantor, as the case may be, as, or substantially as, an entirety shall be a corporation (the “Successor Person”) and shall expressly assume, by a supplemental indenture, executed and delivered to the Trustee, (a) in the case of a Successor Person to the Issuer, the due and punctual payment of the principal of and any premium and interest on all the Notes and the performance or observance of every covenant of the Indenture and any Registration Rights Agreement then in effect on the part of the Issuer to be performed or observed or (b) in the case of a Successor Person to such Guarantor, all of the obligations of such Guarantor under the Guarantee of such Guarantor and the performance or observance of every covenant of the Indenture and any Registration Rights Agreement then in effect on the part of such Guarantor to be performed or observed;</w:t>
      </w:r>
    </w:p>
    <w:p>
      <w:pPr>
        <w:spacing w:after="0" w:line="58" w:lineRule="exact"/>
        <w:rPr>
          <w:rFonts w:ascii="Arial" w:cs="Arial" w:eastAsia="Arial" w:hAnsi="Arial"/>
          <w:sz w:val="16"/>
          <w:szCs w:val="16"/>
          <w:color w:val="auto"/>
        </w:rPr>
      </w:pPr>
    </w:p>
    <w:p>
      <w:pPr>
        <w:ind w:left="1600" w:hanging="259"/>
        <w:spacing w:after="0"/>
        <w:tabs>
          <w:tab w:leader="none" w:pos="16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Event of Default and no Default shall have occurred and be continuing; and</w:t>
      </w:r>
    </w:p>
    <w:p>
      <w:pPr>
        <w:spacing w:after="0" w:line="128" w:lineRule="exact"/>
        <w:rPr>
          <w:rFonts w:ascii="Arial" w:cs="Arial" w:eastAsia="Arial" w:hAnsi="Arial"/>
          <w:sz w:val="17"/>
          <w:szCs w:val="17"/>
          <w:color w:val="auto"/>
        </w:rPr>
      </w:pPr>
    </w:p>
    <w:p>
      <w:pPr>
        <w:ind w:left="920" w:right="20" w:firstLine="421"/>
        <w:spacing w:after="0" w:line="312" w:lineRule="auto"/>
        <w:tabs>
          <w:tab w:leader="none" w:pos="159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Issuer or such Guarantor, as the case may be, shall have delivered to the Trustee an Officer’s Certificate and an Opinion of Counsel, each stating that such consolidation, amalgamation, merger, conveyance, sale, transfer or lease and such supplemental indenture, if any, comply with this covenant and that all conditions precedent provided for in the Indenture relating to such transaction have been complied with.</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74" w:right="279" w:bottom="1440" w:gutter="0" w:footer="0" w:header="0"/>
        </w:sectPr>
      </w:pPr>
    </w:p>
    <w:bookmarkStart w:id="149" w:name="page150"/>
    <w:bookmarkEnd w:id="149"/>
    <w:p>
      <w:pPr>
        <w:ind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However, clause (1) of this Section 901 shall not apply in circumstances under which Section 1504 provides for the release of the Guarantee of such Guarantor.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Successor Substituted</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Upon any consolidation or amalgamation of the Issuer or a Guarantor, as the case may be, with or merger of the Issuer or a Guarantor, as the case may be, into, any other Person or any conveyance, transfer or lease of the properties and assets of the Issuer or a Guarantor, as the case may be, as, or substantially as, an entirety in accordance with Section 901, the Successor Person will succeed to, and be substituted for, and may exercise every right and power of, the Issuer or such Guarantor under the Indenture with the same effect as if such Successor Person had been named therein as the Issuer or such Guarantor, as the case may be, and thereafter, except in the case of a lease, the Issuer or such Guarantor, as the case may be, will be released from all obligations and covenants under the Indenture, the Notes and the Guarantees, as the case may be, and may liquidated and dissolve.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TEN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SUPPLEMENTAL INDENTURES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w:t>
      </w:r>
    </w:p>
    <w:p>
      <w:pPr>
        <w:spacing w:after="0" w:line="117"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Without the consent of any Holders, the Issuer, the Guarantors and the Trustee, at any time and from time to time, may enter into one or more indentures supplemental hereto in order to amend or supplement the Indenture, the Guarantees or the Notes for any of the following purposes:</w:t>
      </w:r>
    </w:p>
    <w:p>
      <w:pPr>
        <w:spacing w:after="0" w:line="16" w:lineRule="exact"/>
        <w:rPr>
          <w:sz w:val="20"/>
          <w:szCs w:val="20"/>
          <w:color w:val="auto"/>
        </w:rPr>
      </w:pPr>
    </w:p>
    <w:p>
      <w:pPr>
        <w:ind w:left="1600" w:hanging="259"/>
        <w:spacing w:after="0"/>
        <w:tabs>
          <w:tab w:leader="none" w:pos="16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920" w:right="180" w:firstLine="421"/>
        <w:spacing w:after="0" w:line="277" w:lineRule="auto"/>
        <w:tabs>
          <w:tab w:leader="none" w:pos="15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provide for the assumption of the Issuer’s or a Guarantor’s obligations to the Holders in the case of a consolidation, amalgamation, merger or other transaction in compliance with Article Nine;</w:t>
      </w:r>
    </w:p>
    <w:p>
      <w:pPr>
        <w:spacing w:after="0" w:line="62" w:lineRule="exact"/>
        <w:rPr>
          <w:rFonts w:ascii="Arial" w:cs="Arial" w:eastAsia="Arial" w:hAnsi="Arial"/>
          <w:sz w:val="18"/>
          <w:szCs w:val="18"/>
          <w:color w:val="auto"/>
        </w:rPr>
      </w:pPr>
    </w:p>
    <w:p>
      <w:pPr>
        <w:ind w:left="920" w:right="400" w:firstLine="421"/>
        <w:spacing w:after="0" w:line="277" w:lineRule="auto"/>
        <w:tabs>
          <w:tab w:leader="none" w:pos="15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add any Guarantor or to acknowledge the release of any Guarantor from any of its obligations under its Guarantee and the other provisions of the Indenture (to the extent in accordance with the Indenture);</w:t>
      </w:r>
    </w:p>
    <w:p>
      <w:pPr>
        <w:spacing w:after="0" w:line="62" w:lineRule="exact"/>
        <w:rPr>
          <w:rFonts w:ascii="Arial" w:cs="Arial" w:eastAsia="Arial" w:hAnsi="Arial"/>
          <w:sz w:val="18"/>
          <w:szCs w:val="18"/>
          <w:color w:val="auto"/>
        </w:rPr>
      </w:pPr>
    </w:p>
    <w:p>
      <w:pPr>
        <w:ind w:left="920" w:right="160" w:firstLine="421"/>
        <w:spacing w:after="0" w:line="277" w:lineRule="auto"/>
        <w:tabs>
          <w:tab w:leader="none" w:pos="15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that does not materially adversely affect the rights of any Holder;</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effect or maintain the qualification of the Indenture under the Trust Indenture Act;</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secure the Notes or any Guarantees or any other obligation under the Indenture;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117" w:lineRule="exact"/>
        <w:rPr>
          <w:rFonts w:ascii="Arial" w:cs="Arial" w:eastAsia="Arial" w:hAnsi="Arial"/>
          <w:sz w:val="18"/>
          <w:szCs w:val="18"/>
          <w:color w:val="auto"/>
        </w:rPr>
      </w:pPr>
    </w:p>
    <w:p>
      <w:pPr>
        <w:ind w:left="920" w:right="580" w:firstLine="421"/>
        <w:spacing w:after="0" w:line="264" w:lineRule="auto"/>
        <w:tabs>
          <w:tab w:leader="none" w:pos="15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conform the text of the Indenture or the Notes to any provision of the “Description of Notes” contained in the Offering Memorandum, to the extent that such provision in such “Description of Notes” was intended to be a substantially verbatim recitation of a provision of the Indenture, the Guarantees or the Notes; or</w:t>
      </w:r>
    </w:p>
    <w:p>
      <w:pPr>
        <w:spacing w:after="0" w:line="73" w:lineRule="exact"/>
        <w:rPr>
          <w:rFonts w:ascii="Arial" w:cs="Arial" w:eastAsia="Arial" w:hAnsi="Arial"/>
          <w:sz w:val="18"/>
          <w:szCs w:val="18"/>
          <w:color w:val="auto"/>
        </w:rPr>
      </w:pPr>
    </w:p>
    <w:p>
      <w:pPr>
        <w:ind w:left="1680" w:hanging="339"/>
        <w:spacing w:after="0"/>
        <w:tabs>
          <w:tab w:leader="none" w:pos="16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Indenture.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74" w:right="279" w:bottom="1440" w:gutter="0" w:footer="0" w:header="0"/>
        </w:sectPr>
      </w:pPr>
    </w:p>
    <w:bookmarkStart w:id="150" w:name="page151"/>
    <w:bookmarkEnd w:id="150"/>
    <w:p>
      <w:pPr>
        <w:jc w:val="both"/>
        <w:ind w:right="30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is hereby authorized to join with the Issuer and the Guarantors in the execution of any such supplemental indenture, to make any further appropriate agreements and stipulations which may be therein contained and to accept the conveyance, transfer, assignment, mortgage or pledge of any property thereunder.</w:t>
      </w:r>
    </w:p>
    <w:p>
      <w:pPr>
        <w:spacing w:after="0" w:line="181"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Any supplemental indenture authorized by the provisions of this Section 1001 may be executed by the Issuer, the Guarantors and the Trustee without the consent of the Holders, notwithstanding any of the provisions of Section 1002.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Supplemental Indentures With Consent of Holders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With the consent of the Holders of a majority in aggregate principal amount of the Outstanding Notes affected thereby (voting as a separate class), including, without limitation, consents obtained in connection with a purchase of, or tender offer or exchange offer for, the Notes, the Issuer, the Guarantors and the Trustee may amend or supplement the Indenture, the Notes or any Guarantees or, subject to Section 613, waive any existing Default or Event of Default or compliance with any provision of the Indenture (which may include consents obtained in connection with a purchase of, or tender offer or exchange offer for, the Notes). However, without the consent of each Holder affected thereby, no such amendment, supplement or waiver may (with respect to any Note held by a non-consenting Holder):</w:t>
      </w:r>
    </w:p>
    <w:p>
      <w:pPr>
        <w:spacing w:after="0" w:line="85" w:lineRule="exact"/>
        <w:rPr>
          <w:sz w:val="20"/>
          <w:szCs w:val="20"/>
          <w:color w:val="auto"/>
        </w:rPr>
      </w:pPr>
    </w:p>
    <w:p>
      <w:pPr>
        <w:ind w:left="1600" w:hanging="259"/>
        <w:spacing w:after="0"/>
        <w:tabs>
          <w:tab w:leader="none" w:pos="16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reduce, or change the maturity of, the principal of any Note;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on any Note;</w:t>
      </w:r>
    </w:p>
    <w:p>
      <w:pPr>
        <w:spacing w:after="0" w:line="117" w:lineRule="exact"/>
        <w:rPr>
          <w:rFonts w:ascii="Arial" w:cs="Arial" w:eastAsia="Arial" w:hAnsi="Arial"/>
          <w:sz w:val="18"/>
          <w:szCs w:val="18"/>
          <w:color w:val="auto"/>
        </w:rPr>
      </w:pPr>
    </w:p>
    <w:p>
      <w:pPr>
        <w:ind w:left="920" w:firstLine="421"/>
        <w:spacing w:after="0" w:line="259" w:lineRule="auto"/>
        <w:tabs>
          <w:tab w:leader="none" w:pos="15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reduce any premium payable upon redemption of the Notes or change the date on which any Notes are subject to redemption (other than the notice provisions) or waive any payment with respect to the redemption of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solely for the avoidance of doubt, and without any other implication, any purchase or repurchase of Notes (including pursuant to Section 1107) shall not be deemed a redemption of the Notes;</w:t>
      </w:r>
    </w:p>
    <w:p>
      <w:pPr>
        <w:spacing w:after="0" w:line="78" w:lineRule="exact"/>
        <w:rPr>
          <w:rFonts w:ascii="Arial" w:cs="Arial" w:eastAsia="Arial" w:hAnsi="Arial"/>
          <w:sz w:val="18"/>
          <w:szCs w:val="18"/>
          <w:color w:val="auto"/>
        </w:rPr>
      </w:pPr>
    </w:p>
    <w:p>
      <w:pPr>
        <w:ind w:left="1600" w:hanging="259"/>
        <w:spacing w:after="0"/>
        <w:tabs>
          <w:tab w:leader="none" w:pos="16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make any Note payable in money or currency other than that stated in the Notes;</w:t>
      </w:r>
    </w:p>
    <w:p>
      <w:pPr>
        <w:spacing w:after="0" w:line="117" w:lineRule="exact"/>
        <w:rPr>
          <w:rFonts w:ascii="Arial" w:cs="Arial" w:eastAsia="Arial" w:hAnsi="Arial"/>
          <w:sz w:val="18"/>
          <w:szCs w:val="18"/>
          <w:color w:val="auto"/>
        </w:rPr>
      </w:pPr>
    </w:p>
    <w:p>
      <w:pPr>
        <w:ind w:left="920" w:right="500" w:firstLine="421"/>
        <w:spacing w:after="0" w:line="277" w:lineRule="auto"/>
        <w:tabs>
          <w:tab w:leader="none" w:pos="15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modify or change any provision of the Indenture or the related definitions to affect the ranking of the Notes or any Guarantee in a manner that adversely affects the Holders;</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reduce the percentage of Holders necessary to consent to an amendment, supplement or waiver to the Indenture, the Guarantees or the</w:t>
      </w:r>
    </w:p>
    <w:p>
      <w:pPr>
        <w:spacing w:after="0" w:line="46"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102" w:lineRule="exact"/>
        <w:rPr>
          <w:rFonts w:ascii="Arial" w:cs="Arial" w:eastAsia="Arial" w:hAnsi="Arial"/>
          <w:sz w:val="16"/>
          <w:szCs w:val="16"/>
          <w:color w:val="auto"/>
        </w:rPr>
      </w:pPr>
    </w:p>
    <w:p>
      <w:pPr>
        <w:ind w:left="920" w:right="220" w:firstLine="421"/>
        <w:spacing w:after="0" w:line="342" w:lineRule="auto"/>
        <w:tabs>
          <w:tab w:leader="none" w:pos="159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waive a default in the payment of principal of, or premium, if any, or interest on, any Notes (except a rescission of acceleration of the Notes by the Holders thereof as provided in the Indenture and a waiver of the payment default that resulted from such acceleration);</w:t>
      </w:r>
    </w:p>
    <w:p>
      <w:pPr>
        <w:spacing w:after="0" w:line="15" w:lineRule="exact"/>
        <w:rPr>
          <w:rFonts w:ascii="Arial" w:cs="Arial" w:eastAsia="Arial" w:hAnsi="Arial"/>
          <w:sz w:val="16"/>
          <w:szCs w:val="16"/>
          <w:color w:val="auto"/>
        </w:rPr>
      </w:pPr>
    </w:p>
    <w:p>
      <w:pPr>
        <w:ind w:left="920" w:right="400" w:firstLine="421"/>
        <w:spacing w:after="0" w:line="277" w:lineRule="auto"/>
        <w:tabs>
          <w:tab w:leader="none" w:pos="15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impair the rights of Holders to receive payments of principal of or interest or premium, if any, on the Notes on or after the due date therefor or to institute suit for the enforcement of any payment on the Notes;</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release any Guarantor from any of its obligations under its Guarantee or the Indenture, except as permitted by the Indenture; or</w:t>
      </w:r>
    </w:p>
    <w:p>
      <w:pPr>
        <w:spacing w:after="0" w:line="128" w:lineRule="exact"/>
        <w:rPr>
          <w:rFonts w:ascii="Arial" w:cs="Arial" w:eastAsia="Arial" w:hAnsi="Arial"/>
          <w:sz w:val="17"/>
          <w:szCs w:val="17"/>
          <w:color w:val="auto"/>
        </w:rPr>
      </w:pPr>
    </w:p>
    <w:p>
      <w:pPr>
        <w:ind w:left="1680" w:hanging="339"/>
        <w:spacing w:after="0"/>
        <w:tabs>
          <w:tab w:leader="none" w:pos="16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make any change in these amendment, supplement and waiver provisions.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151" w:name="page152"/>
    <w:bookmarkEnd w:id="151"/>
    <w:p>
      <w:pPr>
        <w:ind w:right="3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shall not be necessary for any Act of Holders under this Section to approve the particular form of any proposed supplemental indenture or waiver, but it shall be sufficient if such Act shall approve the substance thereof.</w:t>
      </w:r>
    </w:p>
    <w:p>
      <w:pPr>
        <w:spacing w:after="0" w:line="170"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After an amendment or supplement under this Section 1002 becomes effective, the Issuer shall send to the Holders a notice briefly describing such amendment or supplement. However, the failure to give such notice to all such Holders, or any defect in the notice, will not impair or affect the validity of the amendment or supplement.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the Indenture, the Trustee shall be entitled to receive, and shall be fully protected in relying upon, an Officer’s Certificate and Opinion of Counsel stating that the execution of such supplemental indenture is authorized or permitted by the Indenture. The Trustee may, but shall not be obligated to, enter into any such supplemental indenture which affects the Trustee’s own rights, duties or immunities under the Indenture or otherwise.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117"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Upon the execution of any supplemental indenture under this Article, the Indenture shall be modified in accordance therewith, and such supplemental indenture shall form a part of the Indenture for all purposes; and every Holder of Notes theretofore or thereafter authenticated and delivered hereunder shall be bound thereby.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Every supplemental indenture executed pursuant to this Article shall conform to the requirements of the Trust Indenture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Reference in Notes to Supplemental Indentures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Notes authenticated and delivered after the execution of any supplemental indenture pursuant to this Article may, and shall if so required by the Trustee, bear a notation in form approved by the Trustee as to any matter provided for in such supplemental indenture. If the Issuer shall so determine, new Notes so modified as to conform, in the opinion of the Trustee and the Issuer, to any such supplemental indenture may be prepared and executed by the Issuer and such new Notes may be authenticated and delivered by the Trustee in exchange for Outstanding Notes.</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ELEVEN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Payment of Principal, Premium, Interest and Additional Amounts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The Issuer covenants and agrees for the benefit of the Holders of the Notes that it will duly and punctually pay the principal of and any premium and interest on the Notes, including any Additional Interest plus any Additional Amounts, in accordance with the terms of the Notes, the Indenture and any applicable Registration Rights Agreement. Principal, premium, if any, and interest will be considered paid on the date due if a Paying Agent, if other than the Issuer or a Subsidiary thereof, holds as of 11:00 a.m., New York City time, on the due date money deposited by the Issuer in immediately available funds and designated for and sufficient to pay all principal, premium, if any, and interest then due.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274" w:right="299" w:bottom="1440" w:gutter="0" w:footer="0" w:header="0"/>
        </w:sectPr>
      </w:pPr>
    </w:p>
    <w:bookmarkStart w:id="152" w:name="page153"/>
    <w:bookmarkEnd w:id="152"/>
    <w:p>
      <w:pPr>
        <w:ind w:right="100" w:firstLine="91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will pay interest (including post-petition interest in any proceeding under any applicable Federal or State bankruptcy, insolvency, reorganization or similar law) on overdue principal and premium, if any, at the interest rate specified in the Notes to the extent lawful; and it will pay interest (including post-petition interest in any proceeding under any applicable Federal or State bankruptcy, insolvency, reorganization or similar law) on overdue installments of interest (without regard to any applicable grace period) at the same rate to the extent lawful.</w:t>
      </w:r>
    </w:p>
    <w:p>
      <w:pPr>
        <w:spacing w:after="0" w:line="171"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 Issuer shall notify the Trustee in writing of the amounts and payment dates of any Additional Interest that may become payable under any Registration Rights Agreement. The Trustee shall not at any time be under any duty or responsibility to any Holder of Notes to determine any Additional Interest, or with respect to the nature, extent or calculation of the amount of Additional Interest owed, or with respect to the method employed in such calculation of Additional Interest.</w:t>
      </w:r>
    </w:p>
    <w:p>
      <w:pPr>
        <w:spacing w:after="0" w:line="187"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color w:val="auto"/>
        </w:rPr>
        <w:t xml:space="preserve">All payments and deliveries made by or on behalf of the Issuer or a Guarantor, or any successor to any of them, under or with respect to the Notes, including, but not limited to payments of principal and interest and any payments under the Guarantees, will be made without withholding or deduction for, or on account of, any present or future taxes, duties, imposts, assessments or governmental charges of whatever nature imposed or levied (including any penalties and interest related thereto) (“Applicable Taxes”) by or within (1) Ireland (meaning Ireland exclusive of Northern Ireland) or Bermuda (or any political subdivision or taxing authority thereof or therein), (2) any jurisdiction in which the Issuer, a Guarantor or any of their respective successors is, for tax purposes, incorporated, organized or resident, or, as a result of activities carried on by the Issuer, a Guarantor or any successor has otherwise created a taxable presence (or any political subdivision or taxing authority thereof or therein) or (3) any jurisdiction (or any political subdivision or taxing authority thereof or therein) from or through which payment on the Notes or under the Guarantees is made by or on behalf of the Issuer or a Guarantor (including the jurisdiction of any Paying Agent) (each jurisdiction described in (1), (2) or (3), as applicable, a “Relevant Taxing Jurisdiction”), unless such withholding or deduction is required by law or by the interpretation or administration thereof. In the event that any such withholding or deduction is so required, the Issuer or the Guarantor, as appropriate, will pay such additional amounts (the “Additional Amounts”) as may be necessary to ensure that the net amount received by the beneficial owners of the Notes after such withholding or deduction (and after deducting any Applicable Taxes on the Additional Amounts) will equal the amounts that would have been received by such holder had no such withholding or deduction been required;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Additional Amounts will be payable:</w:t>
      </w:r>
    </w:p>
    <w:p>
      <w:pPr>
        <w:spacing w:after="0" w:line="185" w:lineRule="exact"/>
        <w:rPr>
          <w:sz w:val="20"/>
          <w:szCs w:val="20"/>
          <w:color w:val="auto"/>
        </w:rPr>
      </w:pPr>
    </w:p>
    <w:p>
      <w:pPr>
        <w:ind w:left="1180" w:hanging="259"/>
        <w:spacing w:after="0"/>
        <w:tabs>
          <w:tab w:leader="none" w:pos="1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for or on account of:</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Applicable Taxes that would not have been imposed but for:</w:t>
      </w:r>
    </w:p>
    <w:p>
      <w:pPr>
        <w:spacing w:after="0" w:line="117" w:lineRule="exact"/>
        <w:rPr>
          <w:rFonts w:ascii="Arial" w:cs="Arial" w:eastAsia="Arial" w:hAnsi="Arial"/>
          <w:sz w:val="18"/>
          <w:szCs w:val="18"/>
          <w:color w:val="auto"/>
        </w:rPr>
      </w:pPr>
    </w:p>
    <w:p>
      <w:pPr>
        <w:ind w:left="1500" w:firstLine="389"/>
        <w:spacing w:after="0" w:line="272" w:lineRule="auto"/>
        <w:tabs>
          <w:tab w:leader="none" w:pos="2112" w:val="left"/>
        </w:tabs>
        <w:numPr>
          <w:ilvl w:val="2"/>
          <w:numId w:val="140"/>
        </w:numPr>
        <w:rPr>
          <w:rFonts w:ascii="Arial" w:cs="Arial" w:eastAsia="Arial" w:hAnsi="Arial"/>
          <w:sz w:val="17"/>
          <w:szCs w:val="17"/>
          <w:color w:val="auto"/>
        </w:rPr>
      </w:pPr>
      <w:r>
        <w:rPr>
          <w:rFonts w:ascii="Arial" w:cs="Arial" w:eastAsia="Arial" w:hAnsi="Arial"/>
          <w:sz w:val="17"/>
          <w:szCs w:val="17"/>
          <w:color w:val="auto"/>
        </w:rPr>
        <w:t>the existence of any present or former connection between the relevant Holder (or a fiduciary, settlor, beneficiary, member, partner or shareholder of, or possessor of power over, the relevant Holder, if the relevant Holder is an estate, nominee, trust, partnership, limited liability company or corporation) or beneficial owner of such Note and the Relevant Taxing Jurisdiction (other than merely acquiring or holding such Note or the receipt of payments or the exercise or enforcement of rights under the Notes or the Guarantees) including, without limitation, such Holder or beneficial owner being or having been a national, domiciliary or resident of, or incorporated in, such Relevant Taxing Jurisdiction or treated as a resident thereof or being or having been physically present or engaged in a trade or business therein or having or having had a permanent establishment therein;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4" w:right="259" w:bottom="1440" w:gutter="0" w:footer="0" w:header="0"/>
        </w:sectPr>
      </w:pPr>
    </w:p>
    <w:bookmarkStart w:id="153" w:name="page154"/>
    <w:bookmarkEnd w:id="153"/>
    <w:p>
      <w:pPr>
        <w:jc w:val="both"/>
        <w:ind w:left="1480" w:right="100" w:firstLine="389"/>
        <w:spacing w:after="0" w:line="259" w:lineRule="auto"/>
        <w:tabs>
          <w:tab w:leader="none" w:pos="2142" w:val="left"/>
        </w:tabs>
        <w:numPr>
          <w:ilvl w:val="2"/>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presentation of such Note (in cases in which presentation is required) more than 30 days after the later of the date on which the payment on such Note became due and payable pursuant to the terms thereof or was made or duly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for (except to the extent that the Holder or beneficial owner would have been entitled to Additional Amounts had the Note been presented on the last day of such 30-day period); or</w:t>
      </w:r>
    </w:p>
    <w:p>
      <w:pPr>
        <w:spacing w:after="0" w:line="78" w:lineRule="exact"/>
        <w:rPr>
          <w:rFonts w:ascii="Arial" w:cs="Arial" w:eastAsia="Arial" w:hAnsi="Arial"/>
          <w:sz w:val="18"/>
          <w:szCs w:val="18"/>
          <w:color w:val="auto"/>
        </w:rPr>
      </w:pPr>
    </w:p>
    <w:p>
      <w:pPr>
        <w:ind w:left="1480" w:right="160" w:firstLine="389"/>
        <w:spacing w:after="0" w:line="273" w:lineRule="auto"/>
        <w:tabs>
          <w:tab w:leader="none" w:pos="2192" w:val="left"/>
        </w:tabs>
        <w:numPr>
          <w:ilvl w:val="2"/>
          <w:numId w:val="141"/>
        </w:numPr>
        <w:rPr>
          <w:rFonts w:ascii="Arial" w:cs="Arial" w:eastAsia="Arial" w:hAnsi="Arial"/>
          <w:sz w:val="17"/>
          <w:szCs w:val="17"/>
          <w:color w:val="auto"/>
        </w:rPr>
      </w:pPr>
      <w:r>
        <w:rPr>
          <w:rFonts w:ascii="Arial" w:cs="Arial" w:eastAsia="Arial" w:hAnsi="Arial"/>
          <w:sz w:val="17"/>
          <w:szCs w:val="17"/>
          <w:color w:val="auto"/>
        </w:rPr>
        <w:t xml:space="preserve">the failure of the Holder or beneficial owner to provide a declaration of non-residence or other similar claim or certification concerning nationality, residency or identity or other similar form for exemption or to present any applicable form or certificate that is required or imposed by statute, treaty, regulation or administrative practice, in each case, within a reasonable period of time following a reasonable written request from 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Holder or beneficial owner is legally entitled to provide such declaration, claim form or certificate and that upon the making of such declaration or claim or presentation of such form or certificate, the Holder or beneficial owner would have been able to avoid such deduction or withholding;</w:t>
      </w:r>
    </w:p>
    <w:p>
      <w:pPr>
        <w:spacing w:after="0" w:line="70" w:lineRule="exact"/>
        <w:rPr>
          <w:rFonts w:ascii="Arial" w:cs="Arial" w:eastAsia="Arial" w:hAnsi="Arial"/>
          <w:sz w:val="17"/>
          <w:szCs w:val="17"/>
          <w:color w:val="auto"/>
        </w:rPr>
      </w:pPr>
    </w:p>
    <w:p>
      <w:pPr>
        <w:ind w:left="1580" w:hanging="259"/>
        <w:spacing w:after="0"/>
        <w:tabs>
          <w:tab w:leader="none" w:pos="15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estate, inheritance, gift, sale, transfer, personal property or similar Applicable Taxes;</w:t>
      </w:r>
    </w:p>
    <w:p>
      <w:pPr>
        <w:spacing w:after="0" w:line="117" w:lineRule="exact"/>
        <w:rPr>
          <w:rFonts w:ascii="Arial" w:cs="Arial" w:eastAsia="Arial" w:hAnsi="Arial"/>
          <w:sz w:val="18"/>
          <w:szCs w:val="18"/>
          <w:color w:val="auto"/>
        </w:rPr>
      </w:pPr>
    </w:p>
    <w:p>
      <w:pPr>
        <w:ind w:left="900" w:right="100" w:firstLine="421"/>
        <w:spacing w:after="0" w:line="277" w:lineRule="auto"/>
        <w:tabs>
          <w:tab w:leader="none" w:pos="156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Applicable Taxes that are payable otherwise than by withholding or deduction from payments under or with respect to the Notes or the Guarantees;</w:t>
      </w:r>
    </w:p>
    <w:p>
      <w:pPr>
        <w:spacing w:after="0" w:line="62" w:lineRule="exact"/>
        <w:rPr>
          <w:rFonts w:ascii="Arial" w:cs="Arial" w:eastAsia="Arial" w:hAnsi="Arial"/>
          <w:sz w:val="18"/>
          <w:szCs w:val="18"/>
          <w:color w:val="auto"/>
        </w:rPr>
      </w:pPr>
    </w:p>
    <w:p>
      <w:pPr>
        <w:ind w:left="900" w:right="420" w:firstLine="421"/>
        <w:spacing w:after="0" w:line="342" w:lineRule="auto"/>
        <w:tabs>
          <w:tab w:leader="none" w:pos="1575" w:val="left"/>
        </w:tabs>
        <w:numPr>
          <w:ilvl w:val="1"/>
          <w:numId w:val="142"/>
        </w:numPr>
        <w:rPr>
          <w:rFonts w:ascii="Arial" w:cs="Arial" w:eastAsia="Arial" w:hAnsi="Arial"/>
          <w:sz w:val="16"/>
          <w:szCs w:val="16"/>
          <w:color w:val="auto"/>
        </w:rPr>
      </w:pPr>
      <w:r>
        <w:rPr>
          <w:rFonts w:ascii="Arial" w:cs="Arial" w:eastAsia="Arial" w:hAnsi="Arial"/>
          <w:sz w:val="16"/>
          <w:szCs w:val="16"/>
          <w:color w:val="auto"/>
        </w:rPr>
        <w:t>any taxes payable by or on behalf of a Holder who would have been able to avoid such withholding or deduction by presenting the Notes or request for payment under the Guarantees to another Paying Agent designated by the Issuer pursuant to the Indenture; and</w:t>
      </w:r>
    </w:p>
    <w:p>
      <w:pPr>
        <w:spacing w:after="0" w:line="15" w:lineRule="exact"/>
        <w:rPr>
          <w:rFonts w:ascii="Arial" w:cs="Arial" w:eastAsia="Arial" w:hAnsi="Arial"/>
          <w:sz w:val="16"/>
          <w:szCs w:val="16"/>
          <w:color w:val="auto"/>
        </w:rPr>
      </w:pPr>
    </w:p>
    <w:p>
      <w:pPr>
        <w:ind w:left="1560" w:hanging="239"/>
        <w:spacing w:after="0"/>
        <w:tabs>
          <w:tab w:leader="none" w:pos="15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combination of Applicable Taxes referred to in the preceding clauses (a), (b), (c) and (d);</w:t>
      </w:r>
    </w:p>
    <w:p>
      <w:pPr>
        <w:spacing w:after="0" w:line="117" w:lineRule="exact"/>
        <w:rPr>
          <w:rFonts w:ascii="Arial" w:cs="Arial" w:eastAsia="Arial" w:hAnsi="Arial"/>
          <w:sz w:val="18"/>
          <w:szCs w:val="18"/>
          <w:color w:val="auto"/>
        </w:rPr>
      </w:pPr>
    </w:p>
    <w:p>
      <w:pPr>
        <w:ind w:left="-20" w:right="80" w:firstLine="921"/>
        <w:spacing w:after="0" w:line="259" w:lineRule="auto"/>
        <w:tabs>
          <w:tab w:leader="none" w:pos="114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the Holder is a fiduciary, partnership or person other than the sole beneficial owner of that payment, to the extent that the relevant payment would be required under the laws of the Relevant Taxing Jurisdiction to be included for tax purposes in the income of a beneficiary or settlor with respect to the fiduciary, a member of that partnership or a beneficial owner who would not have been entitled to such Additional Amounts had that beneficiary, settlor, partner or beneficial owner been the Holder thereof;</w:t>
      </w:r>
    </w:p>
    <w:p>
      <w:pPr>
        <w:spacing w:after="0" w:line="78" w:lineRule="exact"/>
        <w:rPr>
          <w:rFonts w:ascii="Arial" w:cs="Arial" w:eastAsia="Arial" w:hAnsi="Arial"/>
          <w:sz w:val="18"/>
          <w:szCs w:val="18"/>
          <w:color w:val="auto"/>
        </w:rPr>
      </w:pPr>
    </w:p>
    <w:p>
      <w:pPr>
        <w:ind w:left="-20" w:right="20" w:firstLine="921"/>
        <w:spacing w:after="0" w:line="259" w:lineRule="auto"/>
        <w:tabs>
          <w:tab w:leader="none" w:pos="114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final withholding tax withheld by a Swiss bank or similar Swiss financial institution (a “Swiss Financial Institution”) that is imposed with respect to a Holder of a Note through an account with a Swiss Financial Institution, to the extent that such withholding tax would not have been imposed, if such holder had not voluntarily opted for imposition of such withholding tax in lieu of disclosure that would otherwise be required under a bilateral tax cooperation agreement between Switzerland and the country in which the holder is tax resident; and</w:t>
      </w:r>
    </w:p>
    <w:p>
      <w:pPr>
        <w:spacing w:after="0" w:line="78" w:lineRule="exact"/>
        <w:rPr>
          <w:rFonts w:ascii="Arial" w:cs="Arial" w:eastAsia="Arial" w:hAnsi="Arial"/>
          <w:sz w:val="18"/>
          <w:szCs w:val="18"/>
          <w:color w:val="auto"/>
        </w:rPr>
      </w:pPr>
    </w:p>
    <w:p>
      <w:pPr>
        <w:ind w:left="-20" w:firstLine="921"/>
        <w:spacing w:after="0" w:line="259" w:lineRule="auto"/>
        <w:tabs>
          <w:tab w:leader="none" w:pos="114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taxes imposed pursuant to Sections 1471 through 1474 of the U.S. Internal Revenue Code of 1986 (the “Code”) and any amended or successor version that is substantively comparable and not materially more onerous to comply with, any current or future regulations or official interpretations thereof, any agreements entered into pursuant to Section 1471(b)(1) of the Code, or any law or regulation implementing an intergovernmental agreement between a non-U.S. jurisdiction and the United States with respect to the foregoing.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60" w:top="274" w:right="239" w:bottom="1440" w:gutter="0" w:footer="0" w:header="0"/>
        </w:sectPr>
      </w:pPr>
    </w:p>
    <w:bookmarkStart w:id="154" w:name="page155"/>
    <w:bookmarkEnd w:id="154"/>
    <w:p>
      <w:pPr>
        <w:ind w:right="100"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 foregoing, the Issuer will also pay and indemnify the Holder for any present or future stamp, issue, registration, value added, court or documentary taxes, or any other excise or property taxes, charges or similar levies or taxes (including penalties, interest and any other reasonable expenses related thereto) which are levied by any Relevant Taxing Jurisdiction (“Transfer Taxes”) on the execution, delivery, registration or enforcement of any of the Notes, the Indenture or any other document or instrument referred to therein or the receipt of payments with respect thereto (subject to the exclusions described above, other than the exclusion described in clause 1(c) of this Section 1101). For the avoidance of doubt, the indemnification provided in this paragraph shall not include any Transfer Taxes or stamp duty arising from the transfer of Notes between Holders (including the transfer from an initial purchaser of the Notes to subsequent Holders) as well as any Transfer Taxes or stamp duty arising due to an exchange offer pursuant to a Registration Rights Agreement or in the ordinary course after the Issue Date.</w:t>
      </w:r>
    </w:p>
    <w:p>
      <w:pPr>
        <w:spacing w:after="0" w:line="179"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If, after the date of the Offering Memorandum, the Issuer or a Guarantor becomes obligated to pay Additional Amounts with respect to any payment under or with respect to the Notes, the Issuer will deliver to the Trustee on a date that is at least 30 days prior to the date of that payment (unless the obligation to pay Additional Amounts arises after the 30th day prior to that payment date, in which case the Issuer will notify the Trustee promptly thereafter) an Officer’s Certificate stating the fact that Additional Amounts will be payable and the amount estimated to be so payable. The Officer’s Certificate must also set forth any other information reasonably necessary to enable the Paying Agent to pay Additional Amounts to Holders on the relevant payment date. The Trustee shall be entitled to rely solely on such Officer’s Certificate as conclusive proof that such payments are necessary. The Issuer will provide the Trustee with satisfactory documentation evidencing the payment of Additional Amounts.</w:t>
      </w:r>
    </w:p>
    <w:p>
      <w:pPr>
        <w:spacing w:after="0" w:line="178"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The Issuer or the Guarantors, as appropriate, will make all withholdings and deductions required by law and will remit the full amount deducted or withheld to the relevant tax authority in accordance with applicable law. Upon request, the Issuer will provide to the Trustee an official receipt or, if official receipts are not obtainable, other satisfactory documentation evidencing the payment of any Applicable Taxes so deducted or withheld. Upon written request, copies of those receipts or other documentation, as the case may be, will be made available by the Trustee to the Holders of the Notes.</w:t>
      </w:r>
    </w:p>
    <w:p>
      <w:pPr>
        <w:spacing w:after="0" w:line="154"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Whenever there is mentioned in the Indenture or the Notes in any context the payment of interest on any Note or any other amount payable with respect to such Note, such mention shall be deemed to include payment of Additional Amounts provided for in this Section 1101 to the extent that, in such context, Additional Amounts are, were or would be payable in respect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The Issuer will maintain, in the City and State of New York and in any other Place of Payment, an office or agency where Notes may be presented or surrendered for payment, and it will maintain an office or agency in the continental United States where Notes may be surrendered for registration of transfer or exchange and where notices and demands to or upon the Issuer in respect of the Notes and the Indenture may be served. The Issuer will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 and the Issuer hereby appoints the Trustee as its agent to receive all such presentations, surrenders, notices and demands. The Issuer hereby irrevocably designates as a Place of Payment for the Notes the City and State of New York, and initially appoints Deutsche Bank Trust Company Americas at its Corporate Trust Office as the Issuer’s office or agency in such city where the Notes may be presented or surrendered for payment.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155" w:name="page156"/>
    <w:bookmarkEnd w:id="155"/>
    <w:p>
      <w:pPr>
        <w:ind w:right="2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Issuer or any Subsidiary may act as Registrar or Paying Agent. The Issuer may also from time to time designate one or more other offices or agencies where the Notes may be presented or surrendered for any or all such purposes and may from time to time rescind such designations, in each case without notice to the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Issuer will maintain a Paying Agent and Registrar in the City and State of New York so long as any Notes are Outstanding. The Issuer will give prompt written notice to the Trustee of any such designation or rescission and of any change in the location of any such other office or agency.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Money for Notes Payments to Be Held in Trust</w:t>
      </w:r>
      <w:r>
        <w:rPr>
          <w:rFonts w:ascii="Arial" w:cs="Arial" w:eastAsia="Arial" w:hAnsi="Arial"/>
          <w:sz w:val="18"/>
          <w:szCs w:val="18"/>
          <w:color w:val="auto"/>
        </w:rPr>
        <w:t>.</w:t>
      </w:r>
    </w:p>
    <w:p>
      <w:pPr>
        <w:spacing w:after="0" w:line="117"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If the Issuer or any Subsidiary shall at any time act as its own Paying Agent, it will, before 11:00 a.m., New York City time, on each due date of the principal of or any premium or interest on any of the Notes,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Whenever the Issuer shall have one or more Paying Agents for the Notes, it will, prior to 11:00 a.m., New York City time, on each due date of the principal of or any premium or interest on the Notes, deposit with a Paying Agent a sum sufficient to pay such amount, such sum to be held as provided by the Trust Indenture Act, and (unless such Paying Agent is the Trustee) the Issuer will promptly notify the Trustee of its action or failure so to act.</w:t>
      </w:r>
    </w:p>
    <w:p>
      <w:pPr>
        <w:spacing w:after="0" w:line="14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The Issuer will cause each Paying Agent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Issuer or any other obligor upon the Notes in the making of any payment in respect of the Notes, upon the written request of the Trustee, forthwith pay to the Trustee all sums held in trust by such Paying Agent for payment in respect of the Notes.</w:t>
      </w:r>
    </w:p>
    <w:p>
      <w:pPr>
        <w:spacing w:after="0" w:line="18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Issuer may at any time, for the purpose of obtaining the satisfaction and discharge of the Indenture or for any other purpose, pay, or by Issuer Order direct any Paying Agent to pay, to the Trustee all sums held in trust by the Issuer or such Paying Agent, such sums to be held by the Trustee upon the same trusts as those upon which such sums were held by the Issuer or such Paying Agent; and, upon such payment by any Paying Agent to the Trustee, such Paying Agent shall be released from all further liability with respect to such money.</w:t>
      </w:r>
    </w:p>
    <w:p>
      <w:pPr>
        <w:spacing w:after="0" w:line="18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 xml:space="preserve">Any money deposited with the Trustee or any Paying Agent, or then held by the Issuer or a Subsidiary, in trust for the payment of the principal of or any premium or interest on the Notes and remaining unclaimed for two years after such principal, premium or interest has become due and payable shall be paid to the Issuer on Issuer Request, or (if then held by the Issuer) shall be discharged from such trust; and the Holder of such Notes shall thereafter, as an unsecured general creditor, look only to the Issuer for payment thereof, and all liability of the Trustee or such Paying Agent with respect to such trust money, and all liability of the Issuer as trustee thereof, shall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there are then Outstanding any Notes not in global form, the Trustee or such Paying Agent, before being required to make any such repayment, may at the expense of the Issuer cause to be published once, in a newspaper published in the English language, customarily published on each Business Day and of general circulation in the City and State of New York notice that such money remains unclaimed and that, after a date specified therein, which shall not be less than 30 days from the date of such publication, any unclaimed balance of such money then remaining will be repaid to the Issuer.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1104. </w:t>
      </w:r>
      <w:r>
        <w:rPr>
          <w:rFonts w:ascii="Arial" w:cs="Arial" w:eastAsia="Arial" w:hAnsi="Arial"/>
          <w:sz w:val="18"/>
          <w:szCs w:val="18"/>
          <w:u w:val="single" w:color="auto"/>
          <w:color w:val="auto"/>
        </w:rPr>
        <w:t>Annual Compliance Certificate; Statement by Officers as to Default</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73" w:lineRule="auto"/>
        <w:tabs>
          <w:tab w:leader="none" w:pos="115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Issuer shall deliver to the Trustee within 120 days after the end of each fiscal year of the Issuer ending after the Issue Date an Officer’s Certificate signed by the principal executive officer, the principal accounting officer or the principal financial officer of the Issuer, stating that a review of the activities of the Parent Guarantor and its Restricted Subsidiaries during the preceding fiscal year has been made under the supervision of the signing Officer with a view to determining whether each of the Issuer and the Guarantors has performed its obligations under the Indenture, and further stating whether or not the signers know of any Default or Event of Default that occurred during such period. If they do, the certificate shall describe such Default or Event of Default, its status and what action the Issuer is taking or proposes to take with respect thereto.</w:t>
      </w:r>
    </w:p>
    <w:p>
      <w:pPr>
        <w:spacing w:after="0" w:line="70" w:lineRule="exact"/>
        <w:rPr>
          <w:rFonts w:ascii="Arial" w:cs="Arial" w:eastAsia="Arial" w:hAnsi="Arial"/>
          <w:sz w:val="17"/>
          <w:szCs w:val="17"/>
          <w:color w:val="auto"/>
        </w:rPr>
      </w:pPr>
    </w:p>
    <w:p>
      <w:pPr>
        <w:ind w:right="320" w:firstLine="921"/>
        <w:spacing w:after="0" w:line="342" w:lineRule="auto"/>
        <w:tabs>
          <w:tab w:leader="none" w:pos="116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Issuer shall, so long as any Note is Outstanding, deliver to the Trustee within 30 days after the occurrence of a Default, written notice (which need not be an Officer’s Certificate) specifying such Default, and what action the Issuer is taking or proposes to take with respect thereto.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Existence</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Subject to Article Nine, the Issuer and each Guarantor will do or cause to be done all things necessary to preserve and keep in full force and effect its existence, rights (charter and statutory) and franchises;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Issuer and, if applicable, the Guarantors shall not be required to preserve any such right or franchise if the Board of Directors shall determine that the preservation thereof is no longer desirable in the conduct of the business of the Issuer or such Guarantor, as the case may be.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Limitation on Designation of Unrestricted Subsidiaries</w:t>
      </w:r>
      <w:r>
        <w:rPr>
          <w:rFonts w:ascii="Arial" w:cs="Arial" w:eastAsia="Arial" w:hAnsi="Arial"/>
          <w:sz w:val="18"/>
          <w:szCs w:val="18"/>
          <w:color w:val="auto"/>
        </w:rPr>
        <w:t>.</w:t>
      </w:r>
    </w:p>
    <w:p>
      <w:pPr>
        <w:spacing w:after="0" w:line="11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The Board of Directors of the Parent Guarantor may designate any Subsidiary (including any newly formed or newly acquired Subsidiary or a Person becoming a Subsidiary through merger or consolidation or Investment therein) of the Parent Guarantor as an “Unrestricted Subsidiary” under the Indenture (a “Designation”) only if:</w:t>
      </w:r>
    </w:p>
    <w:p>
      <w:pPr>
        <w:spacing w:after="0" w:line="73" w:lineRule="exact"/>
        <w:rPr>
          <w:sz w:val="20"/>
          <w:szCs w:val="20"/>
          <w:color w:val="auto"/>
        </w:rPr>
      </w:pPr>
    </w:p>
    <w:p>
      <w:pPr>
        <w:ind w:left="1600" w:hanging="259"/>
        <w:spacing w:after="0"/>
        <w:tabs>
          <w:tab w:leader="none" w:pos="16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or after giving effect to such Designation; and</w:t>
      </w:r>
    </w:p>
    <w:p>
      <w:pPr>
        <w:spacing w:after="0" w:line="117" w:lineRule="exact"/>
        <w:rPr>
          <w:rFonts w:ascii="Arial" w:cs="Arial" w:eastAsia="Arial" w:hAnsi="Arial"/>
          <w:sz w:val="18"/>
          <w:szCs w:val="18"/>
          <w:color w:val="auto"/>
        </w:rPr>
      </w:pPr>
    </w:p>
    <w:p>
      <w:pPr>
        <w:jc w:val="both"/>
        <w:ind w:left="920" w:right="420" w:firstLine="421"/>
        <w:spacing w:after="0" w:line="264" w:lineRule="auto"/>
        <w:tabs>
          <w:tab w:leader="none" w:pos="15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Parent Guarantor would be permitted to make, at the time of such Designation, (a) a Permitted Investment or (b) an Investment pursuant to Section 1109, in either case, in an amount (the “Designation Amount”) equal to the Fair Market Value of the Parent Guarantor’s proportionate interest in such Subsidiary on such date.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Subsidiary shall be Designated as an “Unrestricted Subsidiary” unless:</w:t>
      </w:r>
    </w:p>
    <w:p>
      <w:pPr>
        <w:spacing w:after="0" w:line="117" w:lineRule="exact"/>
        <w:rPr>
          <w:sz w:val="20"/>
          <w:szCs w:val="20"/>
          <w:color w:val="auto"/>
        </w:rPr>
      </w:pPr>
    </w:p>
    <w:p>
      <w:pPr>
        <w:ind w:left="920" w:firstLine="421"/>
        <w:spacing w:after="0" w:line="297" w:lineRule="auto"/>
        <w:tabs>
          <w:tab w:leader="none" w:pos="159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all of the Indebtedness of such Subsidiary and its Subsidiaries shall, at the date of Designation, consist of Non-Recourse Debt, except for any guarantee given solely to support the pledge by the Parent Guarantor or any Restricted Subsidiary of the Equity Interests of such Unrestricted Subsidiary, which guarantee is not recourse to the Parent Guarantor or any Restricted Subsidiary, and except for any guarantee of Indebtedness of such Subsidiary by the Parent Guarantor or a Restricted Subsidiary that is permitted as both an incurrence of Indebtedness and an Investment (in each case in an amount equal to the amount of such Indebtedness so guaranteed) permitted by Section 1108;</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157" w:name="page158"/>
    <w:bookmarkEnd w:id="157"/>
    <w:p>
      <w:pPr>
        <w:ind w:left="920" w:right="140" w:firstLine="421"/>
        <w:spacing w:after="0" w:line="257" w:lineRule="auto"/>
        <w:tabs>
          <w:tab w:leader="none" w:pos="1595"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date such Subsidiary is Designated an Unrestricted Subsidiary, such Subsidiary is not party to any agreement, contract, arrangement or understanding (other than a guarantee permitted under clause (1) above) with the Parent Guarantor or any Restricted Subsidiary unless the terms of the agreement, contract, arrangement or understanding are not materially less favorable to the Parent Guarantor or the Restricted Subsidiary than those that could reasonably be expected to have been obtained at the time from Persons who are not Affiliates of the Parent Guarantor; and</w:t>
      </w:r>
    </w:p>
    <w:p>
      <w:pPr>
        <w:spacing w:after="0" w:line="80" w:lineRule="exact"/>
        <w:rPr>
          <w:rFonts w:ascii="Arial" w:cs="Arial" w:eastAsia="Arial" w:hAnsi="Arial"/>
          <w:sz w:val="18"/>
          <w:szCs w:val="18"/>
          <w:color w:val="auto"/>
        </w:rPr>
      </w:pPr>
    </w:p>
    <w:p>
      <w:pPr>
        <w:ind w:left="920" w:right="20" w:firstLine="421"/>
        <w:spacing w:after="0" w:line="255" w:lineRule="auto"/>
        <w:tabs>
          <w:tab w:leader="none" w:pos="159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such Subsidiary is a Person with respect to which neither the Parent Guarantor nor any of its Restricted Subsidiaries has any direct or indirect obligation (a) to subscribe for additional Equity Interests of such Person or (b) to maintain or preserve the Person’s financial condition or to cause the Person to achieve any specified levels of operating results (in each case other than a guarantee permitted under clause (1) above) (it being understood that any contractual arrangements between the Parent Guarantor or any of its Restricted Subsidiaries and such Subsidiary pursuant to which such Subsidiary sells products or provides services to the Parent Guarantor or such Restricted Subsidiary in the ordinary course of business are not included in this clause (3)).</w:t>
      </w:r>
    </w:p>
    <w:p>
      <w:pPr>
        <w:spacing w:after="0" w:line="193"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Any such Designation by the Board of Directors of the Parent Guarantor shall be evidenced to the Trustee by filing with the Trustee a Board Resolution of the Parent Guarantor giving effect to such Designation and an Officer’s Certificate certifying that such Designation complies with the foregoing conditions. If, at any time, any Unrestricted Subsidiary fails to meet the preceding requirements as an Unrestricted Subsidiary, it shall thereafter cease to be an Unrestricted Subsidiary for purposes of the Indenture and any Indebtedness of the Subsidiary and any Liens on assets of such Subsidiary shall be deemed to be incurred by a Restricted Subsidiary at such time and, if the Indebtedness is not permitted to be incurred under Section 1108 or the Lien is not permitted under Section 1110, the Parent Guarantor shall be in default of the applicable covenant.</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Board of Directors of the Parent Guarantor may redesignate an Unrestricted Subsidiary as a Restricted Subsidiary (a “Redesignation”) only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103" w:lineRule="exact"/>
        <w:rPr>
          <w:sz w:val="20"/>
          <w:szCs w:val="20"/>
          <w:color w:val="auto"/>
        </w:rPr>
      </w:pPr>
    </w:p>
    <w:p>
      <w:pPr>
        <w:ind w:left="1600" w:hanging="259"/>
        <w:spacing w:after="0"/>
        <w:tabs>
          <w:tab w:leader="none" w:pos="16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and after giving effect to such Redesignation; and</w:t>
      </w:r>
    </w:p>
    <w:p>
      <w:pPr>
        <w:spacing w:after="0" w:line="117" w:lineRule="exact"/>
        <w:rPr>
          <w:rFonts w:ascii="Arial" w:cs="Arial" w:eastAsia="Arial" w:hAnsi="Arial"/>
          <w:sz w:val="18"/>
          <w:szCs w:val="18"/>
          <w:color w:val="auto"/>
        </w:rPr>
      </w:pPr>
    </w:p>
    <w:p>
      <w:pPr>
        <w:ind w:left="920" w:right="40" w:firstLine="421"/>
        <w:spacing w:after="0" w:line="308" w:lineRule="auto"/>
        <w:tabs>
          <w:tab w:leader="none" w:pos="159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all Liens, Indebtedness and Investments of such Unrestricted Subsidiary outstanding immediately following such Redesignation would, if incurred or made at such time, have been permitted to be incurred or made for all purposes of the Indenture.</w:t>
      </w:r>
    </w:p>
    <w:p>
      <w:pPr>
        <w:spacing w:after="0" w:line="14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Any such Redesignation shall be evidenced to the Trustee by filing with the Trustee a Board Resolution of the Parent Guarantor giving effect to such designation and an Officer’s Certificate certifying that such Redesignation complies with the foregoing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Purchase of Notes Upon a Change of Control</w:t>
      </w:r>
      <w:r>
        <w:rPr>
          <w:rFonts w:ascii="Arial" w:cs="Arial" w:eastAsia="Arial" w:hAnsi="Arial"/>
          <w:sz w:val="18"/>
          <w:szCs w:val="18"/>
          <w:color w:val="auto"/>
        </w:rPr>
        <w:t>.</w:t>
      </w:r>
    </w:p>
    <w:p>
      <w:pPr>
        <w:spacing w:after="0" w:line="117" w:lineRule="exact"/>
        <w:rPr>
          <w:sz w:val="20"/>
          <w:szCs w:val="20"/>
          <w:color w:val="auto"/>
        </w:rPr>
      </w:pPr>
    </w:p>
    <w:p>
      <w:pPr>
        <w:jc w:val="both"/>
        <w:ind w:right="60" w:firstLine="913"/>
        <w:spacing w:after="0" w:line="302" w:lineRule="auto"/>
        <w:rPr>
          <w:sz w:val="20"/>
          <w:szCs w:val="20"/>
          <w:color w:val="auto"/>
        </w:rPr>
      </w:pPr>
      <w:r>
        <w:rPr>
          <w:rFonts w:ascii="Arial" w:cs="Arial" w:eastAsia="Arial" w:hAnsi="Arial"/>
          <w:sz w:val="16"/>
          <w:szCs w:val="16"/>
          <w:color w:val="auto"/>
        </w:rPr>
        <w:t>Upon the occurrence of a Change of Control Triggering Event, unless the Issuer has previously or concurrently exercised its right to redeem all of the Notes under Section 1203, each Holder of Notes will have the right, except as provided below, to require that the Issuer purchase all or any part (equal to $2,000 or an integral multiple of $1,000 in excess thereof) of that Holder’s Notes for a cash price equal to 101.0% of the aggregate principal amount of the Notes to be purchased, plus accrued and unpaid interest, if any, thereon to the date of purchase (the “Change of Control Payment”).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4" w:right="259" w:bottom="1440" w:gutter="0" w:footer="0" w:header="0"/>
        </w:sectPr>
      </w:pPr>
    </w:p>
    <w:bookmarkStart w:id="158" w:name="page159"/>
    <w:bookmarkEnd w:id="158"/>
    <w:p>
      <w:pPr>
        <w:ind w:right="1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later than 30 days following any Change of Control Triggering Event, the Issuer will deliver, or cause to be delivered, to the Holders, with a copy to the Trustee, a notice:</w:t>
      </w:r>
    </w:p>
    <w:p>
      <w:pPr>
        <w:spacing w:after="0" w:line="62" w:lineRule="exact"/>
        <w:rPr>
          <w:sz w:val="20"/>
          <w:szCs w:val="20"/>
          <w:color w:val="auto"/>
        </w:rPr>
      </w:pPr>
    </w:p>
    <w:p>
      <w:pPr>
        <w:ind w:left="1600" w:hanging="259"/>
        <w:spacing w:after="0"/>
        <w:tabs>
          <w:tab w:leader="none" w:pos="16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describing the transaction or transactions that constitute the Change of Control Triggering Event;</w:t>
      </w:r>
    </w:p>
    <w:p>
      <w:pPr>
        <w:spacing w:after="0" w:line="117" w:lineRule="exact"/>
        <w:rPr>
          <w:rFonts w:ascii="Arial" w:cs="Arial" w:eastAsia="Arial" w:hAnsi="Arial"/>
          <w:sz w:val="18"/>
          <w:szCs w:val="18"/>
          <w:color w:val="auto"/>
        </w:rPr>
      </w:pPr>
    </w:p>
    <w:p>
      <w:pPr>
        <w:jc w:val="both"/>
        <w:ind w:left="920" w:right="40" w:firstLine="421"/>
        <w:spacing w:after="0" w:line="257" w:lineRule="auto"/>
        <w:tabs>
          <w:tab w:leader="none" w:pos="159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offering to purchase, pursuant to the procedures required by the Indenture and described in the notice (a “Change of Control Offer”), on a date specified in the notice, which shall be a Business Day not earlier than 30 days, nor later than 60 days, from the date the notice is delivered (the “Change of Control Payment Date”), and for the Change of Control Payment, all Notes that are properly tendered by such Holder pursuant to such Change of Control Offer prior to 5:00 p.m., New York City time, on the second Business Day preceding the Change of Control Payment Date; and</w:t>
      </w:r>
    </w:p>
    <w:p>
      <w:pPr>
        <w:spacing w:after="0" w:line="80" w:lineRule="exact"/>
        <w:rPr>
          <w:rFonts w:ascii="Arial" w:cs="Arial" w:eastAsia="Arial" w:hAnsi="Arial"/>
          <w:sz w:val="18"/>
          <w:szCs w:val="18"/>
          <w:color w:val="auto"/>
        </w:rPr>
      </w:pPr>
    </w:p>
    <w:p>
      <w:pPr>
        <w:ind w:left="920" w:right="120" w:firstLine="421"/>
        <w:spacing w:after="0" w:line="277" w:lineRule="auto"/>
        <w:tabs>
          <w:tab w:leader="none" w:pos="159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describing the procedures, as determined by the Issuer, consistent with the Indenture, that Holders must follow to accept the Change of Control Offer.</w:t>
      </w:r>
    </w:p>
    <w:p>
      <w:pPr>
        <w:spacing w:after="0" w:line="170"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On or before the Change of Control Payment Date, the Issuer will, to the extent lawful, deposit with the Paying Agent an amount equal to the Change of Control Payment in respect of the Notes or portions of Notes properly tendered.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 the Change of Control Payment Date, the Issuer will, to the extent lawful:</w:t>
      </w:r>
    </w:p>
    <w:p>
      <w:pPr>
        <w:spacing w:after="0" w:line="117" w:lineRule="exact"/>
        <w:rPr>
          <w:sz w:val="20"/>
          <w:szCs w:val="20"/>
          <w:color w:val="auto"/>
        </w:rPr>
      </w:pPr>
    </w:p>
    <w:p>
      <w:pPr>
        <w:ind w:left="920" w:right="600" w:firstLine="421"/>
        <w:spacing w:after="0" w:line="277" w:lineRule="auto"/>
        <w:tabs>
          <w:tab w:leader="none" w:pos="159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(of $2,000 or integral multiples of $1,000 in excess thereof) properly tendered pursuant to the Change of Control Offer; and</w:t>
      </w:r>
    </w:p>
    <w:p>
      <w:pPr>
        <w:spacing w:after="0" w:line="62" w:lineRule="exact"/>
        <w:rPr>
          <w:rFonts w:ascii="Arial" w:cs="Arial" w:eastAsia="Arial" w:hAnsi="Arial"/>
          <w:sz w:val="18"/>
          <w:szCs w:val="18"/>
          <w:color w:val="auto"/>
        </w:rPr>
      </w:pPr>
    </w:p>
    <w:p>
      <w:pPr>
        <w:ind w:left="920" w:firstLine="421"/>
        <w:spacing w:after="0" w:line="277" w:lineRule="auto"/>
        <w:tabs>
          <w:tab w:leader="none" w:pos="159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of Notes being purchased by the Issuer.</w:t>
      </w:r>
    </w:p>
    <w:p>
      <w:pPr>
        <w:spacing w:after="0" w:line="1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The Paying Agent will promptly deliver to each Holder who has so tendered Notes the Change of Control Payment for such Notes, and the Trustee will promptly authenticate and mail (or cause to be transferred by book-entry) to each Holder a new Note equal in principal amount to any unpurchased portion of the Notes so tendered,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principal amount of $2,000 or integral multiples of $1,000 in excess thereof.</w:t>
      </w:r>
    </w:p>
    <w:p>
      <w:pPr>
        <w:spacing w:after="0" w:line="18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If the Change of Control Payment Date is on or after an interest record date and on or before the related Interest Payment Date, any accrued and unpaid interest, if any, will be paid on the relevant Interest Payment Date to the Person in whose name a Note is registered at the close of business on such record date.</w:t>
      </w:r>
    </w:p>
    <w:p>
      <w:pPr>
        <w:spacing w:after="0" w:line="181" w:lineRule="exact"/>
        <w:rPr>
          <w:sz w:val="20"/>
          <w:szCs w:val="20"/>
          <w:color w:val="auto"/>
        </w:rPr>
      </w:pPr>
    </w:p>
    <w:p>
      <w:pPr>
        <w:ind w:right="380" w:firstLine="913"/>
        <w:spacing w:after="0" w:line="308" w:lineRule="auto"/>
        <w:rPr>
          <w:sz w:val="20"/>
          <w:szCs w:val="20"/>
          <w:color w:val="auto"/>
        </w:rPr>
      </w:pPr>
      <w:r>
        <w:rPr>
          <w:rFonts w:ascii="Arial" w:cs="Arial" w:eastAsia="Arial" w:hAnsi="Arial"/>
          <w:sz w:val="17"/>
          <w:szCs w:val="17"/>
          <w:color w:val="auto"/>
        </w:rPr>
        <w:t>A Change of Control Offer will be required to remain open for at least 20 Business Days or for such longer period as is required by law. The Issuer will publicly announce the results of the Change of Control Offer on or as soon as practicable after the date of purchase.</w:t>
      </w:r>
    </w:p>
    <w:p>
      <w:pPr>
        <w:spacing w:after="0" w:line="147" w:lineRule="exact"/>
        <w:rPr>
          <w:sz w:val="20"/>
          <w:szCs w:val="20"/>
          <w:color w:val="auto"/>
        </w:rPr>
      </w:pPr>
    </w:p>
    <w:p>
      <w:pPr>
        <w:ind w:right="260" w:firstLine="913"/>
        <w:spacing w:after="0" w:line="342" w:lineRule="auto"/>
        <w:rPr>
          <w:sz w:val="20"/>
          <w:szCs w:val="20"/>
          <w:color w:val="auto"/>
        </w:rPr>
      </w:pPr>
      <w:r>
        <w:rPr>
          <w:rFonts w:ascii="Arial" w:cs="Arial" w:eastAsia="Arial" w:hAnsi="Arial"/>
          <w:sz w:val="16"/>
          <w:szCs w:val="16"/>
          <w:color w:val="auto"/>
        </w:rPr>
        <w:t>The Issuer will not be required to make a Change of Control Offer upon a Change of Control Triggering Event if (i) a third party makes the Change of Control Offer in the manner, at the times and otherwise in compliance with the requirements set forth in the Indenture applicable to a Change of</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4" w:right="239" w:bottom="1440" w:gutter="0" w:footer="0" w:header="0"/>
        </w:sectPr>
      </w:pPr>
    </w:p>
    <w:bookmarkStart w:id="159" w:name="page160"/>
    <w:bookmarkEnd w:id="159"/>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Control Offer made by the Issuer and purchases all Notes properly tendered and not withdrawn under such Change of Control Offer or (ii) the Issuer has given notice of the redemption of all of the Notes then Outstanding under Section 1203, unless and until there is a default in the payment of the applicable Redemption Price.</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If Holders of not less than 95.0% in aggregate principal amount of the Outstanding Notes validly tender and do not withdraw such Notes in a Change of Control Offer and the Issuer, or any third party making a Change of Control Offer in lieu of the Issuer as described above, purchases all of the Notes validly tendered and not withdrawn by such Holders, the Issuer will have the right, upon not less than 30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price, accrued and unpaid interest, if any, to the date of redemption.</w:t>
      </w:r>
    </w:p>
    <w:p>
      <w:pPr>
        <w:spacing w:after="0" w:line="193"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The Issuer will comply with all applicable securities legislation in the United States, including, without limitation, the requirements of Rule 14e-1 under the Exchange Act and any other applicable laws and regulations in connection with the purchase of Notes pursuant to a Change of Control Offer. To the extent that the provisions of any applicable securities laws or regulations conflict with this Section 1107, the Issuer shall comply with the applicable securities laws and regulations and will not be deemed to have breached its obligations under this Section 1107 by virtue of such compliance.</w:t>
      </w:r>
    </w:p>
    <w:p>
      <w:pPr>
        <w:spacing w:after="0" w:line="154"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Notwithstanding anything to the contrary contained herein, a Change of Control Offer may be made in advance of a Change of Control Triggering Event, conditional upon such Change of Control Triggering Event, if a definitive agreement is in place for the Change of Control at the time of making of the Change of Control Offer.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u w:val="single" w:color="auto"/>
          <w:color w:val="auto"/>
        </w:rPr>
        <w:t>Limitation on Additional Indebtedness</w:t>
      </w:r>
      <w:r>
        <w:rPr>
          <w:rFonts w:ascii="Arial" w:cs="Arial" w:eastAsia="Arial" w:hAnsi="Arial"/>
          <w:sz w:val="18"/>
          <w:szCs w:val="18"/>
          <w:color w:val="auto"/>
        </w:rPr>
        <w:t>.</w:t>
      </w:r>
    </w:p>
    <w:p>
      <w:pPr>
        <w:spacing w:after="0" w:line="117"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 xml:space="preserve">The Parent Guarantor will not, and will not permit any Restricted Subsidiary to, directly or indirectly, incur any Indebtedness (including Acquired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Parent Guarantor or any Restricted Subsidiary may incur additional Indebtedness (including Acquired Indebtedness), in each case, if, after giving effect thereto on a pro forma basis (including giving pro forma effect to the application of the proceeds thereof), the Parent Guarantor’s Consolidated Interest Coverage Ratio would be at least 2.00 to 1.00 (the “Coverage Ratio Exception”).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Notwithstanding the above, each of the following incurrences of Indebtedness shall be permitted (the “Permitted Indebtedness”):</w:t>
      </w:r>
    </w:p>
    <w:p>
      <w:pPr>
        <w:spacing w:after="0" w:line="117" w:lineRule="exact"/>
        <w:rPr>
          <w:sz w:val="20"/>
          <w:szCs w:val="20"/>
          <w:color w:val="auto"/>
        </w:rPr>
      </w:pPr>
    </w:p>
    <w:p>
      <w:pPr>
        <w:ind w:left="920" w:right="40" w:firstLine="421"/>
        <w:spacing w:after="0" w:line="279" w:lineRule="auto"/>
        <w:tabs>
          <w:tab w:leader="none" w:pos="159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Indebtedness of the Parent Guarantor or any Restricted Subsidiary under one or more Credit Facilities in an aggregate principal amount at any time outstanding, including the issuance and creation of letters of credit and bankers’ acceptances thereunder (with letters of credit and bankers’ acceptances being deemed to have a principal amount equal to the face amount thereof) not to exceed the greater of (i) $2,000.0 million or (ii)17.5% of the Parent Guarantor’s Consolidated Tangible Assets determined at the time of incurrence;</w:t>
      </w:r>
    </w:p>
    <w:p>
      <w:pPr>
        <w:spacing w:after="0" w:line="63" w:lineRule="exact"/>
        <w:rPr>
          <w:rFonts w:ascii="Arial" w:cs="Arial" w:eastAsia="Arial" w:hAnsi="Arial"/>
          <w:sz w:val="17"/>
          <w:szCs w:val="17"/>
          <w:color w:val="auto"/>
        </w:rPr>
      </w:pPr>
    </w:p>
    <w:p>
      <w:pPr>
        <w:ind w:left="920" w:right="660" w:firstLine="421"/>
        <w:spacing w:after="0" w:line="277" w:lineRule="auto"/>
        <w:tabs>
          <w:tab w:leader="none" w:pos="159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Indebtedness under (a) the Notes issued on the Issue Date, (b) the Guarantees of the Notes, (c) any Exchange Notes and (d) the Guarantees of any Exchange Notes;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4" w:right="259" w:bottom="1440" w:gutter="0" w:footer="0" w:header="0"/>
        </w:sectPr>
      </w:pPr>
    </w:p>
    <w:bookmarkStart w:id="160" w:name="page161"/>
    <w:bookmarkEnd w:id="160"/>
    <w:p>
      <w:pPr>
        <w:ind w:left="-280" w:firstLine="421"/>
        <w:spacing w:after="0" w:line="277" w:lineRule="auto"/>
        <w:tabs>
          <w:tab w:leader="none" w:pos="395"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Indebtedness of the Parent Guarantor and its Restricted Subsidiaries to the extent outstanding on the Issue Date (other than Indebtedness referred to in clauses (1), (2) and (6) of this paragraph);</w:t>
      </w:r>
    </w:p>
    <w:p>
      <w:pPr>
        <w:spacing w:after="0" w:line="62" w:lineRule="exact"/>
        <w:rPr>
          <w:rFonts w:ascii="Arial" w:cs="Arial" w:eastAsia="Arial" w:hAnsi="Arial"/>
          <w:sz w:val="18"/>
          <w:szCs w:val="18"/>
          <w:color w:val="auto"/>
        </w:rPr>
      </w:pPr>
    </w:p>
    <w:p>
      <w:pPr>
        <w:ind w:left="-280" w:right="60" w:firstLine="421"/>
        <w:spacing w:after="0" w:line="259" w:lineRule="auto"/>
        <w:tabs>
          <w:tab w:leader="none" w:pos="39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(a) guarantees by the Issuer or any Guarantor of Indebtedness permitted to be incurred in accordance with the provisions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such Indebtedness that is being guaranteed is Subordinated Indebtedness, then the related guarantee shall be subordinated in right of payment to the Notes or the Guarantees, as the case may be, and (b) guarantees of Indebtedness incurred by Restricted Subsidiaries that are not Guarantors;</w:t>
      </w:r>
    </w:p>
    <w:p>
      <w:pPr>
        <w:spacing w:after="0" w:line="78" w:lineRule="exact"/>
        <w:rPr>
          <w:rFonts w:ascii="Arial" w:cs="Arial" w:eastAsia="Arial" w:hAnsi="Arial"/>
          <w:sz w:val="18"/>
          <w:szCs w:val="18"/>
          <w:color w:val="auto"/>
        </w:rPr>
      </w:pPr>
    </w:p>
    <w:p>
      <w:pPr>
        <w:ind w:left="-280" w:right="680" w:firstLine="421"/>
        <w:spacing w:after="0" w:line="277" w:lineRule="auto"/>
        <w:tabs>
          <w:tab w:leader="none" w:pos="39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Indebtedness under Hedging Obligations entered into for bona fide hedging purposes of the Parent Guarantor or any Restricted Subsidiary and not for the purpose of speculation;</w:t>
      </w:r>
    </w:p>
    <w:p>
      <w:pPr>
        <w:spacing w:after="0" w:line="62" w:lineRule="exact"/>
        <w:rPr>
          <w:rFonts w:ascii="Arial" w:cs="Arial" w:eastAsia="Arial" w:hAnsi="Arial"/>
          <w:sz w:val="18"/>
          <w:szCs w:val="18"/>
          <w:color w:val="auto"/>
        </w:rPr>
      </w:pPr>
    </w:p>
    <w:p>
      <w:pPr>
        <w:ind w:left="-280" w:firstLine="421"/>
        <w:spacing w:after="0" w:line="297" w:lineRule="auto"/>
        <w:tabs>
          <w:tab w:leader="none" w:pos="39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Indebtedness of the Parent Guarantor owed to and held by a Restricted Subsidiary and Indebtedness of any Restricted Subsidiary owed to and held by the Parent Guarantor or any other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any subsequent issuance or transfer of Equity Interests or any other event which results in any such Indebtedness being held by a Person other than the Parent Guarantor or any other Restricted Subsidiary and (ii) any sale or other transfer of any such Indebtedness to a Person other than the Parent Guarantor or any other Restricted Subsidiary shall be deemed, in each case of this proviso, to constitute an incurrence of such Indebtedness not permitted by this clause (6);</w:t>
      </w:r>
    </w:p>
    <w:p>
      <w:pPr>
        <w:spacing w:after="0" w:line="50" w:lineRule="exact"/>
        <w:rPr>
          <w:rFonts w:ascii="Arial" w:cs="Arial" w:eastAsia="Arial" w:hAnsi="Arial"/>
          <w:sz w:val="16"/>
          <w:szCs w:val="16"/>
          <w:color w:val="auto"/>
        </w:rPr>
      </w:pPr>
    </w:p>
    <w:p>
      <w:pPr>
        <w:ind w:left="-280" w:right="40" w:firstLine="421"/>
        <w:spacing w:after="0" w:line="291" w:lineRule="auto"/>
        <w:tabs>
          <w:tab w:leader="none" w:pos="39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Indebtedness of the Parent Guarantor or any Restricted Subsidiary in respect of workers’ compensation claims, bank guarantees, warehouse receipt or similar facilities, property, casualty or liability insurance, take-or-pay obligations in supply arrangements, self-insurance obligations or completion, performance, bid performance, appeal, customs, advance payment or surety bonds or similar instruments in the ordinary course of business, including guarantees or obligations with respect to letters of credit supporting such workers’ compensation claims, bank guarantees, warehouse receipt or similar facilities, property, casualty or liability insurance, and letters of credit supporting performance or other obligations of the Parent Guarantor or any Restricted Subsidiary, take-or-pay obligations in supply arrangements, self-insurance obligations or completion, performance, bid performance, appeal, customs, advance payment or surety bonds or similar instruments;</w:t>
      </w:r>
    </w:p>
    <w:p>
      <w:pPr>
        <w:spacing w:after="0" w:line="59" w:lineRule="exact"/>
        <w:rPr>
          <w:rFonts w:ascii="Arial" w:cs="Arial" w:eastAsia="Arial" w:hAnsi="Arial"/>
          <w:sz w:val="16"/>
          <w:szCs w:val="16"/>
          <w:color w:val="auto"/>
        </w:rPr>
      </w:pPr>
    </w:p>
    <w:p>
      <w:pPr>
        <w:ind w:left="-280" w:right="20" w:firstLine="421"/>
        <w:spacing w:after="0" w:line="286" w:lineRule="auto"/>
        <w:tabs>
          <w:tab w:leader="none" w:pos="39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Purchase Money Indebtedness incurred by the Parent Guarantor or any Restricted Subsidiary after the Issue Date in an aggregate principal amount, taken together with Refinancing Indebtedness in respect thereof, not to exceed at any time outstanding the greater of (a) $500.0 million or (b) 5.0% of the Parent Guarantor’s Consolidated Tangible Assets determined at the time of incurrence;</w:t>
      </w:r>
    </w:p>
    <w:p>
      <w:pPr>
        <w:spacing w:after="0" w:line="57" w:lineRule="exact"/>
        <w:rPr>
          <w:rFonts w:ascii="Arial" w:cs="Arial" w:eastAsia="Arial" w:hAnsi="Arial"/>
          <w:sz w:val="17"/>
          <w:szCs w:val="17"/>
          <w:color w:val="auto"/>
        </w:rPr>
      </w:pPr>
    </w:p>
    <w:p>
      <w:pPr>
        <w:ind w:left="-280" w:right="40" w:firstLine="421"/>
        <w:spacing w:after="0" w:line="277" w:lineRule="auto"/>
        <w:tabs>
          <w:tab w:leader="none" w:pos="39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arising from the honoring by a bank or other financial institution of a check, draft or similar instrument drawn against insufficient funds in the ordinary course of business;</w:t>
      </w:r>
    </w:p>
    <w:p>
      <w:pPr>
        <w:spacing w:after="0" w:line="62" w:lineRule="exact"/>
        <w:rPr>
          <w:rFonts w:ascii="Arial" w:cs="Arial" w:eastAsia="Arial" w:hAnsi="Arial"/>
          <w:sz w:val="18"/>
          <w:szCs w:val="18"/>
          <w:color w:val="auto"/>
        </w:rPr>
      </w:pPr>
    </w:p>
    <w:p>
      <w:pPr>
        <w:ind w:left="-280" w:right="180" w:firstLine="421"/>
        <w:spacing w:after="0" w:line="277" w:lineRule="auto"/>
        <w:tabs>
          <w:tab w:leader="none" w:pos="48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arising in connection with endorsement of instruments for deposit in the ordinary course of business;</w:t>
      </w:r>
    </w:p>
    <w:p>
      <w:pPr>
        <w:spacing w:after="0" w:line="62" w:lineRule="exact"/>
        <w:rPr>
          <w:rFonts w:ascii="Arial" w:cs="Arial" w:eastAsia="Arial" w:hAnsi="Arial"/>
          <w:sz w:val="18"/>
          <w:szCs w:val="18"/>
          <w:color w:val="auto"/>
        </w:rPr>
      </w:pPr>
    </w:p>
    <w:p>
      <w:pPr>
        <w:ind w:left="-280" w:right="780" w:firstLine="421"/>
        <w:spacing w:after="0" w:line="308" w:lineRule="auto"/>
        <w:tabs>
          <w:tab w:leader="none" w:pos="47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Refinancing Indebtedness with respect to Indebtedness incurred pursuant to the Coverage Ratio Exception or with respect to Indebtedness incurred pursuant to clause (2), (3) or (8) above, this clause (11), or clause (13) or (15) below;</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220"/>
          </w:cols>
          <w:pgMar w:left="1440" w:top="274" w:right="239" w:bottom="1440" w:gutter="0" w:footer="0" w:header="0"/>
        </w:sectPr>
      </w:pPr>
    </w:p>
    <w:bookmarkStart w:id="161" w:name="page162"/>
    <w:bookmarkEnd w:id="161"/>
    <w:p>
      <w:pPr>
        <w:jc w:val="both"/>
        <w:ind w:left="920" w:right="80" w:firstLine="421"/>
        <w:spacing w:after="0" w:line="259" w:lineRule="auto"/>
        <w:tabs>
          <w:tab w:leader="none" w:pos="16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adjustment of purchase price, earn-out or similar obligations, in each case, incurred or assumed in connection with the acquisition or disposition of any business or assets of the Parent Guarantor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w:t>
      </w:r>
    </w:p>
    <w:p>
      <w:pPr>
        <w:spacing w:after="0" w:line="78" w:lineRule="exact"/>
        <w:rPr>
          <w:rFonts w:ascii="Arial" w:cs="Arial" w:eastAsia="Arial" w:hAnsi="Arial"/>
          <w:sz w:val="18"/>
          <w:szCs w:val="18"/>
          <w:color w:val="auto"/>
        </w:rPr>
      </w:pPr>
    </w:p>
    <w:p>
      <w:pPr>
        <w:ind w:left="920" w:right="160" w:firstLine="421"/>
        <w:spacing w:after="0" w:line="259" w:lineRule="auto"/>
        <w:tabs>
          <w:tab w:leader="none" w:pos="16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additional Indebtedness of the Parent Guarantor or any Restricted Subsidiary in an aggregate principal amount which, when taken together with the principal amount of all other Indebtedness incurred pursuant to this clause (13) and any Refinancing Indebtedness thereof and then outstanding, will not exceed the greater of (a) $600.0 million or (b) 6.0% of the Parent Guarantor’s Consolidated Tangible Assets determined at the time of incurrence;</w:t>
      </w:r>
    </w:p>
    <w:p>
      <w:pPr>
        <w:spacing w:after="0" w:line="78" w:lineRule="exact"/>
        <w:rPr>
          <w:rFonts w:ascii="Arial" w:cs="Arial" w:eastAsia="Arial" w:hAnsi="Arial"/>
          <w:sz w:val="18"/>
          <w:szCs w:val="18"/>
          <w:color w:val="auto"/>
        </w:rPr>
      </w:pPr>
    </w:p>
    <w:p>
      <w:pPr>
        <w:ind w:left="1680" w:hanging="339"/>
        <w:spacing w:after="0"/>
        <w:tabs>
          <w:tab w:leader="none" w:pos="16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Indebtedness in respect of Specified Cash Management Agreements entered into in the ordinary course of business;</w:t>
      </w:r>
    </w:p>
    <w:p>
      <w:pPr>
        <w:spacing w:after="0" w:line="117" w:lineRule="exact"/>
        <w:rPr>
          <w:rFonts w:ascii="Arial" w:cs="Arial" w:eastAsia="Arial" w:hAnsi="Arial"/>
          <w:sz w:val="18"/>
          <w:szCs w:val="18"/>
          <w:color w:val="auto"/>
        </w:rPr>
      </w:pPr>
    </w:p>
    <w:p>
      <w:pPr>
        <w:ind w:left="920" w:right="620" w:firstLine="421"/>
        <w:spacing w:after="0" w:line="277" w:lineRule="auto"/>
        <w:tabs>
          <w:tab w:leader="none" w:pos="16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Indebtedness incurred in connection with a Permitted Factoring Transaction that is not recourse to the Parent Guarantor or any Restricted Subsidiary (except for Standard Securitization Undertakings); and</w:t>
      </w:r>
    </w:p>
    <w:p>
      <w:pPr>
        <w:spacing w:after="0" w:line="62" w:lineRule="exact"/>
        <w:rPr>
          <w:rFonts w:ascii="Arial" w:cs="Arial" w:eastAsia="Arial" w:hAnsi="Arial"/>
          <w:sz w:val="18"/>
          <w:szCs w:val="18"/>
          <w:color w:val="auto"/>
        </w:rPr>
      </w:pPr>
    </w:p>
    <w:p>
      <w:pPr>
        <w:ind w:left="920" w:firstLine="421"/>
        <w:spacing w:after="0" w:line="290" w:lineRule="auto"/>
        <w:tabs>
          <w:tab w:leader="none" w:pos="168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Indebtedness of Persons incurred and outstanding on the date on which such Person was acquired by the Parent Guarantor or any Restricted Subsidiary, or merged or consolidated with or into the Parent Guarantor or any Restricted Subsidiary (other than Indebtedness incurred in connection with, or in contemplation of, such acquisition, merger or consolidation);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the time such Person or its assets are acquired by the Parent Guarantor or a Restricted Subsidiary, or merged or consolidated with the Parent Guarantor or any Restricted Subsidiary and after giving pro forma effect to the incurrence of such Indebtedness pursuant to this clause (16) and any other related Indebtedness, either (i) the Parent Guarantor would have been able to incur $1.00 of additional Indebtedness pursuant to the Coverage Ratio Exception; or (ii) the Consolidated Interest Coverage Ratio of the Parent Guarantor and its Restricted Subsidiaries would be greater than or equal to such Consolidated Interest Coverage Ratio immediately prior to such acquisition, merger or consolidation.</w:t>
      </w:r>
    </w:p>
    <w:p>
      <w:pPr>
        <w:spacing w:after="0" w:line="166"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For purposes of determining compliance with this Section 1108, in the event that an item of Indebtedness meets the criteria of more than one of the categories of Permitted Indebtedness described in clauses (1) through (16) above or is entitled to be incurred pursuant to the Coverage Ratio Exception, the Parent Guarantor shall, in its sole discretion, classify such item of Indebtedness and may divide and classify such Indebtedness in more than one of the types of Indebtedness described (except that Indebtedness incurred under the Credit Agreement on the Issue Date, after giving effect to the application of the proceeds of this offering, shall be deemed to have been incurred under clause (1) above and may not be reclassified) and may later reclassify any item of Indebtedness described in clauses (2) through (16)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reclassification it meets the criteria in such category or categories). In addition, for purposes of determining any particular amount of Indebtedness under this covenant, (i) guarantees, Liens or letter of credit obligations supporting Indebtedness otherwise included in the determination of such particular amount shall not be included so long as incurred by a Person that could have incurred such Indebtedness and (ii) the amount of Indebtedness issued at a price that is less than the principal amount thereof will be equal to the amount of the liability in respect thereof determined in accordance with GAAP.</w:t>
      </w:r>
    </w:p>
    <w:p>
      <w:pPr>
        <w:spacing w:after="0" w:line="17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The accrual of interest, the accretion or amortization of original issue discount and the payment of interest on any Indebtedness in the form of additional Indebtedness with the same terms will not be deemed to be an incurrence of Indebtedness of this Section 1108; </w:t>
      </w:r>
      <w:r>
        <w:rPr>
          <w:rFonts w:ascii="Arial" w:cs="Arial" w:eastAsia="Arial" w:hAnsi="Arial"/>
          <w:sz w:val="18"/>
          <w:szCs w:val="18"/>
          <w:i w:val="1"/>
          <w:iCs w:val="1"/>
          <w:color w:val="auto"/>
        </w:rPr>
        <w:t>provided</w:t>
      </w:r>
      <w:r>
        <w:rPr>
          <w:rFonts w:ascii="Arial" w:cs="Arial" w:eastAsia="Arial" w:hAnsi="Arial"/>
          <w:sz w:val="18"/>
          <w:szCs w:val="18"/>
          <w:color w:val="auto"/>
        </w:rPr>
        <w:t>, in each such case, that the amount thereof is included in Consolidated Interest Expense of the Parent Guarantor as accrued.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74" w:right="259" w:bottom="1440" w:gutter="0" w:footer="0" w:header="0"/>
        </w:sectPr>
      </w:pPr>
    </w:p>
    <w:bookmarkStart w:id="162" w:name="page163"/>
    <w:bookmarkEnd w:id="162"/>
    <w:p>
      <w:pPr>
        <w:ind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purposes of determining compliance with any U.S. dollar-denominated restriction on the incurrence of Indebtedness denominated in a foreign currency, the U.S. dollar-equivalent principal amount of such Indebtedness incurred pursuant thereto shall be calculated based on the relevant currency exchange rate in effect on the earlier of the date that such Indebtedness was incurred, in the case of term Indebtedness, or first committed, in the case of revolving credit Indebtedness; provided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16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If at any time an Unrestricted Subsidiary becomes a Restricted Subsidiary, any Indebtedness of such Subsidiary shall be deemed to be incurred by a Restricted Subsidiary as of such date (and, if such Indebtedness is not permitted to be incurred as of such date under this Section 1108, the Issuer shall be in Default of this covenant).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Limitation on Restricted Payments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Parent Guarantor will not, and will not permit any Restricted Subsidiary to, directly or indirectly, make any Restricted Payment if at the time of such Restricted Payment:</w:t>
      </w:r>
    </w:p>
    <w:p>
      <w:pPr>
        <w:spacing w:after="0" w:line="62" w:lineRule="exact"/>
        <w:rPr>
          <w:sz w:val="20"/>
          <w:szCs w:val="20"/>
          <w:color w:val="auto"/>
        </w:rPr>
      </w:pPr>
    </w:p>
    <w:p>
      <w:pPr>
        <w:ind w:left="1600" w:hanging="259"/>
        <w:spacing w:after="0"/>
        <w:tabs>
          <w:tab w:leader="none" w:pos="16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Default shall have occurred and be continuing or shall occur as a consequence thereof;</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Parent Guarantor is not able to incur at least $1.00 of additional Indebtedness pursuant to the Coverage Ratio Exception; or</w:t>
      </w:r>
    </w:p>
    <w:p>
      <w:pPr>
        <w:spacing w:after="0" w:line="128" w:lineRule="exact"/>
        <w:rPr>
          <w:rFonts w:ascii="Arial" w:cs="Arial" w:eastAsia="Arial" w:hAnsi="Arial"/>
          <w:sz w:val="17"/>
          <w:szCs w:val="17"/>
          <w:color w:val="auto"/>
        </w:rPr>
      </w:pPr>
    </w:p>
    <w:p>
      <w:pPr>
        <w:ind w:left="920" w:right="20" w:firstLine="421"/>
        <w:spacing w:after="0" w:line="264" w:lineRule="auto"/>
        <w:tabs>
          <w:tab w:leader="none" w:pos="159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amount of such Restricted Payment, when added to the aggregate amount of all other Restricted Payments made after the Issue Date (other than Restricted Payments made pursuant to clauses (2) through (11) of the next paragraph), exceeds the sum (the “Restricted Payments Basket”) of (without duplication):</w:t>
      </w:r>
    </w:p>
    <w:p>
      <w:pPr>
        <w:spacing w:after="0" w:line="73" w:lineRule="exact"/>
        <w:rPr>
          <w:rFonts w:ascii="Arial" w:cs="Arial" w:eastAsia="Arial" w:hAnsi="Arial"/>
          <w:sz w:val="18"/>
          <w:szCs w:val="18"/>
          <w:color w:val="auto"/>
        </w:rPr>
      </w:pPr>
    </w:p>
    <w:p>
      <w:pPr>
        <w:ind w:left="2140" w:hanging="251"/>
        <w:spacing w:after="0"/>
        <w:tabs>
          <w:tab w:leader="none" w:pos="214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50.0% of Consolidated Net Income of the Parent Guarantor and the Restricted Subsidiaries for the period (taken as one</w:t>
      </w:r>
    </w:p>
    <w:p>
      <w:pPr>
        <w:spacing w:after="0" w:line="34" w:lineRule="exact"/>
        <w:rPr>
          <w:rFonts w:ascii="Arial" w:cs="Arial" w:eastAsia="Arial" w:hAnsi="Arial"/>
          <w:sz w:val="17"/>
          <w:szCs w:val="17"/>
          <w:color w:val="auto"/>
        </w:rPr>
      </w:pPr>
    </w:p>
    <w:p>
      <w:pPr>
        <w:ind w:left="1500" w:right="20"/>
        <w:spacing w:after="0" w:line="255" w:lineRule="auto"/>
        <w:rPr>
          <w:rFonts w:ascii="Arial" w:cs="Arial" w:eastAsia="Arial" w:hAnsi="Arial"/>
          <w:sz w:val="17"/>
          <w:szCs w:val="17"/>
          <w:color w:val="auto"/>
        </w:rPr>
      </w:pPr>
      <w:r>
        <w:rPr>
          <w:rFonts w:ascii="Arial" w:cs="Arial" w:eastAsia="Arial" w:hAnsi="Arial"/>
          <w:sz w:val="18"/>
          <w:szCs w:val="18"/>
          <w:color w:val="auto"/>
        </w:rPr>
        <w:t>accounting period) commencing on January 1, 2017 to and including the last day of the fiscal quarter ended immediately prior to the date of such calculation for which consolidated financial statements are available (or, if such Consolidated Net Income shall be a deficit, minus 100.0% of such deficit), plus</w:t>
      </w:r>
    </w:p>
    <w:p>
      <w:pPr>
        <w:spacing w:after="0" w:line="82" w:lineRule="exact"/>
        <w:rPr>
          <w:rFonts w:ascii="Arial" w:cs="Arial" w:eastAsia="Arial" w:hAnsi="Arial"/>
          <w:sz w:val="17"/>
          <w:szCs w:val="17"/>
          <w:color w:val="auto"/>
        </w:rPr>
      </w:pPr>
    </w:p>
    <w:p>
      <w:pPr>
        <w:ind w:left="1500" w:right="40" w:firstLine="389"/>
        <w:spacing w:after="0" w:line="255" w:lineRule="auto"/>
        <w:tabs>
          <w:tab w:leader="none" w:pos="2152" w:val="left"/>
        </w:tabs>
        <w:numPr>
          <w:ilvl w:val="1"/>
          <w:numId w:val="154"/>
        </w:numPr>
        <w:rPr>
          <w:rFonts w:ascii="Arial" w:cs="Arial" w:eastAsia="Arial" w:hAnsi="Arial"/>
          <w:sz w:val="18"/>
          <w:szCs w:val="18"/>
          <w:color w:val="auto"/>
        </w:rPr>
      </w:pPr>
      <w:r>
        <w:rPr>
          <w:rFonts w:ascii="Arial" w:cs="Arial" w:eastAsia="Arial" w:hAnsi="Arial"/>
          <w:sz w:val="18"/>
          <w:szCs w:val="18"/>
          <w:color w:val="auto"/>
        </w:rPr>
        <w:t>100.0% of (A) (i) the aggregate net cash proceeds and (ii) the Fair Market Value of (x) marketable securities (other than marketable securities of the Parent Guarantor), (y) Equity Interests of a Person (other than the Parent Guarantor or a Subsidiary of the Parent Guarantor) engaged in a Permitted Business and (z) other assets used in any Permitted Business, received by the Parent Guarantor or its Restricted Subsidiaries after the Prior Issue Date, in each case as a contribution to the Parent Guarantor’s or its Restricted Subsidiaries’ common equity capital or from the issue or sale of Qualified Equity Interests of the Parent Guarantor or from the issue or sale of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74" w:right="259" w:bottom="1440" w:gutter="0" w:footer="0" w:header="0"/>
        </w:sectPr>
      </w:pPr>
    </w:p>
    <w:bookmarkStart w:id="163" w:name="page164"/>
    <w:bookmarkEnd w:id="163"/>
    <w:p>
      <w:pPr>
        <w:ind w:left="580"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convertible or exchangeable Disqualified Equity Interests of the Parent Guarantor or convertible or exchangeable debt securities of the Parent Guarantor that have been converted into or exchanged for such Qualified Equity Interests (other than Equity Interests or debt securities sold to a Subsidiary of the Parent Guarantor), and (B) the aggregate net cash proceeds, if any, received by the Parent Guarantor or any of its Restricted Subsidiaries upon any conversion or exchange described in clause (A) above, plus</w:t>
      </w:r>
    </w:p>
    <w:p>
      <w:pPr>
        <w:spacing w:after="0" w:line="63" w:lineRule="exact"/>
        <w:rPr>
          <w:sz w:val="20"/>
          <w:szCs w:val="20"/>
          <w:color w:val="auto"/>
        </w:rPr>
      </w:pPr>
    </w:p>
    <w:p>
      <w:pPr>
        <w:ind w:left="580" w:firstLine="389"/>
        <w:spacing w:after="0" w:line="259" w:lineRule="auto"/>
        <w:tabs>
          <w:tab w:leader="none" w:pos="122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the case of the disposition or repayment of or return on any Investment that was treated as a Restricted Payment after the Prior Issue Date, an amount (to the extent not included in the computation of Consolidated Net Income) equal to 100.0% of the aggregate amount received by the Parent Guarantor or any Restricted Subsidiary in cash or other property (valued at the Fair Market Value thereof) as the return of capital with respect to such Investment, plus</w:t>
      </w:r>
    </w:p>
    <w:p>
      <w:pPr>
        <w:spacing w:after="0" w:line="78" w:lineRule="exact"/>
        <w:rPr>
          <w:rFonts w:ascii="Arial" w:cs="Arial" w:eastAsia="Arial" w:hAnsi="Arial"/>
          <w:sz w:val="18"/>
          <w:szCs w:val="18"/>
          <w:color w:val="auto"/>
        </w:rPr>
      </w:pPr>
    </w:p>
    <w:p>
      <w:pPr>
        <w:ind w:left="580" w:right="60" w:firstLine="389"/>
        <w:spacing w:after="0" w:line="257" w:lineRule="auto"/>
        <w:tabs>
          <w:tab w:leader="none" w:pos="123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upon a Redesignation of an Unrestricted Subsidiary as a Restricted Subsidiary, an amount (to the extent not included in the computation of Consolidated Net Income) equal to the lesser of (i) the Fair Market Value of the Parent Guarantor’s proportionate interest in such Subsidiary immediately following such Redesignation, and (ii) the aggregate amount of the Parent Guarantor’s Investments in such Subsidiary to the extent such Investments reduced the Restricted Payments Basket and were not previously repaid or otherwise reduced.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provisions set forth in the immediately preceding paragraph will not prohibit:</w:t>
      </w:r>
    </w:p>
    <w:p>
      <w:pPr>
        <w:spacing w:after="0" w:line="117" w:lineRule="exact"/>
        <w:rPr>
          <w:sz w:val="20"/>
          <w:szCs w:val="20"/>
          <w:color w:val="auto"/>
        </w:rPr>
      </w:pPr>
    </w:p>
    <w:p>
      <w:pPr>
        <w:ind w:right="500" w:firstLine="421"/>
        <w:spacing w:after="0" w:line="264" w:lineRule="auto"/>
        <w:tabs>
          <w:tab w:leader="none" w:pos="67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payment of any dividend or redemption payment or the making of any distribution within 60 days after the date of declaration thereof if, on the date of declaration, the dividend, redemption or distribution payment, as the case may be, would have complied with the provisions of the Indenture;</w:t>
      </w:r>
    </w:p>
    <w:p>
      <w:pPr>
        <w:spacing w:after="0" w:line="73" w:lineRule="exact"/>
        <w:rPr>
          <w:rFonts w:ascii="Arial" w:cs="Arial" w:eastAsia="Arial" w:hAnsi="Arial"/>
          <w:sz w:val="18"/>
          <w:szCs w:val="18"/>
          <w:color w:val="auto"/>
        </w:rPr>
      </w:pPr>
    </w:p>
    <w:p>
      <w:pPr>
        <w:ind w:right="380" w:firstLine="421"/>
        <w:spacing w:after="0" w:line="277" w:lineRule="auto"/>
        <w:tabs>
          <w:tab w:leader="none" w:pos="67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Restricted Payment made in exchange for, or out of the proceeds of, the substantially concurrent issuance and sale of Qualified Equity Interests;</w:t>
      </w:r>
    </w:p>
    <w:p>
      <w:pPr>
        <w:spacing w:after="0" w:line="62" w:lineRule="exact"/>
        <w:rPr>
          <w:rFonts w:ascii="Arial" w:cs="Arial" w:eastAsia="Arial" w:hAnsi="Arial"/>
          <w:sz w:val="18"/>
          <w:szCs w:val="18"/>
          <w:color w:val="auto"/>
        </w:rPr>
      </w:pPr>
    </w:p>
    <w:p>
      <w:pPr>
        <w:ind w:right="120" w:firstLine="421"/>
        <w:spacing w:after="0" w:line="286" w:lineRule="auto"/>
        <w:tabs>
          <w:tab w:leader="none" w:pos="67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purchase, repurchase, redemption, defeasance or other acquisition or retirement for value of Subordinated Indebtedness of the Parent Guarantor or any Restricted Subsidiary in exchange for, or out of the proceeds of, the substantially concurrent incurrence of, Refinancing Indebtedness permitted to be incurred under Section 1108 and the other terms of the Indenture;</w:t>
      </w:r>
    </w:p>
    <w:p>
      <w:pPr>
        <w:spacing w:after="0" w:line="57" w:lineRule="exact"/>
        <w:rPr>
          <w:rFonts w:ascii="Arial" w:cs="Arial" w:eastAsia="Arial" w:hAnsi="Arial"/>
          <w:sz w:val="17"/>
          <w:szCs w:val="17"/>
          <w:color w:val="auto"/>
        </w:rPr>
      </w:pPr>
    </w:p>
    <w:p>
      <w:pPr>
        <w:ind w:right="60" w:firstLine="421"/>
        <w:spacing w:after="0" w:line="255" w:lineRule="auto"/>
        <w:tabs>
          <w:tab w:leader="none" w:pos="67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the purchase, repurchase, redemption, defeasance or other acquisition or retirement for value of Subordinated Indebtedness of the Parent Guarantor or any Restricted Subsidiary at a purchase price not greater than 101.0% of the principal amount of such Subordinated Indebtedness in the event of a Change of Control in accordance with provisions similar to Section 1107;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or simultaneously with such purchase, repurchase, redemption, defeasance or other acquisition or retirement, the Issuer has made the Change of Control Offer as provided in Section 1107 and has completed the repurchase or redemption of all Notes validly tendered for payment in connection with such Change of Control Offer;</w:t>
      </w:r>
    </w:p>
    <w:p>
      <w:pPr>
        <w:spacing w:after="0" w:line="12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500"/>
          </w:cols>
          <w:pgMar w:left="1160" w:top="274" w:right="239" w:bottom="1440" w:gutter="0" w:footer="0" w:header="0"/>
        </w:sectPr>
      </w:pPr>
    </w:p>
    <w:bookmarkStart w:id="164" w:name="page165"/>
    <w:bookmarkEnd w:id="164"/>
    <w:p>
      <w:pPr>
        <w:ind w:firstLine="421"/>
        <w:spacing w:after="0" w:line="283" w:lineRule="auto"/>
        <w:tabs>
          <w:tab w:leader="none" w:pos="675" w:val="left"/>
        </w:tabs>
        <w:numPr>
          <w:ilvl w:val="0"/>
          <w:numId w:val="1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so long as no Default or Event of Default has occurred and is continuing or would result therefrom, the redemption, repurchase or other acquisition or retirement for value of Equity Interests of the Parent Guarantor held by officers, directors or employees or former officers, directors or employees (or their transferees, estates or beneficiaries under their estates), either (x) upon any such individual’s death, disability, retirement, severance or termination of employment or service or (y) pursuant to any equity subscription agreement, stock option agreement, restricted stock agreement, restricted stock unit agreement, stockholders’ agreement or similar agreement; </w:t>
      </w:r>
      <w:r>
        <w:rPr>
          <w:rFonts w:ascii="Arial" w:cs="Arial" w:eastAsia="Arial" w:hAnsi="Arial"/>
          <w:sz w:val="16"/>
          <w:szCs w:val="16"/>
          <w:i w:val="1"/>
          <w:iCs w:val="1"/>
          <w:color w:val="auto"/>
        </w:rPr>
        <w:t>provided</w:t>
      </w:r>
      <w:r>
        <w:rPr>
          <w:rFonts w:ascii="Arial" w:cs="Arial" w:eastAsia="Arial" w:hAnsi="Arial"/>
          <w:sz w:val="16"/>
          <w:szCs w:val="16"/>
          <w:color w:val="auto"/>
        </w:rPr>
        <w:t>, in any case, that the aggregate cash consideration paid for all such redemptions, repurchases or other acquisitions or retirements shall not exceed (A) $50.0 million during any calendar year (with unused amounts in any calendar year being carried forward to the next succeeding calendar year) plus (B) the amount of any net cash proceeds received by or contributed to the Parent Guarantor from the issuance and sale after the Issue Date of Qualified Equity Interests to its officers, directors or employees that have not been applied to the payment of Restricted Payments pursuant to this clause</w:t>
      </w:r>
    </w:p>
    <w:p>
      <w:pPr>
        <w:spacing w:after="0" w:line="6" w:lineRule="exact"/>
        <w:rPr>
          <w:rFonts w:ascii="Arial" w:cs="Arial" w:eastAsia="Arial" w:hAnsi="Arial"/>
          <w:sz w:val="16"/>
          <w:szCs w:val="16"/>
          <w:color w:val="auto"/>
        </w:rPr>
      </w:pPr>
    </w:p>
    <w:p>
      <w:pPr>
        <w:ind w:right="100"/>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(5), plus (C) the net cash proceeds of any “key-man” life insurance policies that have not been applied to the payment of Restricted Payments pursuant to this clause (5);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cancellation of Indebtedness owing to the Parent Guarantor from members of management of the Parent Guarantor or any Restricted Subsidiary in connection with a repurchase of Equity Interests of the Parent Guarantor will not be deemed to constitute a Restricted Payment for purposes of this covenant or any other provision of the Indenture;</w:t>
      </w:r>
    </w:p>
    <w:p>
      <w:pPr>
        <w:spacing w:after="0" w:line="53" w:lineRule="exact"/>
        <w:rPr>
          <w:rFonts w:ascii="Arial" w:cs="Arial" w:eastAsia="Arial" w:hAnsi="Arial"/>
          <w:sz w:val="16"/>
          <w:szCs w:val="16"/>
          <w:color w:val="auto"/>
        </w:rPr>
      </w:pPr>
    </w:p>
    <w:p>
      <w:pPr>
        <w:ind w:firstLine="421"/>
        <w:spacing w:after="0" w:line="255" w:lineRule="auto"/>
        <w:tabs>
          <w:tab w:leader="none" w:pos="67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repurchases, redemptions or other acquisitions or retirements for value of Equity Interests of the Parent Guarantor or its Restricted Subsidiaries deemed to occur upon the exercise of stock options, warrants, rights to acquire Equity Interests of the Parent Guarantor or its Restricted Subsidiaries or other convertible securities to the extent such Equity Interests of the Parent Guarantor or its Restricted Subsidiaries represent a portion of the exercise or exchange price thereof and (b) any repurchase, redemptions or other acquisitions or retirements for value of Equity Interests of the Parent Guarantor or its Restricted Subsidiaries made in lieu of withholding taxes in connection with any exercise or exchange of stock options, warrants or similar rights;</w:t>
      </w:r>
    </w:p>
    <w:p>
      <w:pPr>
        <w:spacing w:after="0" w:line="85" w:lineRule="exact"/>
        <w:rPr>
          <w:rFonts w:ascii="Arial" w:cs="Arial" w:eastAsia="Arial" w:hAnsi="Arial"/>
          <w:sz w:val="18"/>
          <w:szCs w:val="18"/>
          <w:color w:val="auto"/>
        </w:rPr>
      </w:pPr>
    </w:p>
    <w:p>
      <w:pPr>
        <w:ind w:right="300" w:firstLine="421"/>
        <w:spacing w:after="0" w:line="264" w:lineRule="auto"/>
        <w:tabs>
          <w:tab w:leader="none" w:pos="67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dividends or distributions on Disqualified Equity Interests of the Parent Guarantor or on any Preferred Stock of any Restricted Subsidiary, in each case issued in compliance with Section 1108 to the extent such dividends or distributions are included in the definition of Consolidated Interest Expense;</w:t>
      </w:r>
    </w:p>
    <w:p>
      <w:pPr>
        <w:spacing w:after="0" w:line="73" w:lineRule="exact"/>
        <w:rPr>
          <w:rFonts w:ascii="Arial" w:cs="Arial" w:eastAsia="Arial" w:hAnsi="Arial"/>
          <w:sz w:val="18"/>
          <w:szCs w:val="18"/>
          <w:color w:val="auto"/>
        </w:rPr>
      </w:pPr>
    </w:p>
    <w:p>
      <w:pPr>
        <w:ind w:left="680" w:hanging="259"/>
        <w:spacing w:after="0"/>
        <w:tabs>
          <w:tab w:leader="none" w:pos="6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payment of cash in lieu of fractional Equity Interests;</w:t>
      </w:r>
    </w:p>
    <w:p>
      <w:pPr>
        <w:spacing w:after="0" w:line="117" w:lineRule="exact"/>
        <w:rPr>
          <w:rFonts w:ascii="Arial" w:cs="Arial" w:eastAsia="Arial" w:hAnsi="Arial"/>
          <w:sz w:val="18"/>
          <w:szCs w:val="18"/>
          <w:color w:val="auto"/>
        </w:rPr>
      </w:pPr>
    </w:p>
    <w:p>
      <w:pPr>
        <w:ind w:right="780" w:firstLine="421"/>
        <w:spacing w:after="0" w:line="277" w:lineRule="auto"/>
        <w:tabs>
          <w:tab w:leader="none" w:pos="67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payments or distributions to dissenting stockholders pursuant to applicable law in connection with a merger, consolidation or amalgamation that complies with the provisions of Section 901;</w:t>
      </w:r>
    </w:p>
    <w:p>
      <w:pPr>
        <w:spacing w:after="0" w:line="62" w:lineRule="exact"/>
        <w:rPr>
          <w:rFonts w:ascii="Arial" w:cs="Arial" w:eastAsia="Arial" w:hAnsi="Arial"/>
          <w:sz w:val="18"/>
          <w:szCs w:val="18"/>
          <w:color w:val="auto"/>
        </w:rPr>
      </w:pPr>
    </w:p>
    <w:p>
      <w:pPr>
        <w:ind w:right="140" w:firstLine="421"/>
        <w:spacing w:after="0" w:line="277" w:lineRule="auto"/>
        <w:tabs>
          <w:tab w:leader="none" w:pos="76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purchases of receivables pursuant to a Receivables Repurchase Obligation in connection with a Permitted Factoring Transaction and the payment or distribution of fees related thereto;</w:t>
      </w:r>
    </w:p>
    <w:p>
      <w:pPr>
        <w:spacing w:after="0" w:line="62" w:lineRule="exact"/>
        <w:rPr>
          <w:rFonts w:ascii="Arial" w:cs="Arial" w:eastAsia="Arial" w:hAnsi="Arial"/>
          <w:sz w:val="18"/>
          <w:szCs w:val="18"/>
          <w:color w:val="auto"/>
        </w:rPr>
      </w:pPr>
    </w:p>
    <w:p>
      <w:pPr>
        <w:ind w:right="100" w:firstLine="421"/>
        <w:spacing w:after="0" w:line="264" w:lineRule="auto"/>
        <w:tabs>
          <w:tab w:leader="none" w:pos="75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cash distributions by the Parent Guarantor to the holders of Equity Interests of the Parent Guarantor in accordance with a distribution reinvestment plan or dividend reinvestment plan to the extent such payments are applied to the purchase of Equity Interests directly from the Parent Guarantor;</w:t>
      </w:r>
    </w:p>
    <w:p>
      <w:pPr>
        <w:spacing w:after="0" w:line="11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440"/>
          </w:cols>
          <w:pgMar w:left="1160" w:top="274" w:right="299" w:bottom="1440" w:gutter="0" w:footer="0" w:header="0"/>
        </w:sectPr>
      </w:pPr>
    </w:p>
    <w:bookmarkStart w:id="165" w:name="page166"/>
    <w:bookmarkEnd w:id="165"/>
    <w:p>
      <w:pPr>
        <w:ind w:left="1680" w:hanging="339"/>
        <w:spacing w:after="0"/>
        <w:tabs>
          <w:tab w:leader="none" w:pos="1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long as no Default or Event of Default has occurred and is continuing, a Qualified Spin Transaction;</w:t>
      </w:r>
    </w:p>
    <w:p>
      <w:pPr>
        <w:spacing w:after="0" w:line="117" w:lineRule="exact"/>
        <w:rPr>
          <w:rFonts w:ascii="Arial" w:cs="Arial" w:eastAsia="Arial" w:hAnsi="Arial"/>
          <w:sz w:val="18"/>
          <w:szCs w:val="18"/>
          <w:color w:val="auto"/>
        </w:rPr>
      </w:pPr>
    </w:p>
    <w:p>
      <w:pPr>
        <w:ind w:left="920" w:right="240" w:firstLine="421"/>
        <w:spacing w:after="0" w:line="308" w:lineRule="auto"/>
        <w:tabs>
          <w:tab w:leader="none" w:pos="168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payment of other Restricted Payments from time to time in an aggregate amount since the Issue Date not to exceed the greater of (i) $100.0 million or (ii) 2.0% of the Parent Guarantor’s Consolidated Tangible Assets determined at the time made; or</w:t>
      </w:r>
    </w:p>
    <w:p>
      <w:pPr>
        <w:spacing w:after="0" w:line="38" w:lineRule="exact"/>
        <w:rPr>
          <w:rFonts w:ascii="Arial" w:cs="Arial" w:eastAsia="Arial" w:hAnsi="Arial"/>
          <w:sz w:val="17"/>
          <w:szCs w:val="17"/>
          <w:color w:val="auto"/>
        </w:rPr>
      </w:pPr>
    </w:p>
    <w:p>
      <w:pPr>
        <w:ind w:left="920" w:right="340" w:firstLine="421"/>
        <w:spacing w:after="0" w:line="277" w:lineRule="auto"/>
        <w:tabs>
          <w:tab w:leader="none" w:pos="168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dividends, loans, advances or distributions to any Successor Parent or other payments by the Parent Guarantor or any of the Parent Guarantor’s Subsidiaries in amounts required for any Successor Parent to pay any Related Taxes;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issuance and sale of Qualified Equity Interests used to make a payment pursuant to clauses (2) or (5)(B) above shall increase the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Basket to the extent of such payment.</w:t>
      </w:r>
    </w:p>
    <w:p>
      <w:pPr>
        <w:spacing w:after="0" w:line="170"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For the purposes of determining compliance with any U.S. dollar-denominated restriction on Restricted Payments denominated in a foreign currency, the U.S. dollar-equivalent amount of such Restricted Payment shall be calculated based on the relevant currency exchange rate in effect on the date that such Restricted Payment was made. The amount of any Restricted Payment (other than cash) will be the Fair Market Value on the date of the Restricted Payment (or, in the case of a dividend, on the date of declaration) of the assets or securities proposed to be transferred or issued by the Parent Guarantor or a Restricted Subsidiary, as the case may be, pursuant to the Restricted Payment.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Limitation on Liens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 Parent Guarantor will not, nor will it permit any Restricted Subsidiary to, create, assume, incur or suffer to exist any Lien upon any property, whether owned or leased on the Issue Date or thereafter acquired, to secure any Debt of the Parent Guarantor or any other Person (other than the Notes or Debt that is non-recourse to the Parent Guarantor and any of its Restricted Subsidiaries), without in any such case making effective provision whereby all of the Notes then Outstanding shall be secured equally and ratably with, or prior to, such Debt so long as such Debt shall be so secured. This restriction shall not apply to:</w:t>
      </w:r>
    </w:p>
    <w:p>
      <w:pPr>
        <w:spacing w:after="0" w:line="80" w:lineRule="exact"/>
        <w:rPr>
          <w:sz w:val="20"/>
          <w:szCs w:val="20"/>
          <w:color w:val="auto"/>
        </w:rPr>
      </w:pPr>
    </w:p>
    <w:p>
      <w:pPr>
        <w:jc w:val="both"/>
        <w:ind w:left="920" w:firstLine="421"/>
        <w:spacing w:after="0" w:line="342" w:lineRule="auto"/>
        <w:tabs>
          <w:tab w:leader="none" w:pos="159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Liens (i) existing on the Issue Date, (ii) provided for under the terms of agreements existing on such date securing Debt existing on such date or (iii) under the terms of a Credit Facility securing Indebtedness incurred pursuant to clause (1) of the definition of Permitted Indebtedness;</w:t>
      </w:r>
    </w:p>
    <w:p>
      <w:pPr>
        <w:spacing w:after="0" w:line="15" w:lineRule="exact"/>
        <w:rPr>
          <w:rFonts w:ascii="Arial" w:cs="Arial" w:eastAsia="Arial" w:hAnsi="Arial"/>
          <w:sz w:val="16"/>
          <w:szCs w:val="16"/>
          <w:color w:val="auto"/>
        </w:rPr>
      </w:pPr>
    </w:p>
    <w:p>
      <w:pPr>
        <w:ind w:left="1600" w:hanging="259"/>
        <w:spacing w:after="0"/>
        <w:tabs>
          <w:tab w:leader="none" w:pos="16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Liens on current assets to secure current liabilities;</w:t>
      </w:r>
    </w:p>
    <w:p>
      <w:pPr>
        <w:spacing w:after="0" w:line="117" w:lineRule="exact"/>
        <w:rPr>
          <w:rFonts w:ascii="Arial" w:cs="Arial" w:eastAsia="Arial" w:hAnsi="Arial"/>
          <w:sz w:val="18"/>
          <w:szCs w:val="18"/>
          <w:color w:val="auto"/>
        </w:rPr>
      </w:pPr>
    </w:p>
    <w:p>
      <w:pPr>
        <w:ind w:left="920" w:firstLine="421"/>
        <w:spacing w:after="0" w:line="270" w:lineRule="auto"/>
        <w:tabs>
          <w:tab w:leader="none" w:pos="1595"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Liens on property acquired, constructed, altered or improved by the Parent Guarantor or any Restricted Subsidiary after the date of the Indenture which are created or assumed contemporaneously with, or within one year after, such acquisition (or in the case of property constructed, altered or improved, after the completion and commencement of commercial operation of such property, whichever is later) to secure or provide for the payment of any part of the purchase price of such property or the cost of such construction, alteration or improvement, it being understood that if a commitment for such a financing is obtained prior to or within such one year period, the applicable Lien shall be deemed to be included in this clause (3) whether or not such Lien is created within such one year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such construction, alteration or improvement the Lien shall not apply to any property theretofore owned by the Parent Guarantor or any Restricted Subsidiary, other than (i) the property so altered or improved and (ii) any theretofore unimproved real property on which the property so constructed or altered, or the improvement, is located;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166" w:name="page167"/>
    <w:bookmarkEnd w:id="166"/>
    <w:p>
      <w:pPr>
        <w:ind w:left="920" w:right="120" w:firstLine="421"/>
        <w:spacing w:after="0" w:line="259" w:lineRule="auto"/>
        <w:tabs>
          <w:tab w:leader="none" w:pos="1595"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on any property existing at the time of acquisition thereof (including Liens on any property acquired from or held by a Person which is consolidated or amalgamated with or merged with or into the Parent Guarantor or a Restricted Subsidiary) and Liens outstanding at the time any Person becomes a Restricted Subsidiary of the Parent Guarantor that are not incurred in connection with such entity becoming a Restricted Subsidiary of the Parent Guarantor;</w:t>
      </w:r>
    </w:p>
    <w:p>
      <w:pPr>
        <w:spacing w:after="0" w:line="78" w:lineRule="exact"/>
        <w:rPr>
          <w:rFonts w:ascii="Arial" w:cs="Arial" w:eastAsia="Arial" w:hAnsi="Arial"/>
          <w:sz w:val="18"/>
          <w:szCs w:val="18"/>
          <w:color w:val="auto"/>
        </w:rPr>
      </w:pPr>
    </w:p>
    <w:p>
      <w:pPr>
        <w:ind w:left="1600" w:hanging="259"/>
        <w:spacing w:after="0"/>
        <w:tabs>
          <w:tab w:leader="none" w:pos="16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Liens in favor of the Parent Guarantor or any Restricted Subsidiary;</w:t>
      </w:r>
    </w:p>
    <w:p>
      <w:pPr>
        <w:spacing w:after="0" w:line="117" w:lineRule="exact"/>
        <w:rPr>
          <w:rFonts w:ascii="Arial" w:cs="Arial" w:eastAsia="Arial" w:hAnsi="Arial"/>
          <w:sz w:val="18"/>
          <w:szCs w:val="18"/>
          <w:color w:val="auto"/>
        </w:rPr>
      </w:pPr>
    </w:p>
    <w:p>
      <w:pPr>
        <w:ind w:left="920" w:firstLine="421"/>
        <w:spacing w:after="0" w:line="255" w:lineRule="auto"/>
        <w:tabs>
          <w:tab w:leader="none" w:pos="159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Liens on any property (i) in favor of the United States, any State thereof, any foreign country or any department, agency, instrumentality or political subdivision of any such jurisdiction, to secure partial, progress, advance or other payments pursuant to any contract or statute, (ii) securing any indebtedness incurred for the purpose of financing all or any part of the purchase price or the cost of constructing, installing or improving the property subject to such Liens, including, without limitation, Liens to secure Debt of the pollution control or industrial revenue bond type, or (iii) securing indebtedness issued or guaranteed by the United States, any State thereof, any foreign country, or any department, agency, instrumentality or political subdivision of any such jurisdiction;</w:t>
      </w:r>
    </w:p>
    <w:p>
      <w:pPr>
        <w:spacing w:after="0" w:line="85" w:lineRule="exact"/>
        <w:rPr>
          <w:rFonts w:ascii="Arial" w:cs="Arial" w:eastAsia="Arial" w:hAnsi="Arial"/>
          <w:sz w:val="18"/>
          <w:szCs w:val="18"/>
          <w:color w:val="auto"/>
        </w:rPr>
      </w:pPr>
    </w:p>
    <w:p>
      <w:pPr>
        <w:ind w:left="1600" w:hanging="259"/>
        <w:spacing w:after="0"/>
        <w:tabs>
          <w:tab w:leader="none" w:pos="16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Permitted Liens; and</w:t>
      </w:r>
    </w:p>
    <w:p>
      <w:pPr>
        <w:spacing w:after="0" w:line="117" w:lineRule="exact"/>
        <w:rPr>
          <w:rFonts w:ascii="Arial" w:cs="Arial" w:eastAsia="Arial" w:hAnsi="Arial"/>
          <w:sz w:val="18"/>
          <w:szCs w:val="18"/>
          <w:color w:val="auto"/>
        </w:rPr>
      </w:pPr>
    </w:p>
    <w:p>
      <w:pPr>
        <w:ind w:left="920" w:right="20" w:firstLine="421"/>
        <w:spacing w:after="0" w:line="293" w:lineRule="auto"/>
        <w:tabs>
          <w:tab w:leader="none" w:pos="159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any extension, renewal, or replacement (or successive extensions, renewals or replacements), in whole or in part, of any Lien referred to in any of the foregoing clauses (1), (2), (3), (4), (5), (6) and (7) to the extent such extension, renewal or replacement (or successive extensions, renewals or replacements) involves a Lien described in the foregoing clauses;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principal amount of Debt secured thereby shall not exceed the principal amount of Debt so secured at the time of such extension, renewal or replacement, together with the reasonable costs related to such extension, renewal or replacement, and that such extension, renewal or replacement shall be limited to all or a part of the property which secured the Lien so extended, renewed or replaced (plus improvements on such property).</w:t>
      </w:r>
    </w:p>
    <w:p>
      <w:pPr>
        <w:spacing w:after="0" w:line="165"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Notwithstanding the foregoing provisions of this Section 1110, the Parent Guarantor and any Restricted Subsidiary may issue, assume or guarantee secured Debt, which would otherwise be subject to the foregoing restrictions, in an aggregate amount which, together with all other such secured Debt and together with the aggregate amount of Attributable Indebtedness of the Parent Guarantor and its Restricted Subsidiaries deemed to be outstanding in respect of all Sale-Leaseback Transactions (excluding any such Sale-Leaseback Transactions the proceeds of which have been applied in accordance with clauses (a), (b) or (c) in the first paragraph of Section 1112) does not exceed 15% of Consolidated Net Worth, as shown on a consolidated balance sheet, as of a date not more than 150 days prior to the proposed transaction, prepared by the Parent Guarantor in accordance with GAAP.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Limitation on Dividends and Other Restrictions Affecting Restricted Subsidiaries</w:t>
      </w:r>
      <w:r>
        <w:rPr>
          <w:rFonts w:ascii="Arial" w:cs="Arial" w:eastAsia="Arial" w:hAnsi="Arial"/>
          <w:sz w:val="18"/>
          <w:szCs w:val="18"/>
          <w:color w:val="auto"/>
        </w:rPr>
        <w:t>.</w:t>
      </w:r>
    </w:p>
    <w:p>
      <w:pPr>
        <w:spacing w:after="0" w:line="117" w:lineRule="exact"/>
        <w:rPr>
          <w:sz w:val="20"/>
          <w:szCs w:val="20"/>
          <w:color w:val="auto"/>
        </w:rPr>
      </w:pPr>
    </w:p>
    <w:p>
      <w:pPr>
        <w:ind w:right="420" w:firstLine="913"/>
        <w:spacing w:after="0" w:line="264" w:lineRule="auto"/>
        <w:rPr>
          <w:sz w:val="20"/>
          <w:szCs w:val="20"/>
          <w:color w:val="auto"/>
        </w:rPr>
      </w:pPr>
      <w:r>
        <w:rPr>
          <w:rFonts w:ascii="Arial" w:cs="Arial" w:eastAsia="Arial" w:hAnsi="Arial"/>
          <w:sz w:val="18"/>
          <w:szCs w:val="18"/>
          <w:color w:val="auto"/>
        </w:rPr>
        <w:t>The Parent Guarantor will not, and will not permit any Restricted Subsidiary (other than the Issuer or a Subsidiary Guarantor) to, directly or indirectly, create or otherwise cause or permit to exist or become effective any consensual encumbrance or consensual restriction on the ability of such Restricted Subsidiary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4" w:right="239" w:bottom="1440" w:gutter="0" w:footer="0" w:header="0"/>
        </w:sectPr>
      </w:pPr>
    </w:p>
    <w:bookmarkStart w:id="167" w:name="page168"/>
    <w:bookmarkEnd w:id="167"/>
    <w:p>
      <w:pPr>
        <w:ind w:left="1580" w:hanging="239"/>
        <w:spacing w:after="0"/>
        <w:tabs>
          <w:tab w:leader="none" w:pos="15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 dividends or make any other distributions on or in respect of its Equity Interests to the Parent Guarantor or any of its other</w:t>
      </w:r>
    </w:p>
    <w:p>
      <w:pPr>
        <w:spacing w:after="0" w:line="34" w:lineRule="exact"/>
        <w:rPr>
          <w:rFonts w:ascii="Arial" w:cs="Arial" w:eastAsia="Arial" w:hAnsi="Arial"/>
          <w:sz w:val="17"/>
          <w:szCs w:val="17"/>
          <w:color w:val="auto"/>
        </w:rPr>
      </w:pPr>
    </w:p>
    <w:p>
      <w:pPr>
        <w:ind w:left="920" w:right="20"/>
        <w:spacing w:after="0" w:line="255" w:lineRule="auto"/>
        <w:rPr>
          <w:rFonts w:ascii="Arial" w:cs="Arial" w:eastAsia="Arial" w:hAnsi="Arial"/>
          <w:sz w:val="17"/>
          <w:szCs w:val="17"/>
          <w:color w:val="auto"/>
        </w:rPr>
      </w:pPr>
      <w:r>
        <w:rPr>
          <w:rFonts w:ascii="Arial" w:cs="Arial" w:eastAsia="Arial" w:hAnsi="Arial"/>
          <w:sz w:val="18"/>
          <w:szCs w:val="18"/>
          <w:color w:val="auto"/>
        </w:rPr>
        <w:t>Restricted Subsidiaries, or with respect to any other interest or participation in, or measured by, its profits (it being understood that the priority of any Preferred Stock in receiving dividends or liquidating distributions prior to dividends or liquidating distributions being paid on Common Stock shall not be deemed a restriction on the ability to make distributions on Equity Interests);</w:t>
      </w:r>
    </w:p>
    <w:p>
      <w:pPr>
        <w:spacing w:after="0" w:line="82" w:lineRule="exact"/>
        <w:rPr>
          <w:rFonts w:ascii="Arial" w:cs="Arial" w:eastAsia="Arial" w:hAnsi="Arial"/>
          <w:sz w:val="17"/>
          <w:szCs w:val="17"/>
          <w:color w:val="auto"/>
        </w:rPr>
      </w:pPr>
    </w:p>
    <w:p>
      <w:pPr>
        <w:ind w:left="920" w:right="40" w:firstLine="421"/>
        <w:spacing w:after="0" w:line="259" w:lineRule="auto"/>
        <w:tabs>
          <w:tab w:leader="none" w:pos="159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make loans or advances, or pay any Indebtedness or other obligation owed, to the Parent Guarantor or any other Restricted Subsidiary (it being understood that the subordination of loans or advances made to the Parent Guarantor or any Restricted Subsidiary to other Indebtedness or obligations incurred by the Parent Guarantor or any Restricted Subsidiary shall not be deemed a restriction on the ability to make loans or advances); or</w:t>
      </w:r>
    </w:p>
    <w:p>
      <w:pPr>
        <w:spacing w:after="0" w:line="78" w:lineRule="exact"/>
        <w:rPr>
          <w:rFonts w:ascii="Arial" w:cs="Arial" w:eastAsia="Arial" w:hAnsi="Arial"/>
          <w:sz w:val="18"/>
          <w:szCs w:val="18"/>
          <w:color w:val="auto"/>
        </w:rPr>
      </w:pPr>
    </w:p>
    <w:p>
      <w:pPr>
        <w:ind w:left="920" w:right="140" w:firstLine="421"/>
        <w:spacing w:after="0" w:line="277" w:lineRule="auto"/>
        <w:tabs>
          <w:tab w:leader="none" w:pos="158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transfer any of its property or assets to the Parent Guarantor or any other Restricted Subsidiary (it being understood that such transfers shall not include any type of transfer described in clause (a) or (b)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except for, in each case:</w:t>
      </w:r>
    </w:p>
    <w:p>
      <w:pPr>
        <w:spacing w:after="0" w:line="117" w:lineRule="exact"/>
        <w:rPr>
          <w:sz w:val="20"/>
          <w:szCs w:val="20"/>
          <w:color w:val="auto"/>
        </w:rPr>
      </w:pPr>
    </w:p>
    <w:p>
      <w:pPr>
        <w:ind w:left="920" w:right="60" w:firstLine="421"/>
        <w:spacing w:after="0" w:line="277" w:lineRule="auto"/>
        <w:tabs>
          <w:tab w:leader="none" w:pos="159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encumbrances or restrictions existing under agreements existing on the Issue Date (including, without limitation, the Credit Agreement and the Term Loan Agreement) as in effect on that date;</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encumbrances or restrictions existing under the Indenture, the Notes and the Guarantees;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any instrument governing Acquired Indebtedness or Equity Interests of a Person acquired by the Parent Guarantor or any of its</w:t>
      </w:r>
    </w:p>
    <w:p>
      <w:pPr>
        <w:spacing w:after="0" w:line="34" w:lineRule="exact"/>
        <w:rPr>
          <w:rFonts w:ascii="Arial" w:cs="Arial" w:eastAsia="Arial" w:hAnsi="Arial"/>
          <w:sz w:val="17"/>
          <w:szCs w:val="17"/>
          <w:color w:val="auto"/>
        </w:rPr>
      </w:pPr>
    </w:p>
    <w:p>
      <w:pPr>
        <w:ind w:left="920"/>
        <w:spacing w:after="0" w:line="261" w:lineRule="auto"/>
        <w:rPr>
          <w:rFonts w:ascii="Arial" w:cs="Arial" w:eastAsia="Arial" w:hAnsi="Arial"/>
          <w:sz w:val="17"/>
          <w:szCs w:val="17"/>
          <w:color w:val="auto"/>
        </w:rPr>
      </w:pPr>
      <w:r>
        <w:rPr>
          <w:rFonts w:ascii="Arial" w:cs="Arial" w:eastAsia="Arial" w:hAnsi="Arial"/>
          <w:sz w:val="18"/>
          <w:szCs w:val="18"/>
          <w:color w:val="auto"/>
        </w:rPr>
        <w:t>Restricted Subsidiaries, which encumbrance or restriction is not applicable to any Person, or the properties or assets of any Person, other than the Person or the properties or assets of the Person so acquired;</w:t>
      </w:r>
    </w:p>
    <w:p>
      <w:pPr>
        <w:spacing w:after="0" w:line="75" w:lineRule="exact"/>
        <w:rPr>
          <w:rFonts w:ascii="Arial" w:cs="Arial" w:eastAsia="Arial" w:hAnsi="Arial"/>
          <w:sz w:val="17"/>
          <w:szCs w:val="17"/>
          <w:color w:val="auto"/>
        </w:rPr>
      </w:pPr>
    </w:p>
    <w:p>
      <w:pPr>
        <w:ind w:left="920" w:right="60" w:firstLine="421"/>
        <w:spacing w:after="0" w:line="259" w:lineRule="auto"/>
        <w:tabs>
          <w:tab w:leader="none" w:pos="159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agreement or other instrument of a Person acquired by the Parent Guarantor or any of its Restricted Subsidiaries in existence at the time of such acquisition (but not created in contemplation thereof), which encumbrance or restriction is not applicable to any Person, or the properties or assets of any Person, other than the Person and its Subsidiaries, or the property or assets of the Person and its Subsidiaries, so acquired (including after acquired property);</w:t>
      </w:r>
    </w:p>
    <w:p>
      <w:pPr>
        <w:spacing w:after="0" w:line="78" w:lineRule="exact"/>
        <w:rPr>
          <w:rFonts w:ascii="Arial" w:cs="Arial" w:eastAsia="Arial" w:hAnsi="Arial"/>
          <w:sz w:val="18"/>
          <w:szCs w:val="18"/>
          <w:color w:val="auto"/>
        </w:rPr>
      </w:pPr>
    </w:p>
    <w:p>
      <w:pPr>
        <w:ind w:left="920" w:right="200" w:firstLine="421"/>
        <w:spacing w:after="0" w:line="297" w:lineRule="auto"/>
        <w:tabs>
          <w:tab w:leader="none" w:pos="159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any amendment, restatement, modification, renewal, increases, supplement, refunding, replacement or refinancing of an agreement referred to in clauses (1), (2), (3), (4), (5), or (10);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amendments, restatements, modifications, renewals, increases, supplements, refunding, replacements or refinancing are, in the good faith judgment of the Parent Guarantor, not materially more restrictive, taken as a whole, than the encumbrances and restrictions contained in the agreements referred to in such clauses on the Issue Date or the date such Restricted Subsidiary became a Restricted Subsidiary or was merged into a Restricted Subsidiary, whichever is applicable;</w:t>
      </w:r>
    </w:p>
    <w:p>
      <w:pPr>
        <w:spacing w:after="0" w:line="50" w:lineRule="exact"/>
        <w:rPr>
          <w:rFonts w:ascii="Arial" w:cs="Arial" w:eastAsia="Arial" w:hAnsi="Arial"/>
          <w:sz w:val="16"/>
          <w:szCs w:val="16"/>
          <w:color w:val="auto"/>
        </w:rPr>
      </w:pPr>
    </w:p>
    <w:p>
      <w:pPr>
        <w:ind w:left="1600" w:hanging="259"/>
        <w:spacing w:after="0"/>
        <w:tabs>
          <w:tab w:leader="none" w:pos="16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encumbrances or restrictions existing under or by reason of applicable law, regulation or order;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274" w:right="279" w:bottom="1440" w:gutter="0" w:footer="0" w:header="0"/>
        </w:sectPr>
      </w:pPr>
    </w:p>
    <w:bookmarkStart w:id="168" w:name="page169"/>
    <w:bookmarkEnd w:id="168"/>
    <w:p>
      <w:pPr>
        <w:ind w:left="-280" w:right="180" w:firstLine="421"/>
        <w:spacing w:after="0" w:line="277" w:lineRule="auto"/>
        <w:tabs>
          <w:tab w:leader="none" w:pos="395"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customary restrictions or limitations in leases, licenses or other agreements restricting the assignment thereof or the assignment of the property that is the subject of such agreement;</w:t>
      </w:r>
    </w:p>
    <w:p>
      <w:pPr>
        <w:spacing w:after="0" w:line="62" w:lineRule="exact"/>
        <w:rPr>
          <w:rFonts w:ascii="Arial" w:cs="Arial" w:eastAsia="Arial" w:hAnsi="Arial"/>
          <w:sz w:val="18"/>
          <w:szCs w:val="18"/>
          <w:color w:val="auto"/>
        </w:rPr>
      </w:pPr>
    </w:p>
    <w:p>
      <w:pPr>
        <w:ind w:left="-280" w:right="400" w:firstLine="421"/>
        <w:spacing w:after="0" w:line="277" w:lineRule="auto"/>
        <w:tabs>
          <w:tab w:leader="none" w:pos="39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the case of clause (c) above, Liens permitted to be incurred under Section 1110 that limit the right of the debtor to dispose of the assets securing such Indebtedness;</w:t>
      </w:r>
    </w:p>
    <w:p>
      <w:pPr>
        <w:spacing w:after="0" w:line="62" w:lineRule="exact"/>
        <w:rPr>
          <w:rFonts w:ascii="Arial" w:cs="Arial" w:eastAsia="Arial" w:hAnsi="Arial"/>
          <w:sz w:val="18"/>
          <w:szCs w:val="18"/>
          <w:color w:val="auto"/>
        </w:rPr>
      </w:pPr>
    </w:p>
    <w:p>
      <w:pPr>
        <w:ind w:left="400" w:hanging="259"/>
        <w:spacing w:after="0"/>
        <w:tabs>
          <w:tab w:leader="none" w:pos="4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restrictions imposed under any agreement to sell Equity Interests or assets to any Person pending the closing of such sale;</w:t>
      </w:r>
    </w:p>
    <w:p>
      <w:pPr>
        <w:spacing w:after="0" w:line="117" w:lineRule="exact"/>
        <w:rPr>
          <w:rFonts w:ascii="Arial" w:cs="Arial" w:eastAsia="Arial" w:hAnsi="Arial"/>
          <w:sz w:val="18"/>
          <w:szCs w:val="18"/>
          <w:color w:val="auto"/>
        </w:rPr>
      </w:pPr>
    </w:p>
    <w:p>
      <w:pPr>
        <w:ind w:left="-280" w:right="100" w:firstLine="421"/>
        <w:spacing w:after="0" w:line="272" w:lineRule="auto"/>
        <w:tabs>
          <w:tab w:leader="none" w:pos="48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any other agreement governing Indebtedness or other obligations entered into after the Issue Date that either (A) contains encumbrances and restrictions that in the good faith judgment of the Parent Guarantor are not materially more restrictive, taken as a whole, with respect to any Restricted Subsidiary than those in effect on the Issue Date with respect to that Restricted Subsidiary pursuant to agreements in effect on the Issue Date or those contained in the Indenture, the Notes and the Guarantees or (B) any such encumbrance or restriction contained in agreements or instruments governing such Indebtedness that is customary and does not prohibit (except upon a default or an event of default thereunder) the payment of dividends in an amount sufficient, as determined by the Issuer in good faith, to make scheduled payments of cash interest and principal on the Notes when due;</w:t>
      </w:r>
    </w:p>
    <w:p>
      <w:pPr>
        <w:spacing w:after="0" w:line="69" w:lineRule="exact"/>
        <w:rPr>
          <w:rFonts w:ascii="Arial" w:cs="Arial" w:eastAsia="Arial" w:hAnsi="Arial"/>
          <w:sz w:val="17"/>
          <w:szCs w:val="17"/>
          <w:color w:val="auto"/>
        </w:rPr>
      </w:pPr>
    </w:p>
    <w:p>
      <w:pPr>
        <w:ind w:left="-280" w:right="480" w:firstLine="421"/>
        <w:spacing w:after="0" w:line="264" w:lineRule="auto"/>
        <w:tabs>
          <w:tab w:leader="none" w:pos="47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provisions in partnership agreements, limited liability company organizational governance documents, joint venture agreements, shareholder agreements and other similar agreements that restrict the disposition or distribution of ownership interests in or assets of such partnership, limited liability company, joint venture, corporation or similar Person;</w:t>
      </w:r>
    </w:p>
    <w:p>
      <w:pPr>
        <w:spacing w:after="0" w:line="73" w:lineRule="exact"/>
        <w:rPr>
          <w:rFonts w:ascii="Arial" w:cs="Arial" w:eastAsia="Arial" w:hAnsi="Arial"/>
          <w:sz w:val="18"/>
          <w:szCs w:val="18"/>
          <w:color w:val="auto"/>
        </w:rPr>
      </w:pPr>
    </w:p>
    <w:p>
      <w:pPr>
        <w:ind w:left="-280" w:right="340" w:firstLine="421"/>
        <w:spacing w:after="0" w:line="277" w:lineRule="auto"/>
        <w:tabs>
          <w:tab w:leader="none" w:pos="48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Purchase Money Indebtedness and any Refinancing Indebtedness in respect thereof incurred in compliance with Section 1108 that imposes restrictions of the nature described in clause (c) above on the assets acquired;</w:t>
      </w:r>
    </w:p>
    <w:p>
      <w:pPr>
        <w:spacing w:after="0" w:line="62" w:lineRule="exact"/>
        <w:rPr>
          <w:rFonts w:ascii="Arial" w:cs="Arial" w:eastAsia="Arial" w:hAnsi="Arial"/>
          <w:sz w:val="18"/>
          <w:szCs w:val="18"/>
          <w:color w:val="auto"/>
        </w:rPr>
      </w:pPr>
    </w:p>
    <w:p>
      <w:pPr>
        <w:ind w:left="-280" w:right="360" w:firstLine="421"/>
        <w:spacing w:after="0" w:line="277" w:lineRule="auto"/>
        <w:tabs>
          <w:tab w:leader="none" w:pos="48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suppliers or landlords under contracts entered into in the ordinary course of business;</w:t>
      </w:r>
    </w:p>
    <w:p>
      <w:pPr>
        <w:spacing w:after="0" w:line="62" w:lineRule="exact"/>
        <w:rPr>
          <w:rFonts w:ascii="Arial" w:cs="Arial" w:eastAsia="Arial" w:hAnsi="Arial"/>
          <w:sz w:val="18"/>
          <w:szCs w:val="18"/>
          <w:color w:val="auto"/>
        </w:rPr>
      </w:pPr>
    </w:p>
    <w:p>
      <w:pPr>
        <w:ind w:left="-280" w:firstLine="421"/>
        <w:spacing w:after="0" w:line="257" w:lineRule="auto"/>
        <w:tabs>
          <w:tab w:leader="none" w:pos="48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any encumbrance or restriction with respect to an Unrestricted Subsidiary pursuant to or by reason of an agreement that the Unrestricted Subsidiary is a party to entered into before the date on which such Unrestricted Subsidiary became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was not entered into in anticipation of the Unrestricted Subsidiary becoming a Restricted Subsidiary and any such encumbrance or restriction shall not extend to any assets or property of the Parent Guarantor or any other Restricted Subsidiary other than the assets and property so acquired;</w:t>
      </w:r>
    </w:p>
    <w:p>
      <w:pPr>
        <w:spacing w:after="0" w:line="80" w:lineRule="exact"/>
        <w:rPr>
          <w:rFonts w:ascii="Arial" w:cs="Arial" w:eastAsia="Arial" w:hAnsi="Arial"/>
          <w:sz w:val="18"/>
          <w:szCs w:val="18"/>
          <w:color w:val="auto"/>
        </w:rPr>
      </w:pPr>
    </w:p>
    <w:p>
      <w:pPr>
        <w:ind w:left="-280" w:right="120" w:firstLine="421"/>
        <w:spacing w:after="0" w:line="276" w:lineRule="auto"/>
        <w:tabs>
          <w:tab w:leader="none" w:pos="48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with respect to any Foreign Restricted Subsidiary, any encumbrance or restriction contained in the terms of any Indebtedness or any agreement pursuant to which such Indebtedness was incurred if either (A) the encumbrance or restriction applies only in the event of a payment default or a default with respect to a financial covenant in such Indebtedness or agreement or (B) the Parent Guarantor determines that any such encumbrance or restriction will not materially affect the Issuer’s ability to make principal or interest payments on the Notes, as determined in good faith by the Board of Directors of the Issuer, whose determination shall be conclusive;</w:t>
      </w:r>
    </w:p>
    <w:p>
      <w:pPr>
        <w:spacing w:after="0" w:line="64" w:lineRule="exact"/>
        <w:rPr>
          <w:rFonts w:ascii="Arial" w:cs="Arial" w:eastAsia="Arial" w:hAnsi="Arial"/>
          <w:sz w:val="17"/>
          <w:szCs w:val="17"/>
          <w:color w:val="auto"/>
        </w:rPr>
      </w:pPr>
    </w:p>
    <w:p>
      <w:pPr>
        <w:ind w:left="-280" w:right="680" w:firstLine="421"/>
        <w:spacing w:after="0" w:line="277" w:lineRule="auto"/>
        <w:tabs>
          <w:tab w:leader="none" w:pos="48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provisions limiting the distribution or dividend of assets or any portion of the Equity Interests of SpinCo in connection with a Qualified Spin Transaction;</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200"/>
          </w:cols>
          <w:pgMar w:left="1440" w:top="274" w:right="259" w:bottom="1440" w:gutter="0" w:footer="0" w:header="0"/>
        </w:sectPr>
      </w:pPr>
    </w:p>
    <w:bookmarkStart w:id="169" w:name="page170"/>
    <w:bookmarkEnd w:id="169"/>
    <w:p>
      <w:pPr>
        <w:ind w:left="1680" w:hanging="339"/>
        <w:spacing w:after="0"/>
        <w:tabs>
          <w:tab w:leader="none" w:pos="16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Permitted Investment or Restricted Payments which are made in accordance with Section 1109;</w:t>
      </w:r>
    </w:p>
    <w:p>
      <w:pPr>
        <w:spacing w:after="0" w:line="117" w:lineRule="exact"/>
        <w:rPr>
          <w:rFonts w:ascii="Arial" w:cs="Arial" w:eastAsia="Arial" w:hAnsi="Arial"/>
          <w:sz w:val="18"/>
          <w:szCs w:val="18"/>
          <w:color w:val="auto"/>
        </w:rPr>
      </w:pPr>
    </w:p>
    <w:p>
      <w:pPr>
        <w:ind w:left="1680" w:hanging="339"/>
        <w:spacing w:after="0"/>
        <w:tabs>
          <w:tab w:leader="none" w:pos="16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restrictions contained in Standard Securitization Undertakings; and</w:t>
      </w:r>
    </w:p>
    <w:p>
      <w:pPr>
        <w:spacing w:after="0" w:line="117" w:lineRule="exact"/>
        <w:rPr>
          <w:rFonts w:ascii="Arial" w:cs="Arial" w:eastAsia="Arial" w:hAnsi="Arial"/>
          <w:sz w:val="18"/>
          <w:szCs w:val="18"/>
          <w:color w:val="auto"/>
        </w:rPr>
      </w:pPr>
    </w:p>
    <w:p>
      <w:pPr>
        <w:ind w:left="920" w:right="260" w:firstLine="421"/>
        <w:spacing w:after="0" w:line="277" w:lineRule="auto"/>
        <w:tabs>
          <w:tab w:leader="none" w:pos="168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supermajority voting requirements existing under corporate charters, by-laws, stockholders agreements and similar documents and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Limitation on Sale-Leaseback Transactions</w:t>
      </w:r>
      <w:r>
        <w:rPr>
          <w:rFonts w:ascii="Arial" w:cs="Arial" w:eastAsia="Arial" w:hAnsi="Arial"/>
          <w:sz w:val="18"/>
          <w:szCs w:val="18"/>
          <w:color w:val="auto"/>
        </w:rPr>
        <w:t>.</w:t>
      </w:r>
    </w:p>
    <w:p>
      <w:pPr>
        <w:spacing w:after="0" w:line="11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 Parent Guarantor shall not, and shall not permit any Restricted Subsidiary to, enter into any Sale-Leaseback Transaction with any Person (other than the Parent Guarantor or a Restricted Subsidiary) unless:</w:t>
      </w:r>
    </w:p>
    <w:p>
      <w:pPr>
        <w:spacing w:after="0" w:line="62" w:lineRule="exact"/>
        <w:rPr>
          <w:sz w:val="20"/>
          <w:szCs w:val="20"/>
          <w:color w:val="auto"/>
        </w:rPr>
      </w:pPr>
    </w:p>
    <w:p>
      <w:pPr>
        <w:ind w:left="920" w:right="120" w:firstLine="421"/>
        <w:spacing w:after="0" w:line="259" w:lineRule="auto"/>
        <w:tabs>
          <w:tab w:leader="none" w:pos="158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at the time of entering into such Sale-Leaseback Transaction, the Parent Guarantor or such Restricted Subsidiary would be entitled to incur Debt, in a principal amount equal to the Attributable Indebtedness with respect to such Sale-Leaseback Transaction, secured by a Lien on the property subject to such Sale-Leaseback Transaction, pursuant to Section 1110 without equally and ratably securing the Notes pursuant to such covenant;</w:t>
      </w:r>
    </w:p>
    <w:p>
      <w:pPr>
        <w:spacing w:after="0" w:line="78" w:lineRule="exact"/>
        <w:rPr>
          <w:rFonts w:ascii="Arial" w:cs="Arial" w:eastAsia="Arial" w:hAnsi="Arial"/>
          <w:sz w:val="18"/>
          <w:szCs w:val="18"/>
          <w:color w:val="auto"/>
        </w:rPr>
      </w:pPr>
    </w:p>
    <w:p>
      <w:pPr>
        <w:ind w:left="920" w:firstLine="421"/>
        <w:spacing w:after="0" w:line="273" w:lineRule="auto"/>
        <w:tabs>
          <w:tab w:leader="none" w:pos="159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after the Issue Date and within a period commencing six months prior to the consummation of such Sale-Leaseback Transaction and ending six months after the consummation thereof, the Parent Guarantor or such Restricted Subsidiary shall have expended for property used or to be used in the ordinary course of business of the Parent Guarantor or such Restricted Subsidiary (including amounts expended for additions, expansions, alterations, repairs and improvements thereto) an amount equal to all or a portion of the net proceeds of such Sale-Leaseback Transaction, and the Parent Guarantor shall have elected to designate such amount as a credit against such Sale-Leaseback Transaction (with any such amount not being so designated to be applied as set forth in clause (c) below); or</w:t>
      </w:r>
    </w:p>
    <w:p>
      <w:pPr>
        <w:spacing w:after="0" w:line="70" w:lineRule="exact"/>
        <w:rPr>
          <w:rFonts w:ascii="Arial" w:cs="Arial" w:eastAsia="Arial" w:hAnsi="Arial"/>
          <w:sz w:val="17"/>
          <w:szCs w:val="17"/>
          <w:color w:val="auto"/>
        </w:rPr>
      </w:pPr>
    </w:p>
    <w:p>
      <w:pPr>
        <w:ind w:left="920" w:right="100" w:firstLine="421"/>
        <w:spacing w:after="0" w:line="291" w:lineRule="auto"/>
        <w:tabs>
          <w:tab w:leader="none" w:pos="158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during the 12-month period after the effective date of such Sale-Leaseback Transaction, the Parent Guarantor shall have applied to the voluntary defeasance or retirement of Notes or any Pari Passu Indebtedness of the Parent Guarantor an amount equal to the net proceeds of the sale or transfer of the real or personal property leased in such Sale-Leaseback Transaction, which amount shall not be less than the fair value of such property at the time of entering into such Sale-Leaseback Transaction (adjusted to reflect the remaining term of the lease and any amount expended by the Parent Guarantor as set forth in clause (b) above), less an amount equal to the principal amount of Notes and Pari Passu Indebtedness voluntarily defeased or retired by the Parent Guarantor within such 12-month period and not designated as a credit against any other Sale-Leaseback Transaction entered into by the Parent Guarantor or any Restricted Subsidiary during such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Limitation on Affiliate Transactions</w:t>
      </w:r>
      <w:r>
        <w:rPr>
          <w:rFonts w:ascii="Arial" w:cs="Arial" w:eastAsia="Arial" w:hAnsi="Arial"/>
          <w:sz w:val="18"/>
          <w:szCs w:val="18"/>
          <w:color w:val="auto"/>
        </w:rPr>
        <w:t>.</w:t>
      </w:r>
    </w:p>
    <w:p>
      <w:pPr>
        <w:spacing w:after="0" w:line="117"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The Parent Guarantor will not, and will not permit any of its Restricted Subsidiaries to, directly or indirectly, in one transaction or a series of related transactions, sell, lease, transfer or otherwise dispose of any of its assets to, or purchase any assets from, or enter into any contract, agreement, understanding, loan, advance or guarantee with, or for the benefit of, any Affiliate involving aggregate value in excess of $50.0 million (an “Affiliate Transaction”), unless: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40"/>
          </w:cols>
          <w:pgMar w:left="240" w:top="274" w:right="319" w:bottom="1440" w:gutter="0" w:footer="0" w:header="0"/>
        </w:sectPr>
      </w:pPr>
    </w:p>
    <w:bookmarkStart w:id="170" w:name="page171"/>
    <w:bookmarkEnd w:id="170"/>
    <w:p>
      <w:pPr>
        <w:ind w:left="-20" w:right="20" w:firstLine="921"/>
        <w:spacing w:after="0" w:line="257" w:lineRule="auto"/>
        <w:tabs>
          <w:tab w:leader="none" w:pos="1148"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of such Affiliate Transaction are not materially less favorable to the Parent Guarantor or such Restricted Subsidiary, as the case may be, than those that could reasonably be expected to have been obtained in a comparable transaction at the time of such transaction in arm’s-length dealings with a Person who is not such an Affiliate, or if in the good faith judgment of the Parent Guarantor’s Board of Directors no comparable transaction is available with which to compare such Affiliate Transaction, or are otherwise fair to the Parent Guarantor or such Restricted Subsidiary from a financial point of view; and</w:t>
      </w:r>
    </w:p>
    <w:p>
      <w:pPr>
        <w:spacing w:after="0" w:line="80" w:lineRule="exact"/>
        <w:rPr>
          <w:rFonts w:ascii="Arial" w:cs="Arial" w:eastAsia="Arial" w:hAnsi="Arial"/>
          <w:sz w:val="18"/>
          <w:szCs w:val="18"/>
          <w:color w:val="auto"/>
        </w:rPr>
      </w:pPr>
    </w:p>
    <w:p>
      <w:pPr>
        <w:jc w:val="both"/>
        <w:ind w:left="-20" w:right="160" w:firstLine="921"/>
        <w:spacing w:after="0" w:line="264" w:lineRule="auto"/>
        <w:tabs>
          <w:tab w:leader="none" w:pos="114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Parent Guarantor delivers to the Trustee, with respect to any Affiliate Transaction involving aggregate value in excess of $100.0 million, an Officer’s Certificate certifying that such Affiliate Transaction complies with clause (1) above and which sets forth and authenticates a resolution that has been adopted by the Independent Directors approving such Affiliate Transaction.</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foregoing restrictions shall not apply to:</w:t>
      </w:r>
    </w:p>
    <w:p>
      <w:pPr>
        <w:spacing w:after="0" w:line="117" w:lineRule="exact"/>
        <w:rPr>
          <w:sz w:val="20"/>
          <w:szCs w:val="20"/>
          <w:color w:val="auto"/>
        </w:rPr>
      </w:pPr>
    </w:p>
    <w:p>
      <w:pPr>
        <w:ind w:left="900" w:right="720" w:firstLine="421"/>
        <w:spacing w:after="0" w:line="277" w:lineRule="auto"/>
        <w:tabs>
          <w:tab w:leader="none" w:pos="157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transactions to the extent between or among (a) the Parent Guarantor and one or more Restricted Subsidiaries or (b) Restricted Subsidiaries;</w:t>
      </w:r>
    </w:p>
    <w:p>
      <w:pPr>
        <w:spacing w:after="0" w:line="62" w:lineRule="exact"/>
        <w:rPr>
          <w:rFonts w:ascii="Arial" w:cs="Arial" w:eastAsia="Arial" w:hAnsi="Arial"/>
          <w:sz w:val="18"/>
          <w:szCs w:val="18"/>
          <w:color w:val="auto"/>
        </w:rPr>
      </w:pPr>
    </w:p>
    <w:p>
      <w:pPr>
        <w:ind w:left="900" w:right="180" w:firstLine="421"/>
        <w:spacing w:after="0" w:line="259" w:lineRule="auto"/>
        <w:tabs>
          <w:tab w:leader="none" w:pos="157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director, trustee, officer and employee compensation (including bonuses) and other benefits (including pursuant to any employment agreement or any retirement, health, stock option or other benefit plan), payments or loans (or cancellation of loans) to employees of the Parent Guarantor or its Restricted Subsidiaries and indemnification arrangements, in each case, as determined in good faith by the Parent Guarantor’s Board of Directors or senior management;</w:t>
      </w:r>
    </w:p>
    <w:p>
      <w:pPr>
        <w:spacing w:after="0" w:line="78" w:lineRule="exact"/>
        <w:rPr>
          <w:rFonts w:ascii="Arial" w:cs="Arial" w:eastAsia="Arial" w:hAnsi="Arial"/>
          <w:sz w:val="18"/>
          <w:szCs w:val="18"/>
          <w:color w:val="auto"/>
        </w:rPr>
      </w:pPr>
    </w:p>
    <w:p>
      <w:pPr>
        <w:ind w:left="900" w:firstLine="421"/>
        <w:spacing w:after="0" w:line="277" w:lineRule="auto"/>
        <w:tabs>
          <w:tab w:leader="none" w:pos="157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Permitted Investments (other than those made under clause (1) of such definition) or Restricted Payments which are made in accordance with Section 1109;</w:t>
      </w:r>
    </w:p>
    <w:p>
      <w:pPr>
        <w:spacing w:after="0" w:line="62" w:lineRule="exact"/>
        <w:rPr>
          <w:rFonts w:ascii="Arial" w:cs="Arial" w:eastAsia="Arial" w:hAnsi="Arial"/>
          <w:sz w:val="18"/>
          <w:szCs w:val="18"/>
          <w:color w:val="auto"/>
        </w:rPr>
      </w:pPr>
    </w:p>
    <w:p>
      <w:pPr>
        <w:ind w:left="900" w:right="60" w:firstLine="421"/>
        <w:spacing w:after="0" w:line="264" w:lineRule="auto"/>
        <w:tabs>
          <w:tab w:leader="none" w:pos="157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agreement in effect on the Issue Date or as thereafter amended or replaced in any manner that, taken as a whole, is not materially less advantageous to the Parent Guarantor or any of its Restricted Subsidiaries, as applicable, than such agreement as it was in effect on the Issue Date;</w:t>
      </w:r>
    </w:p>
    <w:p>
      <w:pPr>
        <w:spacing w:after="0" w:line="73" w:lineRule="exact"/>
        <w:rPr>
          <w:rFonts w:ascii="Arial" w:cs="Arial" w:eastAsia="Arial" w:hAnsi="Arial"/>
          <w:sz w:val="18"/>
          <w:szCs w:val="18"/>
          <w:color w:val="auto"/>
        </w:rPr>
      </w:pPr>
    </w:p>
    <w:p>
      <w:pPr>
        <w:ind w:left="900" w:right="80" w:firstLine="421"/>
        <w:spacing w:after="0" w:line="342" w:lineRule="auto"/>
        <w:tabs>
          <w:tab w:leader="none" w:pos="157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any transaction with a Person (other than an Unrestricted Subsidiary of the Parent Guarantor) which would constitute an Affiliate of the Parent Guarantor solely because the Parent Guarantor or a Restricted Subsidiary owns an Equity Interest in or otherwise controls such Person;</w:t>
      </w:r>
    </w:p>
    <w:p>
      <w:pPr>
        <w:spacing w:after="0" w:line="15" w:lineRule="exact"/>
        <w:rPr>
          <w:rFonts w:ascii="Arial" w:cs="Arial" w:eastAsia="Arial" w:hAnsi="Arial"/>
          <w:sz w:val="16"/>
          <w:szCs w:val="16"/>
          <w:color w:val="auto"/>
        </w:rPr>
      </w:pPr>
    </w:p>
    <w:p>
      <w:pPr>
        <w:ind w:left="900" w:right="60" w:firstLine="421"/>
        <w:spacing w:after="0" w:line="257" w:lineRule="auto"/>
        <w:tabs>
          <w:tab w:leader="none" w:pos="157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transactions with customers, clients, suppliers, or purchasers or sellers of goods or services, in each case in the ordinary course of business and otherwise in compliance with the terms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reasonable determination of the senior management of the Parent Guarantor, such transactions are on terms not materially less favorable to the Parent Guarantor or the relevant Restricted Subsidiary than those that could reasonably be expected to be obtained in a comparable transaction at such time on an arm’s-length basis from a Person that is not an Affiliate of the Parent Guarantor;</w:t>
      </w:r>
    </w:p>
    <w:p>
      <w:pPr>
        <w:spacing w:after="0" w:line="80" w:lineRule="exact"/>
        <w:rPr>
          <w:rFonts w:ascii="Arial" w:cs="Arial" w:eastAsia="Arial" w:hAnsi="Arial"/>
          <w:sz w:val="18"/>
          <w:szCs w:val="18"/>
          <w:color w:val="auto"/>
        </w:rPr>
      </w:pPr>
    </w:p>
    <w:p>
      <w:pPr>
        <w:ind w:left="900" w:right="40" w:firstLine="421"/>
        <w:spacing w:after="0" w:line="277" w:lineRule="auto"/>
        <w:tabs>
          <w:tab w:leader="none" w:pos="157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issuance or sale of any Qualified Equity Interests of the Parent Guarantor and the granting of registration and other customary rights in connection therewith to, or the receipt of capital contributions from, Affiliates of the Parent Guarantor;</w:t>
      </w:r>
    </w:p>
    <w:p>
      <w:pPr>
        <w:spacing w:after="0" w:line="62" w:lineRule="exact"/>
        <w:rPr>
          <w:rFonts w:ascii="Arial" w:cs="Arial" w:eastAsia="Arial" w:hAnsi="Arial"/>
          <w:sz w:val="18"/>
          <w:szCs w:val="18"/>
          <w:color w:val="auto"/>
        </w:rPr>
      </w:pPr>
    </w:p>
    <w:p>
      <w:pPr>
        <w:ind w:left="1580" w:hanging="259"/>
        <w:spacing w:after="0"/>
        <w:tabs>
          <w:tab w:leader="none" w:pos="15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pledging of Equity Interests of Unrestricted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60" w:top="274" w:right="239" w:bottom="1440" w:gutter="0" w:footer="0" w:header="0"/>
        </w:sectPr>
      </w:pPr>
    </w:p>
    <w:bookmarkStart w:id="171" w:name="page172"/>
    <w:bookmarkEnd w:id="171"/>
    <w:p>
      <w:pPr>
        <w:ind w:left="1600" w:hanging="259"/>
        <w:spacing w:after="0"/>
        <w:tabs>
          <w:tab w:leader="none" w:pos="16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transaction effected as part of a Permitted Factoring Transaction;</w:t>
      </w:r>
    </w:p>
    <w:p>
      <w:pPr>
        <w:spacing w:after="0" w:line="117" w:lineRule="exact"/>
        <w:rPr>
          <w:rFonts w:ascii="Arial" w:cs="Arial" w:eastAsia="Arial" w:hAnsi="Arial"/>
          <w:sz w:val="18"/>
          <w:szCs w:val="18"/>
          <w:color w:val="auto"/>
        </w:rPr>
      </w:pPr>
    </w:p>
    <w:p>
      <w:pPr>
        <w:ind w:left="920" w:right="280" w:firstLine="421"/>
        <w:spacing w:after="0" w:line="277" w:lineRule="auto"/>
        <w:tabs>
          <w:tab w:leader="none" w:pos="168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transaction where the only consideration paid by the Parent Guarantor or the relevant Restricted Subsidiary is Qualified Equity Interests of the Parent Guarantor;</w:t>
      </w:r>
    </w:p>
    <w:p>
      <w:pPr>
        <w:spacing w:after="0" w:line="62" w:lineRule="exact"/>
        <w:rPr>
          <w:rFonts w:ascii="Arial" w:cs="Arial" w:eastAsia="Arial" w:hAnsi="Arial"/>
          <w:sz w:val="18"/>
          <w:szCs w:val="18"/>
          <w:color w:val="auto"/>
        </w:rPr>
      </w:pPr>
    </w:p>
    <w:p>
      <w:pPr>
        <w:ind w:left="1680" w:hanging="339"/>
        <w:spacing w:after="0"/>
        <w:tabs>
          <w:tab w:leader="none" w:pos="16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agreements and transactions entered into or effected in connection with a Qualified Spin Transaction;</w:t>
      </w:r>
    </w:p>
    <w:p>
      <w:pPr>
        <w:spacing w:after="0" w:line="117" w:lineRule="exact"/>
        <w:rPr>
          <w:rFonts w:ascii="Arial" w:cs="Arial" w:eastAsia="Arial" w:hAnsi="Arial"/>
          <w:sz w:val="18"/>
          <w:szCs w:val="18"/>
          <w:color w:val="auto"/>
        </w:rPr>
      </w:pPr>
    </w:p>
    <w:p>
      <w:pPr>
        <w:ind w:left="1680" w:hanging="339"/>
        <w:spacing w:after="0"/>
        <w:tabs>
          <w:tab w:leader="none" w:pos="16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non-exclusive licenses of patents, copyrights, trademarks, trade secrets and other intellectual property;</w:t>
      </w:r>
    </w:p>
    <w:p>
      <w:pPr>
        <w:spacing w:after="0" w:line="117" w:lineRule="exact"/>
        <w:rPr>
          <w:rFonts w:ascii="Arial" w:cs="Arial" w:eastAsia="Arial" w:hAnsi="Arial"/>
          <w:sz w:val="18"/>
          <w:szCs w:val="18"/>
          <w:color w:val="auto"/>
        </w:rPr>
      </w:pPr>
    </w:p>
    <w:p>
      <w:pPr>
        <w:ind w:left="920" w:right="280" w:firstLine="421"/>
        <w:spacing w:after="0" w:line="259" w:lineRule="auto"/>
        <w:tabs>
          <w:tab w:leader="none" w:pos="168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transactions between the Parent Guarantor or any Restricted Subsidiary and any Person, a director of which is also a director of the Parent Guarantor, and such director is the sole cause for such Person to be deemed an Affiliate of the Parent Guarantor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director shall abstain from voting as a director of the Parent Guarantor on any matter involving such other Person; and</w:t>
      </w:r>
    </w:p>
    <w:p>
      <w:pPr>
        <w:spacing w:after="0" w:line="78" w:lineRule="exact"/>
        <w:rPr>
          <w:rFonts w:ascii="Arial" w:cs="Arial" w:eastAsia="Arial" w:hAnsi="Arial"/>
          <w:sz w:val="18"/>
          <w:szCs w:val="18"/>
          <w:color w:val="auto"/>
        </w:rPr>
      </w:pPr>
    </w:p>
    <w:p>
      <w:pPr>
        <w:ind w:left="1680" w:hanging="339"/>
        <w:spacing w:after="0"/>
        <w:tabs>
          <w:tab w:leader="none" w:pos="16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agreements and transactions entered into or effected in connection with the payment of Related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Additional Guarantees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If, after the Issue Date, any Restricted Subsidiary of the Parent Guarantor, other than the Issuer or a Guarantor, shall guarantee or otherwise incur any Debt (excluding any Debt under a Credit Facility incurred pursuant to clause (1) of the definition of Permitted Indebtedness) in an aggregate principal amount in excess of 15.0% of the Consolidated Tangible Assets of the Parent Guarantor, then the Parent Guarantor shall, within thirty (30) days thereof, cause such Restricted Subsidiary to execute and deliver to the Trustee a supplemental indenture substantially in the form of Annex E pursuant to which such Restricted Subsidiary shall become a Guarantor with respect to the Notes, upon the terms and subject to the release provisions and other limitations in Article Fifteen.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Covenant Termination</w:t>
      </w:r>
      <w:r>
        <w:rPr>
          <w:rFonts w:ascii="Arial" w:cs="Arial" w:eastAsia="Arial" w:hAnsi="Arial"/>
          <w:sz w:val="18"/>
          <w:szCs w:val="18"/>
          <w:color w:val="auto"/>
        </w:rPr>
        <w:t>.</w:t>
      </w:r>
    </w:p>
    <w:p>
      <w:pPr>
        <w:spacing w:after="0" w:line="117"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Following the first date that the Notes have an Investment Grade Rating and no Default or Event of Default has occurred and is then continuing, then upon delivery by the Issuer to the Trustee of an Officer’s Certificate to the foregoing effect, the Parent Guarantor and its Restricted Subsidiaries will no longer be subject to the provisions of Sections 1106, 1108, 1109, 1111 and 1113.</w:t>
      </w:r>
    </w:p>
    <w:p>
      <w:pPr>
        <w:spacing w:after="0" w:line="18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After the foregoing covenants have been terminated, the Issuer may not designate any of its Subsidiaries as Unrestricted Subsidiaries pursuant to the second sentence of the definition of “Unrestricted Subsidiary.”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TWELVE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Notes shall be redeemable at the election of the Issuer in accordance with their terms and in accordance with this Article.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74" w:right="2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case of any redemption of less than all Notes, the Issuer shall, at least 5 Business Days prior to the last date a notice of redemption may be provided to Holders under Section 1205 (unless a shorter notice shall be satisfactory to the Trustee), notify the Trustee of such Redemption Date and of the principal amount of Notes to be redeemed. In the case of any redemption of Notes prior to the expiration of any restriction on such redemption provided in the terms of such Notes or elsewhere in the Indenture, the Issuer shall furnish the Trustee, prior to giving notice of such redemption, with an Officer’s Certificate evidencing compliance with such restriction.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117" w:lineRule="exact"/>
        <w:rPr>
          <w:sz w:val="20"/>
          <w:szCs w:val="20"/>
          <w:color w:val="auto"/>
        </w:rPr>
      </w:pPr>
    </w:p>
    <w:p>
      <w:pPr>
        <w:ind w:right="180" w:firstLine="921"/>
        <w:spacing w:after="0" w:line="259" w:lineRule="auto"/>
        <w:tabs>
          <w:tab w:leader="none" w:pos="115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At any time on or after November 15, 2023 (the “Par Call Date”), the Notes will be redeemable, at the Issuer’s option, at any time in whole, or from time to time in part, at a Redemption Price equal to 100% of the principal amount of the Notes to be redeemed, plus accrued and unpaid interest thereon, if any, to the Redemption Date (subject to the right of Holders on the relevant record date to receive interest due on the relevant Interest Payment Date).</w:t>
      </w:r>
    </w:p>
    <w:p>
      <w:pPr>
        <w:spacing w:after="0" w:line="78" w:lineRule="exact"/>
        <w:rPr>
          <w:rFonts w:ascii="Arial" w:cs="Arial" w:eastAsia="Arial" w:hAnsi="Arial"/>
          <w:sz w:val="18"/>
          <w:szCs w:val="18"/>
          <w:color w:val="auto"/>
        </w:rPr>
      </w:pPr>
    </w:p>
    <w:p>
      <w:pPr>
        <w:ind w:right="20" w:firstLine="921"/>
        <w:spacing w:after="0" w:line="290" w:lineRule="auto"/>
        <w:tabs>
          <w:tab w:leader="none" w:pos="116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At any time prior to the Par Call Date, the Notes will be redeemable, at the Issuer’s option, at any time in whole, or from time to time in part, at a Redemption Price equal to the greater of: (1) 100% of the principal amount of the Notes to be redeemed; or (2) the sum of the present values of the remaining scheduled payments of principal and interest (at the rate in effect on the date of calculation of the Redemption Price) on the Notes to be redeemed (exclusive of interest accrued to the Redemption Date) that would have been due if the Notes had matured on the Par Call Date, discounted to the Redemption Date on a semi-annual basis (assuming a 360-day year consisting of twelve 30-day months) at the applicable Treasury Yield plus 50 basis points (the “Make-Whole Price”); plus accrued and unpaid interest to the Redemption Date (subject to the right of Holders on the relevant record date to receive interest due on the relevant Interest Payment Date). The actual Redemption Price payable pursuant to this Section 1203(b) will be calculated and certified to the Trustee and the Issuer by the Independent Investment Banker. For purposes of determining such optional Redemption Price, the following definitions are applicable:</w:t>
      </w:r>
    </w:p>
    <w:p>
      <w:pPr>
        <w:spacing w:after="0" w:line="166" w:lineRule="exact"/>
        <w:rPr>
          <w:sz w:val="20"/>
          <w:szCs w:val="20"/>
          <w:color w:val="auto"/>
        </w:rPr>
      </w:pPr>
    </w:p>
    <w:p>
      <w:pPr>
        <w:jc w:val="both"/>
        <w:ind w:right="76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Yield</w:t>
      </w:r>
      <w:r>
        <w:rPr>
          <w:rFonts w:ascii="Arial" w:cs="Arial" w:eastAsia="Arial" w:hAnsi="Arial"/>
          <w:sz w:val="16"/>
          <w:szCs w:val="16"/>
          <w:color w:val="auto"/>
        </w:rPr>
        <w:t>” means, with respect to any Redemption Date,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Comparable Treasury Price for such Redemption Date.</w:t>
      </w:r>
    </w:p>
    <w:p>
      <w:pPr>
        <w:spacing w:after="0" w:line="147"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Treasury Issue</w:t>
      </w:r>
      <w:r>
        <w:rPr>
          <w:rFonts w:ascii="Arial" w:cs="Arial" w:eastAsia="Arial" w:hAnsi="Arial"/>
          <w:sz w:val="17"/>
          <w:szCs w:val="17"/>
          <w:color w:val="auto"/>
        </w:rPr>
        <w:t xml:space="preserve">” means the United States Treasury security selected by the Independent Investment Banker as having a maturity comparable to the remaining term of the Notes to be redeemed, calculated as if the maturity date of the Notes were the Par Call Date (the “Remaining Life”), that would be utilized, at the time of selection and in accordance with customary financial practice, in pricing new issues of corporate debt securities of comparable maturity to the Remaining Life of the Notes to be redeemed;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no maturity is within three months before or after the Par Call Date, yields for the two published maturities most closely corresponding to such United States Treasury security will be determined and the treasury rate will be interpolated or extrapolated from those yields on a straight line basis rounding to the nearest month.</w:t>
      </w:r>
    </w:p>
    <w:p>
      <w:pPr>
        <w:spacing w:after="0" w:line="178" w:lineRule="exact"/>
        <w:rPr>
          <w:sz w:val="20"/>
          <w:szCs w:val="20"/>
          <w:color w:val="auto"/>
        </w:rPr>
      </w:pPr>
    </w:p>
    <w:p>
      <w:pPr>
        <w:ind w:right="50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Independent Investment Banker</w:t>
      </w:r>
      <w:r>
        <w:rPr>
          <w:rFonts w:ascii="Arial" w:cs="Arial" w:eastAsia="Arial" w:hAnsi="Arial"/>
          <w:sz w:val="17"/>
          <w:szCs w:val="17"/>
          <w:color w:val="auto"/>
        </w:rPr>
        <w:t>” means Morgan Stanley &amp; Co. LLC and its successors or, if such firm is not willing and able to select the applicable Comparable Treasury Issue, an independent investment banking institution of national standing appointed by the Issuer.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4" w:right="239" w:bottom="1440" w:gutter="0" w:footer="0" w:header="0"/>
        </w:sectPr>
      </w:pPr>
    </w:p>
    <w:bookmarkStart w:id="173" w:name="page174"/>
    <w:bookmarkEnd w:id="173"/>
    <w:p>
      <w:pPr>
        <w:ind w:right="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(a) the average of the Reference Treasury Dealer Quotations for the Redemption Date, after excluding the highest and lowest Reference Treasury Dealer Quotations, or (b) if the Independent Investment Banker obtains fewer than four Reference Treasury Dealer Quotations, the average of all such quotations.</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Morgan Stanley &amp; Co. LLC so long as it is a primary U.S. Government securities dealer in the United States (a “Primary Treasury Dealer”) at the relevant time and, if it is not then a Primary Treasury Dealer, then a Primary Treasury Dealer selected by it, and its successors, plus at least three other Primary Treasury Dealers selected by the Issuer.</w:t>
      </w:r>
    </w:p>
    <w:p>
      <w:pPr>
        <w:spacing w:after="0" w:line="18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for the Notes, an average, as determined by the Independent Investment Banker, of the bid and asked prices for the Comparable Treasury Issue (expressed in each case as a percentage of its principal amount) quoted in writing to the Independent Investment Banker by such Reference Treasury Dealer at 5:00 p.m., New York City time, on the third business day preceding such Redemption Date.</w:t>
      </w:r>
    </w:p>
    <w:p>
      <w:pPr>
        <w:spacing w:after="0" w:line="79" w:lineRule="exact"/>
        <w:rPr>
          <w:sz w:val="20"/>
          <w:szCs w:val="20"/>
          <w:color w:val="auto"/>
        </w:rPr>
      </w:pPr>
    </w:p>
    <w:p>
      <w:pPr>
        <w:ind w:right="140" w:firstLine="921"/>
        <w:spacing w:after="0" w:line="277" w:lineRule="auto"/>
        <w:tabs>
          <w:tab w:leader="none" w:pos="115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Notes may be redeemed, as a whole, following certain Change of Control Offers pursuant to Section 1107, at the Redemption Price and subject to the conditions set forth in such Section.</w:t>
      </w:r>
    </w:p>
    <w:p>
      <w:pPr>
        <w:spacing w:after="0" w:line="62" w:lineRule="exact"/>
        <w:rPr>
          <w:rFonts w:ascii="Arial" w:cs="Arial" w:eastAsia="Arial" w:hAnsi="Arial"/>
          <w:sz w:val="18"/>
          <w:szCs w:val="18"/>
          <w:color w:val="auto"/>
        </w:rPr>
      </w:pPr>
    </w:p>
    <w:p>
      <w:pPr>
        <w:ind w:firstLine="921"/>
        <w:spacing w:after="0" w:line="270" w:lineRule="auto"/>
        <w:tabs>
          <w:tab w:leader="none" w:pos="116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Prior to the Stated Maturity of the Notes, if the Issuer or a Guarantor has, or on the next Interest Payment Date would, become obligated to pay to the Holder or beneficial owner of any Note, Additional Amounts as a result of any change or amendment on or after the date of the Offering Memorandum in the laws or any rules or regulations of a Relevant Taxing Jurisdiction or any change on or after the date of the Offering Memorandum in an interpretation, administration or application of such laws, rules or regulations by any legislative body, court, governmental agency, taxing authority or regulatory or administrative authority of such Relevant Taxing Jurisdiction (including the enactment of any legislation and the formal announcement or publication of any judicial decision or regulatory or administrative interpretation or determination), then the Issuer may, at its option, redeem all, but not less than all, of the Note, for cash at a Redemption Price equal to 100% of the principal amount thereof, together with accrued and unpaid interest, if any, to the Redemption Date. The Redemption Date will be a Business Day of the Issuer’s choosing that is no more than 60, nor less than 30, calendar days after the date the related redemption notice is sent pursuant to Section 1205.</w:t>
      </w:r>
    </w:p>
    <w:p>
      <w:pPr>
        <w:spacing w:after="0" w:line="73" w:lineRule="exact"/>
        <w:rPr>
          <w:rFonts w:ascii="Arial" w:cs="Arial" w:eastAsia="Arial" w:hAnsi="Arial"/>
          <w:sz w:val="17"/>
          <w:szCs w:val="17"/>
          <w:color w:val="auto"/>
        </w:rPr>
      </w:pPr>
    </w:p>
    <w:p>
      <w:pPr>
        <w:ind w:right="100" w:firstLine="921"/>
        <w:spacing w:after="0" w:line="259" w:lineRule="auto"/>
        <w:tabs>
          <w:tab w:leader="none" w:pos="115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a Redemption Date is after a record date and on or before the next Interest Payment Date, then (i) the Holder of a Note at the close of business on such record date will be entitled, notwithstanding such redemption, to receive, on such Redemption Date, the unpaid interest that would have accrued on such Note to such Redemption Date and (ii) the Redemption Price will not include accrued and unpaid interest on such Note to such Redemption Date.</w:t>
      </w:r>
    </w:p>
    <w:p>
      <w:pPr>
        <w:spacing w:after="0" w:line="78" w:lineRule="exact"/>
        <w:rPr>
          <w:rFonts w:ascii="Arial" w:cs="Arial" w:eastAsia="Arial" w:hAnsi="Arial"/>
          <w:sz w:val="18"/>
          <w:szCs w:val="18"/>
          <w:color w:val="auto"/>
        </w:rPr>
      </w:pPr>
    </w:p>
    <w:p>
      <w:pPr>
        <w:ind w:right="120" w:firstLine="921"/>
        <w:spacing w:after="0" w:line="277" w:lineRule="auto"/>
        <w:tabs>
          <w:tab w:leader="none" w:pos="113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Notes called for redemption must be delivered to the Paying Agent (in the case of certificated Notes) or the Depositary’s procedures must be complied with (in the case of Global Notes) for the Holder of those Notes to be entitled to receive the Redemption Price.</w:t>
      </w:r>
    </w:p>
    <w:p>
      <w:pPr>
        <w:spacing w:after="0" w:line="62" w:lineRule="exact"/>
        <w:rPr>
          <w:rFonts w:ascii="Arial" w:cs="Arial" w:eastAsia="Arial" w:hAnsi="Arial"/>
          <w:sz w:val="18"/>
          <w:szCs w:val="18"/>
          <w:color w:val="auto"/>
        </w:rPr>
      </w:pPr>
    </w:p>
    <w:p>
      <w:pPr>
        <w:ind w:right="100" w:firstLine="921"/>
        <w:spacing w:after="0" w:line="264" w:lineRule="auto"/>
        <w:tabs>
          <w:tab w:leader="none" w:pos="116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1203, the Issuer may not redeem any Notes if the principal amount of the Notes has been accelerated and such acceleration has not been rescinded on or before the Redemption Date (including as a result of the payment of the related Redemption Price and any related interest on the Redemption Date).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274" w:right="27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1204. </w:t>
      </w:r>
      <w:r>
        <w:rPr>
          <w:rFonts w:ascii="Arial" w:cs="Arial" w:eastAsia="Arial" w:hAnsi="Arial"/>
          <w:sz w:val="18"/>
          <w:szCs w:val="18"/>
          <w:u w:val="single" w:color="auto"/>
          <w:color w:val="auto"/>
        </w:rPr>
        <w:t>Selection by Trustee of Notes to Be Redeemed</w:t>
      </w:r>
      <w:r>
        <w:rPr>
          <w:rFonts w:ascii="Arial" w:cs="Arial" w:eastAsia="Arial" w:hAnsi="Arial"/>
          <w:sz w:val="18"/>
          <w:szCs w:val="18"/>
          <w:color w:val="auto"/>
        </w:rPr>
        <w:t>.</w:t>
      </w:r>
    </w:p>
    <w:p>
      <w:pPr>
        <w:spacing w:after="0" w:line="117" w:lineRule="exact"/>
        <w:rPr>
          <w:sz w:val="20"/>
          <w:szCs w:val="20"/>
          <w:color w:val="auto"/>
        </w:rPr>
      </w:pPr>
    </w:p>
    <w:p>
      <w:pPr>
        <w:jc w:val="both"/>
        <w:ind w:firstLine="913"/>
        <w:spacing w:after="0" w:line="276" w:lineRule="auto"/>
        <w:rPr>
          <w:sz w:val="20"/>
          <w:szCs w:val="20"/>
          <w:color w:val="auto"/>
        </w:rPr>
      </w:pPr>
      <w:r>
        <w:rPr>
          <w:rFonts w:ascii="Arial" w:cs="Arial" w:eastAsia="Arial" w:hAnsi="Arial"/>
          <w:sz w:val="17"/>
          <w:szCs w:val="17"/>
          <w:color w:val="auto"/>
        </w:rPr>
        <w:t xml:space="preserve">In the event that less than all of the Notes are to be redeemed at any time pursuant to an optional redemption, the Trustee will select the Notes for redemption in compliance with the requirements of the principal national securities exchange, if any, on which the Notes are listed or, if the Notes are not then listed on a national security exchange, on a pro rata basis, by lot or by such method as the Trustee in its sole discretion shall deem fair and appropriate (except that any Notes represented by a Global Note will be redeemed by such method as the Depositary may require);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Notes of a principal amount of $2,000 in original principal amount or less shall be redeemed in part.</w:t>
      </w:r>
    </w:p>
    <w:p>
      <w:pPr>
        <w:spacing w:after="0" w:line="173"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For all purposes of the Indenture, unless the context otherwise requires, all provisions relating to the redemption of Notes shall relate, in the case of any Notes redeemed or to be redeemed only in part, to the portion of the principal amount of such Notes which has been or is to be redeemed.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Notice of redemption shall be given by first-class mail, postage prepaid, mailed (or, in the case of any notice to the Holder of a Global Note, sent electronically in accordance with the Depositary’s procedures) not less than 30 nor more than 60 days prior to the Redemption Date, to (i) each Holder of Notes to be redeemed, at its address appearing in the Security Register and (ii) in the case of any redemption pursuant to Section 1203(d), to any beneficial owner of an interest in a Global Note, if required by applicable law, except that redemption notices may be sent more than 60 days prior to a Redemption Date if the notice is issued in connection with a Legal Defeasance or Covenant Defeasance of the Notes or a satisfaction and discharge of the Indenture pursuant to Article Five.</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notices of redemption shall state:</w:t>
      </w:r>
    </w:p>
    <w:p>
      <w:pPr>
        <w:spacing w:after="0" w:line="117" w:lineRule="exact"/>
        <w:rPr>
          <w:sz w:val="20"/>
          <w:szCs w:val="20"/>
          <w:color w:val="auto"/>
        </w:rPr>
      </w:pPr>
    </w:p>
    <w:p>
      <w:pPr>
        <w:ind w:left="1600" w:hanging="259"/>
        <w:spacing w:after="0"/>
        <w:tabs>
          <w:tab w:leader="none" w:pos="16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Redemption Price, if then determined and otherwise the manner of calculation thereof,</w:t>
      </w:r>
    </w:p>
    <w:p>
      <w:pPr>
        <w:spacing w:after="0" w:line="117" w:lineRule="exact"/>
        <w:rPr>
          <w:rFonts w:ascii="Arial" w:cs="Arial" w:eastAsia="Arial" w:hAnsi="Arial"/>
          <w:sz w:val="18"/>
          <w:szCs w:val="18"/>
          <w:color w:val="auto"/>
        </w:rPr>
      </w:pPr>
    </w:p>
    <w:p>
      <w:pPr>
        <w:ind w:left="920" w:right="20" w:firstLine="421"/>
        <w:spacing w:after="0" w:line="277" w:lineRule="auto"/>
        <w:tabs>
          <w:tab w:leader="none" w:pos="159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less than all the Outstanding Notes are to be redeemed, the identification (and, in the case of partial redemption of any such Notes, the principal amounts) of the particular Notes to be redeemed,</w:t>
      </w:r>
    </w:p>
    <w:p>
      <w:pPr>
        <w:spacing w:after="0" w:line="62" w:lineRule="exact"/>
        <w:rPr>
          <w:rFonts w:ascii="Arial" w:cs="Arial" w:eastAsia="Arial" w:hAnsi="Arial"/>
          <w:sz w:val="18"/>
          <w:szCs w:val="18"/>
          <w:color w:val="auto"/>
        </w:rPr>
      </w:pPr>
    </w:p>
    <w:p>
      <w:pPr>
        <w:ind w:left="920" w:right="300" w:firstLine="421"/>
        <w:spacing w:after="0" w:line="277" w:lineRule="auto"/>
        <w:tabs>
          <w:tab w:leader="none" w:pos="159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Note be redeemed and that interest thereon will cease to accrue on and after said date,</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place or places where each such Note is to be surrendered for payment of the Redemption Price,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CUSIP/ISIN numbers of the Notes; and</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conditions precedent for the redemption or notice of redemption.</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Notice of redemption of Notes to be redeemed at the election of the Issuer shall be given by the Issuer or, at the Issuer’s request, by the Trustee in the name and at the expense of the Issuer and shall be irrevocable. Any redemption or notice of redemption may, at the Issuer’s discretion, be subject to one or more conditions precedent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4"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1206.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117"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Prior to 11:00 a.m., New York City time, on any Redemption Date, the Issuer shall deposit with the Trustee or with a Paying Agent (or, if the Issuer or a Subsidiary is acting as its own Paying Agent, segregate and hold in trust as provided in Section 1103) an amount of money sufficient to pay the Redemption Price of, and (except if the Redemption Date shall be an Interest Payment Date) accrued interest on, all the Notes which are to be redeemed on that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Notes Payable on Redemption Date</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Notice of redemption having been given as aforesaid, the Notes so to be redeemed shall, on the Redemption Date, become due and payable at the Redemption Price therein specified, and from and after such date (unless the Issuer shall default in the payment of the Redemption Price and accrued interest) such Notes shall cease to bear interest. Upon surrender of any such Notes for redemption in accordance with said notice, such Notes shall be paid by the Issuer at the Redemption Price, together with accrued interest to the Redemption Date, except as provided in Section 1203(e).</w:t>
      </w:r>
    </w:p>
    <w:p>
      <w:pPr>
        <w:spacing w:after="0" w:line="154"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If any Note called for redemption shall not be so paid upon surrender thereof for redemption, the principal and any premium shall, until paid, bear interest from the Redemption Date at the rate prescribed therefor in the Note.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u w:val="single" w:color="auto"/>
          <w:color w:val="auto"/>
        </w:rPr>
        <w:t>Notes Redeemed in Part</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Any Note which is to be redeemed only in part shall be surrendered at a Place of Payment therefor (with, if the Issuer or the Trustee so requires, due endorsement by, or a written instrument of transfer in form satisfactory to the Issuer and the Trustee duly executed by, the Holder thereof or its attorney duly authorized in writing), and the Issuer shall execute and the Trustee shall authenticate and deliver to the Holder of such Note without service charge, a new Note or Notes of like tenor, and of any authorized denomination as requested by such Holder, in aggregate principal amount equal to and in exchange for the unredeemed portion of the principal of the Note so surrendered.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THIRTEEN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SINKING FUND; OTHER ACQUISITIONS OF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Mandatory Redemption, Etc.</w:t>
      </w:r>
    </w:p>
    <w:p>
      <w:pPr>
        <w:spacing w:after="0" w:line="11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The Issuer will not be required to make mandatory redemption or sinking fund payments with respect to the Notes. The Issuer may purchase Notes in the market from time to time in its discretion.</w:t>
      </w:r>
    </w:p>
    <w:p>
      <w:pPr>
        <w:spacing w:after="0" w:line="170"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The Issuer may acquire Notes by means other than a redemption, whether pursuant to a tender offer, open market purchase, negotiated transaction or otherwise, in accordance with applicable securities laws.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FOURTEEN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Issuer’s Option to Effect Legal Defeasance or Covenant Defeasance</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The Issuer may elect, at its option at any time, to have Section 1402 or Section 1403 applied to the Notes, upon compliance with the conditions set forth below in this Article. Any such election shall be evidenced in or pursuant to a Board Resolution delivered to the Trustee.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274" w:right="27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1402. </w:t>
      </w:r>
      <w:r>
        <w:rPr>
          <w:rFonts w:ascii="Arial" w:cs="Arial" w:eastAsia="Arial" w:hAnsi="Arial"/>
          <w:sz w:val="18"/>
          <w:szCs w:val="18"/>
          <w:u w:val="single" w:color="auto"/>
          <w:color w:val="auto"/>
        </w:rPr>
        <w:t>Defeasance and Discharge</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Upon the Issuer’s exercise of its option to have this Section applied to the Notes, the Issuer and the Guarantors shall be deemed to have been discharged from their respective obligations hereunder as provided in this Section on and after the date the conditions set forth in Section 1404 are satisfied (hereinafter called “Legal Defeasance”). For this purpose, such Legal Defeasance means that the Issuer and the Guarantors shall be deemed to have paid and discharged the entire indebtedness represented by the Notes and the Guarantees and to have satisfied all their other respective obligations under the Indenture (and the Trustee, upon Issuer Request and at the expense of the Issuer, shall execute proper instruments acknowledging the same), and the Indenture shall cease to be of further effect as to all Outstanding Notes and all Guarantees, except as to the following, which shall survive until otherwise terminated or discharged hereunder: (1) the rights of Holders of the Notes to receive, solely from the trust fund described in Section 1404 and as more fully set forth in such Section, payments in respect of the principal of, and interest and premium, if any, on, the Notes when payments are due, (2) the Issuer’s obligations under Sections 404, 405, 406, 1102, 1103 and 1104(a) and its obligations under Section 314(a) of the Trust Indenture Act, (3) the rights, powers, trusts, duties and immunities of the Trustee hereunder and the obligations of the Issuer and the Guarantors in connection therewith and (4) this Article. If the Issuer exercises its defeasance option pursuant to this Section 1402, the payment of the defeased Notes may not be accelerated pursuant to Section 602 because of an Event of Default. Subject to compliance with this Article, the Issuer may exercise its option (if any) to have this Section applied to the Notes notwithstanding the prior exercise of its option (if any) to have Section 1403 applied to the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1403.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Upon the Issuer’s exercise of its option to have this Section applied to the Notes, (1) the Issuer shall be released from its obligations under Section 901(3), Section 1106, Sections 1107 through 1115, inclusive; (2) the occurrence of any event specified in Sections 601(3) (with respect only to the obligation under Section 901(3)), 601(4), 601(5), 601(6), 601(7) (with respect only to Significant Subsidiaries) or 601(8) (with respect only to Significant Subsidiaries), 601(9) and 601(10) shall be deemed not to be or to result in a Default or an Event of Default, and (3) the Guarantees shall be automatically released, in each case as provided in this Section on and after the date the conditions set forth in Section 1404 are satisfied (hereinafter called “Covenant Defeasance”). For this purpose, such Covenant Defeasance means that the Issuer may omit to comply with and shall have no liability in respect of any term, condition or limitation set forth in any such specified Section, whether directly or indirectly by reason of any reference elsewhere herein to any such Section or Article or by reason of any reference in any such Section or Article to any other provision herein or in any other document, and any such omission will not constitute a Default or an Event of Default.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u w:val="single" w:color="auto"/>
          <w:color w:val="auto"/>
        </w:rPr>
        <w:t>Conditions to Legal Defeasance or Covenant Defeasance</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shall be the conditions to the application of Section 1402 or 1403:</w:t>
      </w:r>
    </w:p>
    <w:p>
      <w:pPr>
        <w:spacing w:after="0" w:line="117" w:lineRule="exact"/>
        <w:rPr>
          <w:sz w:val="20"/>
          <w:szCs w:val="20"/>
          <w:color w:val="auto"/>
        </w:rPr>
      </w:pPr>
    </w:p>
    <w:p>
      <w:pPr>
        <w:ind w:left="920" w:firstLine="421"/>
        <w:spacing w:after="0" w:line="257" w:lineRule="auto"/>
        <w:tabs>
          <w:tab w:leader="none" w:pos="15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Issuer must irrevocably deposit with the Trustee, as trust funds, in trust solely for the benefit of the Holders, Dollars, U.S. Government Obligations or a combination thereof, in such amounts as will be sufficient (without consideration of any reinvestment of interest) in the opinion of a nationally recognized investment bank, appraisal firm or firm of independent public accountants selected by the Issuer and delivered to the Trustee, to pay the principal of and interest and premium, if any, on the Outstanding Notes on the stated date for payment thereof or on the applicable Redemption Date, as the case may be,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274" w:right="259" w:bottom="1440" w:gutter="0" w:footer="0" w:header="0"/>
        </w:sectPr>
      </w:pPr>
    </w:p>
    <w:bookmarkStart w:id="177" w:name="page178"/>
    <w:bookmarkEnd w:id="177"/>
    <w:p>
      <w:pPr>
        <w:ind w:left="13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in the case of Legal Defeasance, the Issuer shall have delivered to the Trustee an Opinion of Counsel in the United States confirming</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that:</w:t>
      </w:r>
    </w:p>
    <w:p>
      <w:pPr>
        <w:spacing w:after="0" w:line="103" w:lineRule="exact"/>
        <w:rPr>
          <w:sz w:val="20"/>
          <w:szCs w:val="20"/>
          <w:color w:val="auto"/>
        </w:rPr>
      </w:pPr>
    </w:p>
    <w:p>
      <w:pPr>
        <w:ind w:left="2140" w:hanging="251"/>
        <w:spacing w:after="0"/>
        <w:tabs>
          <w:tab w:leader="none" w:pos="21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Issuer has received from, or there has been published by the Internal Revenue Service, a ruling, or</w:t>
      </w:r>
    </w:p>
    <w:p>
      <w:pPr>
        <w:spacing w:after="0" w:line="117" w:lineRule="exact"/>
        <w:rPr>
          <w:rFonts w:ascii="Arial" w:cs="Arial" w:eastAsia="Arial" w:hAnsi="Arial"/>
          <w:sz w:val="18"/>
          <w:szCs w:val="18"/>
          <w:color w:val="auto"/>
        </w:rPr>
      </w:pPr>
    </w:p>
    <w:p>
      <w:pPr>
        <w:ind w:left="2140" w:hanging="251"/>
        <w:spacing w:after="0"/>
        <w:tabs>
          <w:tab w:leader="none" w:pos="21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since the date of the Indenture, there has been a change in the applicable U.S. federal income tax law,</w:t>
      </w:r>
    </w:p>
    <w:p>
      <w:pPr>
        <w:spacing w:after="0" w:line="117" w:lineRule="exact"/>
        <w:rPr>
          <w:sz w:val="20"/>
          <w:szCs w:val="20"/>
          <w:color w:val="auto"/>
        </w:rPr>
      </w:pPr>
    </w:p>
    <w:p>
      <w:pPr>
        <w:ind w:left="1500"/>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the Holders of the Outstanding Notes will not recognize income, gain or loss for U.S. federal income tax purposes as a result of the Legal Defeasance and will be subject to U.S. federal income tax on the same amounts, in the same manner and at the same times as would have been the case if such Legal Defeasance had not occurred,</w:t>
      </w:r>
    </w:p>
    <w:p>
      <w:pPr>
        <w:spacing w:after="0" w:line="79" w:lineRule="exact"/>
        <w:rPr>
          <w:sz w:val="20"/>
          <w:szCs w:val="20"/>
          <w:color w:val="auto"/>
        </w:rPr>
      </w:pPr>
    </w:p>
    <w:p>
      <w:pPr>
        <w:ind w:left="920" w:right="260" w:firstLine="421"/>
        <w:spacing w:after="0" w:line="279" w:lineRule="auto"/>
        <w:tabs>
          <w:tab w:leader="none" w:pos="159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in the case of Covenant Defeasance, the Issuer shall have delivered to the Trustee an Opinion of Counsel in the United States reasonably acceptable to the Trustee confirming that the Holders of the Outstanding Notes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w:t>
      </w:r>
    </w:p>
    <w:p>
      <w:pPr>
        <w:spacing w:after="0" w:line="63" w:lineRule="exact"/>
        <w:rPr>
          <w:rFonts w:ascii="Arial" w:cs="Arial" w:eastAsia="Arial" w:hAnsi="Arial"/>
          <w:sz w:val="17"/>
          <w:szCs w:val="17"/>
          <w:color w:val="auto"/>
        </w:rPr>
      </w:pPr>
    </w:p>
    <w:p>
      <w:pPr>
        <w:ind w:left="920" w:firstLine="421"/>
        <w:spacing w:after="0" w:line="277" w:lineRule="auto"/>
        <w:tabs>
          <w:tab w:leader="none" w:pos="15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the date of such deposit (other than a Default resulting from the borrowing of funds to be applied to such deposit and the grant of any Lien securing such borrowings),</w:t>
      </w:r>
    </w:p>
    <w:p>
      <w:pPr>
        <w:spacing w:after="0" w:line="62" w:lineRule="exact"/>
        <w:rPr>
          <w:rFonts w:ascii="Arial" w:cs="Arial" w:eastAsia="Arial" w:hAnsi="Arial"/>
          <w:sz w:val="18"/>
          <w:szCs w:val="18"/>
          <w:color w:val="auto"/>
        </w:rPr>
      </w:pPr>
    </w:p>
    <w:p>
      <w:pPr>
        <w:ind w:left="920" w:right="80" w:firstLine="421"/>
        <w:spacing w:after="0" w:line="312" w:lineRule="auto"/>
        <w:tabs>
          <w:tab w:leader="none" w:pos="159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Legal Defeasance or Covenant Defeasance shall not result in a breach or violation of, or constitute a default under any other material agreement or instrument (other than the Indenture and the agreements governing any other Indebtedness being defeased, discharge or replaced) to which the Parent Guarantor or any of its Subsidiaries is a party or by which the Parent Guarantor or any of its Subsidiaries is bound,</w:t>
      </w:r>
    </w:p>
    <w:p>
      <w:pPr>
        <w:spacing w:after="0" w:line="38" w:lineRule="exact"/>
        <w:rPr>
          <w:rFonts w:ascii="Arial" w:cs="Arial" w:eastAsia="Arial" w:hAnsi="Arial"/>
          <w:sz w:val="16"/>
          <w:szCs w:val="16"/>
          <w:color w:val="auto"/>
        </w:rPr>
      </w:pPr>
    </w:p>
    <w:p>
      <w:pPr>
        <w:ind w:left="920" w:right="40" w:firstLine="421"/>
        <w:spacing w:after="0" w:line="264" w:lineRule="auto"/>
        <w:tabs>
          <w:tab w:leader="none" w:pos="15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stating that the deposit was not made by it with the intent of preferring the Holders over any other of its creditors or with the intent of defeating, hindering, delaying or defrauding any other of its creditors or others, and</w:t>
      </w:r>
    </w:p>
    <w:p>
      <w:pPr>
        <w:spacing w:after="0" w:line="73" w:lineRule="exact"/>
        <w:rPr>
          <w:rFonts w:ascii="Arial" w:cs="Arial" w:eastAsia="Arial" w:hAnsi="Arial"/>
          <w:sz w:val="18"/>
          <w:szCs w:val="18"/>
          <w:color w:val="auto"/>
        </w:rPr>
      </w:pPr>
    </w:p>
    <w:p>
      <w:pPr>
        <w:ind w:left="920" w:right="640" w:firstLine="421"/>
        <w:spacing w:after="0" w:line="277" w:lineRule="auto"/>
        <w:tabs>
          <w:tab w:leader="none" w:pos="15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to the effect that the conditions precedent provided for in clauses (1) through (6) have been complied 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1405. </w:t>
      </w:r>
      <w:r>
        <w:rPr>
          <w:rFonts w:ascii="Arial" w:cs="Arial" w:eastAsia="Arial" w:hAnsi="Arial"/>
          <w:sz w:val="18"/>
          <w:szCs w:val="18"/>
          <w:u w:val="single" w:color="auto"/>
          <w:color w:val="auto"/>
        </w:rPr>
        <w:t>Deposited Money and U.S. Government Obligations to Be Held in Trust; Miscellaneous Provisions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Subject to the provisions of the last paragraph of Section 1103, all money and U.S. Government Obligations (including the proceeds thereof) deposited with the Trustee pursuant to Section 1404 in respect of any Notes shall be held in trust and applied by the Trustee, in accordance with the provisions of such Notes and the Indenture, to the payment, either directly or through any such Paying Agent (including the Issuer acting as its own Paying Agent) as the Trustee may determine, to the Holders of such Notes, of all sums due and to become due thereon in respect of principal and any premium and interest, but money so held in trust need not be segregated from other funds except to the extent required by law.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178" w:name="page179"/>
    <w:bookmarkEnd w:id="178"/>
    <w:p>
      <w:pPr>
        <w:ind w:right="10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shall pay and indemnify the Trustee against any tax, fee or other charge imposed on or assessed against the U.S. Government Obligations deposited pursuant to Section 1404 or the principal and interest received in respect thereof other than any such tax, fee or other charge which by law is for the account of the Holders of Outstanding Notes.</w:t>
      </w:r>
    </w:p>
    <w:p>
      <w:pPr>
        <w:spacing w:after="0" w:line="18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Anything in this Article to the contrary notwithstanding, the Trustee shall deliver or pay to the Issuer from time to time upon Issuer Request any money or U.S. Government Obligations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Legal Defeasance or Covenant Defeasance, as the case may be.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 xml:space="preserve">If the Trustee or any Paying Agent is unable to apply any money in accordance with this Article with respect to any Notes by reason of any order or judgment of any court or governmental authority enjoining, restraining or otherwise prohibiting such application, then the obligations under the Indenture and the Notes from which the Issuer has been discharged or released pursuant to Section 1402 or 1403 shall be revived and reinstated as though no deposit had occurred pursuant to this Article, until such time as the Trustee or Paying Agent is permitted to apply all money held in trust pursuant to Section 1405 in accordance with this Article;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Issuer makes any payment of principal of or any premium or interest on any Note following such reinstatement of its obligations, the Issuer shall be subrogated to the rights (if any) of the Holders to receive such payment from the money so held in trust.</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FIFTEEN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GUARANTEES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Unconditional Guarantee</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4" w:lineRule="auto"/>
        <w:tabs>
          <w:tab w:leader="none" w:pos="115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For value received, each of the Guarantors hereby fully, irrevocably, unconditionally and absolutely guarantees to the Holders and to the Trustee the due and punctual payment of the principal of, and premium, if any, and interest on the Notes and all other amounts due and payable under the Indenture and the Notes by the Issuer (collectively, the “Indenture Obligations”), when and as such principal, premium, if any, and interest shall become due and payable, whether at the Stated Maturity or by declaration of acceleration, call for redemption or otherwise, according to the terms of the Notes and the Indenture, subject to the limitations set forth in Section 1503. Without limiting the generality of the foregoing, the Guarantors’ liability shall extend to all amounts that constitute part of the Indenture Obligations and would be owed by the Issuer to the Trustee or the Holders under the Indenture and the Notes but for the fact that they are unenforceable, reduced, limited, impaired, suspended or not allowable due to the existence of a bankruptcy, reorganization or similar proceeding involving the Issuer.</w:t>
      </w:r>
    </w:p>
    <w:p>
      <w:pPr>
        <w:spacing w:after="0" w:line="84" w:lineRule="exact"/>
        <w:rPr>
          <w:rFonts w:ascii="Arial" w:cs="Arial" w:eastAsia="Arial" w:hAnsi="Arial"/>
          <w:sz w:val="18"/>
          <w:szCs w:val="18"/>
          <w:color w:val="auto"/>
        </w:rPr>
      </w:pPr>
    </w:p>
    <w:p>
      <w:pPr>
        <w:ind w:right="60" w:firstLine="921"/>
        <w:spacing w:after="0" w:line="272" w:lineRule="auto"/>
        <w:tabs>
          <w:tab w:leader="none" w:pos="116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Failing payment when due of any amount guaranteed pursuant to its Guarantee, for whatever reason, each of the Guarantors will be jointly and severally obligated (to the fullest extent permitted by law) to pay the same immediately to the Trustee, without set-off or counterclaim or other reduction whatsoever (whether for taxes, withholding or otherwise). Each Guarantee hereunder is intended to be a general, unsecured, senior obligation of the applicable Guarantor and will rank pari passu in right of payment with all debt of such Guarantor that is not, by its terms, expressly subordinated in right of payment to such Guarantee. Each of the Guarantors hereby agrees that (to the fullest extent permitted by law) its obligations hereunder shall be full, irrevocable, unconditional and absolute, irrespective of the validity, regularity or enforceability of the Notes, the Guarantee of any other Guarantor or the Indenture, the absence of any action to enforce the same, any waiver or consent by any Holder of</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274" w:right="299" w:bottom="1440" w:gutter="0" w:footer="0" w:header="0"/>
        </w:sectPr>
      </w:pPr>
    </w:p>
    <w:bookmarkStart w:id="179" w:name="page180"/>
    <w:bookmarkEnd w:id="17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Notes with respect to any provisions hereof or thereof, the recovery of any judgment against the Issuer or any other Guarantor, or any action to enforce the same or any other circumstances which might otherwise constitute a legal or equitable discharge or defense of such Guarantor. Each of the Guarantors hereby agrees that in the event of a default in payment of the principal of, or premium, if any, or interest on the Notes, whether at the Stated Maturity or by declaration of acceleration, call for redemption or otherwise, legal proceedings may be instituted by the Trustee on behalf of the Holders or, subject to Section 607, by the Holders, on the terms and conditions set forth in the Indenture, directly against such Guarantor to enforce its Guarantee without first proceeding against the Issuer or any other Guarantor.</w:t>
      </w:r>
    </w:p>
    <w:p>
      <w:pPr>
        <w:spacing w:after="0" w:line="85" w:lineRule="exact"/>
        <w:rPr>
          <w:sz w:val="20"/>
          <w:szCs w:val="20"/>
          <w:color w:val="auto"/>
        </w:rPr>
      </w:pPr>
    </w:p>
    <w:p>
      <w:pPr>
        <w:ind w:right="20" w:firstLine="921"/>
        <w:spacing w:after="0" w:line="285" w:lineRule="auto"/>
        <w:tabs>
          <w:tab w:leader="none" w:pos="115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the obligations of each of the Guarantors under this Article shall be as aforesaid full, irrevocable, unconditional and absolute and shall not be impaired, modified, released or limited by any occurrence or condition whatsoever, including, without limitation, (A) any compromise, settlement, release, waiver, renewal, extension, indulgence or modification of, or any change in, any of the obligations and liabilities of the Issuer or any of the other Guarantors contained in the Notes or the Indenture, (B) any impairment, modification, release or limitation of the liability of the Issuer, any of the other Guarantors or any of their estates in bankruptcy, or any remedy for the enforcement thereof, resulting from the operation of any present or future provision of any applicable Bankruptcy Law, or other statute or from the decision of any court, (C) the assertion or exercise by the Trustee or any Holder of any rights or remedies under the Notes or the Indenture or their delay in or failure to assert or exercise any such rights or remedies, (D) the assignment or the purported assignment of any property as security for the Notes, including all or any part of the rights of the Issuer or any of the Guarantors under the Indenture, (E) the extension of the time for payment by the Issuer or any of the Guarantors of any payments or other sums or any part thereof owing or payable under any of the terms and provisions of the Notes or the Indenture or of the time for performance by the Issuer or any of the Guarantors of any other obligations under or arising out of any such terms and provisions or the extension or the renewal of any thereof, (F) the modification or amendment (whether material or otherwise) of any duty, agreement or obligation of the Issuer or any of the Guarantors set forth in the Indenture, (G) the voluntary or involuntary liquidation, dissolution, sale or other disposition of all or substantially all of the assets, marshaling of assets and liabilities, receivership, insolvency, bankruptcy, assignment for the benefit of creditors, reorganization, arrangement, composition or readjustment of, or other similar proceeding affecting, the Issuer or any of the Guarantors or any of their respective assets, or the disaffirmance of any of the Notes, the Guarantees or the Indenture in any such proceeding, (H) the release or discharge of the Issuer or any of the Guarantors from the performance or observance of any agreement, covenant, term or condition contained in any of such instruments by operation of law, (I) the unenforceability of the Notes, the Guarantees or the Indenture or (J) any other circumstances (other than payment in full or discharge of all amounts guaranteed pursuant to the Guarantees) which might otherwise constitute a legal or equitable discharge of a surety or guarantor.</w:t>
      </w:r>
    </w:p>
    <w:p>
      <w:pPr>
        <w:spacing w:after="0" w:line="62" w:lineRule="exact"/>
        <w:rPr>
          <w:rFonts w:ascii="Arial" w:cs="Arial" w:eastAsia="Arial" w:hAnsi="Arial"/>
          <w:sz w:val="16"/>
          <w:szCs w:val="16"/>
          <w:color w:val="auto"/>
        </w:rPr>
      </w:pPr>
    </w:p>
    <w:p>
      <w:pPr>
        <w:ind w:right="20" w:firstLine="921"/>
        <w:spacing w:after="0" w:line="289" w:lineRule="auto"/>
        <w:tabs>
          <w:tab w:leader="none" w:pos="116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each of the Guarantors hereby (A) waives diligence, presentment, demand of payment, notice of acceptance, filing of claims with a court in the event of the merger, insolvency or bankruptcy of the Issuer or any of the Guarantors, and all demands and notices whatsoever, (B) acknowledges that any agreement, instrument or document evidencing its Guarantee may be transferred and that the benefit of its obligations hereunder shall extend to each holder of any agreement, instrument or document evidencing the Guarantee without notice to it and (C) covenants that its Guarantee will not be discharged except by complete performance of the Guarantee. To the fullest extent permitted by applicable law, each of the Guarantors further agrees that if at any time all or any part of any payment theretofore applied by any Person to its Guarantee is, or must be, rescinded or returned for any reason whatsoever, including without limitation, the insolvency, bankruptcy or reorganization of the Issuer or any of the Guarantors, such Guarantee shall, to the extent that such payment is or must be rescinded or returned, be deemed to have continued in existence notwithstanding such application, and the Guarantee shall continue to be effective or be reinstated, as the case may be, as though such application had not been made.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274" w:right="259" w:bottom="1440" w:gutter="0" w:footer="0" w:header="0"/>
        </w:sectPr>
      </w:pPr>
    </w:p>
    <w:bookmarkStart w:id="180" w:name="page181"/>
    <w:bookmarkEnd w:id="180"/>
    <w:p>
      <w:pPr>
        <w:ind w:right="20" w:firstLine="921"/>
        <w:spacing w:after="0" w:line="312" w:lineRule="auto"/>
        <w:tabs>
          <w:tab w:leader="none" w:pos="1158" w:val="left"/>
        </w:tabs>
        <w:numPr>
          <w:ilvl w:val="0"/>
          <w:numId w:val="1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of the Guarantors shall be subrogated to all rights of the Holders and the Trustee against the Issuer in respect of any amounts paid by such Guarantor pursuant to the provisions of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Guarantor, shall not be entitled to enforce or to receive any payments arising out of, or based upon, such right of subrogation until all of the Notes and the Guarantees shall have been paid in full or discharged.</w:t>
      </w:r>
    </w:p>
    <w:p>
      <w:pPr>
        <w:spacing w:after="0" w:line="38" w:lineRule="exact"/>
        <w:rPr>
          <w:rFonts w:ascii="Arial" w:cs="Arial" w:eastAsia="Arial" w:hAnsi="Arial"/>
          <w:sz w:val="16"/>
          <w:szCs w:val="16"/>
          <w:color w:val="auto"/>
        </w:rPr>
      </w:pPr>
    </w:p>
    <w:p>
      <w:pPr>
        <w:ind w:right="40" w:firstLine="921"/>
        <w:spacing w:after="0" w:line="255" w:lineRule="auto"/>
        <w:tabs>
          <w:tab w:leader="none" w:pos="113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failure to exercise and no delay in exercising, on the part of the Trustee or the Holders, any right, power, privilege or remedy under this Article Fifteen and the Guarantees shall operate as a waiver thereof, nor shall any single or partial exercise of any rights, power, privilege or remedy preclude any other or further exercise thereof, or the exercise of any other rights, powers, privileges or remedies. The rights and remedies herein provided for are cumulative and not exclusive of any rights or remedies provided in law or equity. Nothing contained in this Article Fifteen shall limit the right of the Trustee or the Holders to take any action to accelerate the maturity of the Notes pursuant to Article Six or to pursue any other rights or remedies hereunder or under applicable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Execution and Delivery of Notation of Guarantee</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To further evidence its Guarantee set forth in Section 1501, each of the Guarantors hereby agrees that a notation relating to such Guarantee, substantially in the form attached hereto as Annex B (a “Notation of Guarantee”), may be endorsed on each Note entitled to the benefits of its Guarantee that is authenticated and delivered by the Trustee. The Notation of Guarantee may be executed by either manual or facsimile signature of an Officer of such Guarantor, or in the case of a Guarantor that is a partnership, an Officer of the general partner of such Guarantor. Each of the Guarantors hereby agrees that its Guarantee shall remain in full force and effect notwithstanding any failure to endorse on each Note a notation relating to its Guarantee. If any Officer of the Guarantor, or in the case of a Guarantor that is a partnership, any Officer of the general partner of such Guarantor, whose signature is on the Indenture or a Notation of Guarantee no longer holds that office at the time the Trustee authenticates such Note or at any time thereafter, the Guarantee of such Note shall be valid nevertheless. The delivery of any Note by the Trustee, after the authentication thereof hereunder, shall constitute due delivery of the Guarantees set forth in the Indenture on behalf of the Guarantors.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1503. </w:t>
      </w:r>
      <w:r>
        <w:rPr>
          <w:rFonts w:ascii="Arial" w:cs="Arial" w:eastAsia="Arial" w:hAnsi="Arial"/>
          <w:sz w:val="18"/>
          <w:szCs w:val="18"/>
          <w:u w:val="single" w:color="auto"/>
          <w:color w:val="auto"/>
        </w:rPr>
        <w:t>Limitation on Guarantors’ Liability</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Each Guarantor and by its acceptance hereof each Holder of a Note entitled to the benefits of the Guarantees hereby confirm that it is the intention of all such parties that the guarantee by such Guarantor pursuant to its Guarantee not constitute a fraudulent conveyance, fraudulent preference or fraudulent transfer or otherwise reviewable transaction under applicable law. To effectuate the foregoing intention, each of the Holders of a Note entitled to the benefits of the Guarantees and the Guarantors hereby irrevocably agree that the obligations of each Guarantor under its Guarantee shall be limited to the maximum amount as will, after giving effect to all other contingent and fixed liabilities of such Guarantor (including, without limitation, any guarantees under the Credit Agreement and the Term Loan Agreement) and after giving effect to any collections from or payments made by or on behalf of any other Guarantor in respect of the obligations of such other Guarantor under its Guarantee, result in the obligations of such Guarantor under its Guarantee not constituting a fraudulent conveyance, fraudulent preference or fraudulent transfer or otherwise reviewable transaction under applicable law.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74" w:right="2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1504. </w:t>
      </w:r>
      <w:r>
        <w:rPr>
          <w:rFonts w:ascii="Arial" w:cs="Arial" w:eastAsia="Arial" w:hAnsi="Arial"/>
          <w:sz w:val="18"/>
          <w:szCs w:val="18"/>
          <w:u w:val="single" w:color="auto"/>
          <w:color w:val="auto"/>
        </w:rPr>
        <w:t>Release of Guarantors from Guarantees</w:t>
      </w:r>
      <w:r>
        <w:rPr>
          <w:rFonts w:ascii="Arial" w:cs="Arial" w:eastAsia="Arial" w:hAnsi="Arial"/>
          <w:sz w:val="18"/>
          <w:szCs w:val="18"/>
          <w:color w:val="auto"/>
        </w:rPr>
        <w:t>.</w:t>
      </w:r>
    </w:p>
    <w:p>
      <w:pPr>
        <w:spacing w:after="0" w:line="117" w:lineRule="exact"/>
        <w:rPr>
          <w:sz w:val="20"/>
          <w:szCs w:val="20"/>
          <w:color w:val="auto"/>
        </w:rPr>
      </w:pPr>
    </w:p>
    <w:p>
      <w:pPr>
        <w:ind w:right="120" w:firstLine="921"/>
        <w:spacing w:after="0" w:line="264" w:lineRule="auto"/>
        <w:tabs>
          <w:tab w:leader="none" w:pos="115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Notwithstanding any other provisions of the Indenture, the Guarantee of any Guarantor shall be released upon the terms and subject to the conditions set forth in this Section 1504. A Guarantor shall be released automatically from its obligations under its Guarantee and its other obligations under the Indenture upon:</w:t>
      </w:r>
    </w:p>
    <w:p>
      <w:pPr>
        <w:spacing w:after="0" w:line="7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ind w:left="1500" w:right="80" w:firstLine="389"/>
        <w:spacing w:after="0" w:line="264" w:lineRule="auto"/>
        <w:tabs>
          <w:tab w:leader="none" w:pos="2142" w:val="left"/>
        </w:tabs>
        <w:numPr>
          <w:ilvl w:val="2"/>
          <w:numId w:val="179"/>
        </w:numPr>
        <w:rPr>
          <w:rFonts w:ascii="Arial" w:cs="Arial" w:eastAsia="Arial" w:hAnsi="Arial"/>
          <w:sz w:val="18"/>
          <w:szCs w:val="18"/>
          <w:color w:val="auto"/>
        </w:rPr>
      </w:pPr>
      <w:r>
        <w:rPr>
          <w:rFonts w:ascii="Arial" w:cs="Arial" w:eastAsia="Arial" w:hAnsi="Arial"/>
          <w:sz w:val="18"/>
          <w:szCs w:val="18"/>
          <w:color w:val="auto"/>
        </w:rPr>
        <w:t>in the case of a Subsidiary Guarantor, any disposition of such Subsidiary Guarantor’s properties and assets as, or substantially as, an entirety (whether by consolidation, amalgamation, merger, conveyance, transfer or otherwise) to a Person that is not (either before or after giving effect to such transaction) the Parent Guarantor or a Restricted Subsidiary;</w:t>
      </w:r>
    </w:p>
    <w:p>
      <w:pPr>
        <w:spacing w:after="0" w:line="73" w:lineRule="exact"/>
        <w:rPr>
          <w:rFonts w:ascii="Arial" w:cs="Arial" w:eastAsia="Arial" w:hAnsi="Arial"/>
          <w:sz w:val="18"/>
          <w:szCs w:val="18"/>
          <w:color w:val="auto"/>
        </w:rPr>
      </w:pPr>
    </w:p>
    <w:p>
      <w:pPr>
        <w:jc w:val="both"/>
        <w:ind w:left="1500" w:firstLine="389"/>
        <w:spacing w:after="0" w:line="286" w:lineRule="auto"/>
        <w:tabs>
          <w:tab w:leader="none" w:pos="2152" w:val="left"/>
        </w:tabs>
        <w:numPr>
          <w:ilvl w:val="2"/>
          <w:numId w:val="179"/>
        </w:numPr>
        <w:rPr>
          <w:rFonts w:ascii="Arial" w:cs="Arial" w:eastAsia="Arial" w:hAnsi="Arial"/>
          <w:sz w:val="17"/>
          <w:szCs w:val="17"/>
          <w:color w:val="auto"/>
        </w:rPr>
      </w:pPr>
      <w:r>
        <w:rPr>
          <w:rFonts w:ascii="Arial" w:cs="Arial" w:eastAsia="Arial" w:hAnsi="Arial"/>
          <w:sz w:val="17"/>
          <w:szCs w:val="17"/>
          <w:color w:val="auto"/>
        </w:rPr>
        <w:t>in the case of a Subsidiary Guarantor, any disposition (whether by consolidation, amalgamation, merger, conveyance, transfer or otherwise) of the Equity Interests of such Subsidiary Guarantor after which the Subsidiary Guarantor is no longer a Restricted Subsidiary, including, without limitation, a disposition in connection with a Qualified Spin Transaction;</w:t>
      </w:r>
    </w:p>
    <w:p>
      <w:pPr>
        <w:spacing w:after="0" w:line="57" w:lineRule="exact"/>
        <w:rPr>
          <w:rFonts w:ascii="Arial" w:cs="Arial" w:eastAsia="Arial" w:hAnsi="Arial"/>
          <w:sz w:val="17"/>
          <w:szCs w:val="17"/>
          <w:color w:val="auto"/>
        </w:rPr>
      </w:pPr>
    </w:p>
    <w:p>
      <w:pPr>
        <w:ind w:left="2140" w:hanging="251"/>
        <w:spacing w:after="0"/>
        <w:tabs>
          <w:tab w:leader="none" w:pos="2140" w:val="left"/>
        </w:tabs>
        <w:numPr>
          <w:ilvl w:val="2"/>
          <w:numId w:val="179"/>
        </w:numPr>
        <w:rPr>
          <w:rFonts w:ascii="Arial" w:cs="Arial" w:eastAsia="Arial" w:hAnsi="Arial"/>
          <w:sz w:val="17"/>
          <w:szCs w:val="17"/>
          <w:color w:val="auto"/>
        </w:rPr>
      </w:pPr>
      <w:r>
        <w:rPr>
          <w:rFonts w:ascii="Arial" w:cs="Arial" w:eastAsia="Arial" w:hAnsi="Arial"/>
          <w:sz w:val="17"/>
          <w:szCs w:val="17"/>
          <w:color w:val="auto"/>
        </w:rPr>
        <w:t>in the case of a Subsidiary Guarantor, the proper designation of such Subsidiary Guarantor as an Unrestricted Subsidiary;</w:t>
      </w:r>
    </w:p>
    <w:p>
      <w:pPr>
        <w:spacing w:after="0" w:line="128" w:lineRule="exact"/>
        <w:rPr>
          <w:rFonts w:ascii="Arial" w:cs="Arial" w:eastAsia="Arial" w:hAnsi="Arial"/>
          <w:sz w:val="17"/>
          <w:szCs w:val="17"/>
          <w:color w:val="auto"/>
        </w:rPr>
      </w:pPr>
    </w:p>
    <w:p>
      <w:pPr>
        <w:ind w:left="1500" w:right="40" w:firstLine="389"/>
        <w:spacing w:after="0" w:line="277" w:lineRule="auto"/>
        <w:tabs>
          <w:tab w:leader="none" w:pos="2152" w:val="left"/>
        </w:tabs>
        <w:numPr>
          <w:ilvl w:val="2"/>
          <w:numId w:val="179"/>
        </w:numPr>
        <w:rPr>
          <w:rFonts w:ascii="Arial" w:cs="Arial" w:eastAsia="Arial" w:hAnsi="Arial"/>
          <w:sz w:val="18"/>
          <w:szCs w:val="18"/>
          <w:color w:val="auto"/>
        </w:rPr>
      </w:pPr>
      <w:r>
        <w:rPr>
          <w:rFonts w:ascii="Arial" w:cs="Arial" w:eastAsia="Arial" w:hAnsi="Arial"/>
          <w:sz w:val="18"/>
          <w:szCs w:val="18"/>
          <w:color w:val="auto"/>
        </w:rPr>
        <w:t xml:space="preserve">in the case of a Subsidiary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Event of Default has occurred and is continuing, all Debt which required such Subsidiary Guarantor to guarantee the Notes pursuant to Section 1114 is no longer outstanding;</w:t>
      </w:r>
    </w:p>
    <w:p>
      <w:pPr>
        <w:spacing w:after="0" w:line="62" w:lineRule="exact"/>
        <w:rPr>
          <w:rFonts w:ascii="Arial" w:cs="Arial" w:eastAsia="Arial" w:hAnsi="Arial"/>
          <w:sz w:val="18"/>
          <w:szCs w:val="18"/>
          <w:color w:val="auto"/>
        </w:rPr>
      </w:pPr>
    </w:p>
    <w:p>
      <w:pPr>
        <w:ind w:left="2140" w:hanging="251"/>
        <w:spacing w:after="0"/>
        <w:tabs>
          <w:tab w:leader="none" w:pos="2140" w:val="left"/>
        </w:tabs>
        <w:numPr>
          <w:ilvl w:val="2"/>
          <w:numId w:val="179"/>
        </w:numPr>
        <w:rPr>
          <w:rFonts w:ascii="Arial" w:cs="Arial" w:eastAsia="Arial" w:hAnsi="Arial"/>
          <w:sz w:val="17"/>
          <w:szCs w:val="17"/>
          <w:color w:val="auto"/>
        </w:rPr>
      </w:pPr>
      <w:r>
        <w:rPr>
          <w:rFonts w:ascii="Arial" w:cs="Arial" w:eastAsia="Arial" w:hAnsi="Arial"/>
          <w:sz w:val="17"/>
          <w:szCs w:val="17"/>
          <w:color w:val="auto"/>
        </w:rPr>
        <w:t>Legal Defeasance or Covenant Defeasance or satisfaction and discharge of the Indenture as provided in Article Five; or</w:t>
      </w:r>
    </w:p>
    <w:p>
      <w:pPr>
        <w:spacing w:after="0" w:line="128" w:lineRule="exact"/>
        <w:rPr>
          <w:rFonts w:ascii="Arial" w:cs="Arial" w:eastAsia="Arial" w:hAnsi="Arial"/>
          <w:sz w:val="17"/>
          <w:szCs w:val="17"/>
          <w:color w:val="auto"/>
        </w:rPr>
      </w:pPr>
    </w:p>
    <w:p>
      <w:pPr>
        <w:ind w:left="2120" w:hanging="231"/>
        <w:spacing w:after="0"/>
        <w:tabs>
          <w:tab w:leader="none" w:pos="2120" w:val="left"/>
        </w:tabs>
        <w:numPr>
          <w:ilvl w:val="2"/>
          <w:numId w:val="179"/>
        </w:numPr>
        <w:rPr>
          <w:rFonts w:ascii="Arial" w:cs="Arial" w:eastAsia="Arial" w:hAnsi="Arial"/>
          <w:sz w:val="17"/>
          <w:szCs w:val="17"/>
          <w:color w:val="auto"/>
        </w:rPr>
      </w:pPr>
      <w:r>
        <w:rPr>
          <w:rFonts w:ascii="Arial" w:cs="Arial" w:eastAsia="Arial" w:hAnsi="Arial"/>
          <w:sz w:val="17"/>
          <w:szCs w:val="17"/>
          <w:color w:val="auto"/>
        </w:rPr>
        <w:t xml:space="preserve">liquidation and dissolution of such Guarantor,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no Default or Event of Default has occurred that is continuing; and</w:t>
      </w:r>
    </w:p>
    <w:p>
      <w:pPr>
        <w:spacing w:after="0" w:line="128" w:lineRule="exact"/>
        <w:rPr>
          <w:rFonts w:ascii="Arial" w:cs="Arial" w:eastAsia="Arial" w:hAnsi="Arial"/>
          <w:sz w:val="17"/>
          <w:szCs w:val="17"/>
          <w:color w:val="auto"/>
        </w:rPr>
      </w:pPr>
    </w:p>
    <w:p>
      <w:pPr>
        <w:ind w:left="920" w:right="260" w:firstLine="421"/>
        <w:spacing w:after="0" w:line="264" w:lineRule="auto"/>
        <w:tabs>
          <w:tab w:leader="none" w:pos="1595"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Issuer delivering to the Trustee an Officer’s Certificate and an Opinion of Counsel to the effect that all conditions precedent provided for in this Section 1504 relating to the release of such Guarantor’s Guarantee and its other obligations under the Indenture have been complied with.</w:t>
      </w:r>
    </w:p>
    <w:p>
      <w:pPr>
        <w:spacing w:after="0" w:line="73" w:lineRule="exact"/>
        <w:rPr>
          <w:rFonts w:ascii="Arial" w:cs="Arial" w:eastAsia="Arial" w:hAnsi="Arial"/>
          <w:sz w:val="18"/>
          <w:szCs w:val="18"/>
          <w:color w:val="auto"/>
        </w:rPr>
      </w:pPr>
    </w:p>
    <w:p>
      <w:pPr>
        <w:jc w:val="both"/>
        <w:ind w:right="520" w:firstLine="921"/>
        <w:spacing w:after="0" w:line="264" w:lineRule="auto"/>
        <w:tabs>
          <w:tab w:leader="none" w:pos="116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Trustee shall deliver an appropriate instrument evidencing any release of a Guarantor from its Guarantee upon receipt of an Issuer Request accompanied by an Officer’s Certificate and an Opinion of Counsel the Subsidiary Guarantor is entitled to such release in accordance with the provisions of the Indenture.</w:t>
      </w:r>
    </w:p>
    <w:p>
      <w:pPr>
        <w:spacing w:after="0" w:line="73" w:lineRule="exact"/>
        <w:rPr>
          <w:rFonts w:ascii="Arial" w:cs="Arial" w:eastAsia="Arial" w:hAnsi="Arial"/>
          <w:sz w:val="18"/>
          <w:szCs w:val="18"/>
          <w:color w:val="auto"/>
        </w:rPr>
      </w:pPr>
    </w:p>
    <w:p>
      <w:pPr>
        <w:ind w:right="420" w:firstLine="921"/>
        <w:spacing w:after="0" w:line="308" w:lineRule="auto"/>
        <w:tabs>
          <w:tab w:leader="none" w:pos="1158"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Any Guarantor not released in accordance with the provisions of the Indenture will remain liable for the full amount of principal of (and premium, if any, on) and interest on the Notes as provided in this Article Fifteen, subject to the limitations of Section 1503.</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274" w:right="2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1505. </w:t>
      </w:r>
      <w:r>
        <w:rPr>
          <w:rFonts w:ascii="Arial" w:cs="Arial" w:eastAsia="Arial" w:hAnsi="Arial"/>
          <w:sz w:val="18"/>
          <w:szCs w:val="18"/>
          <w:u w:val="single" w:color="auto"/>
          <w:color w:val="auto"/>
        </w:rPr>
        <w:t>Guarantor Contribution</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order to provide for just and equitable contribution among the Guarantors, the Guarantors hereby agree, inter se, that in the event any payment or distribution is made by any Guarantor (a “Funding Guarantor”) under its Guarantee, such Funding Guarantor shall be entitled to a contribution from each other Guarantor (if any) in a pro rata amount based on the respective net assets (as determined at such time in accordance with GAAP) of all of the Guarantors (including the Funding Guarantor) for all payments, damages and expenses incurred by that Funding Guarantor in discharging the Indenture Obligations or any other Guarantor’s obligations with respect to its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214630</wp:posOffset>
            </wp:positionV>
            <wp:extent cx="151765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Trustee hereby accepts the trusts in the Indenture upon the terms and conditions herein set forth.</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274" w:right="299" w:bottom="1440" w:gutter="0" w:footer="0" w:header="0"/>
        </w:sectPr>
      </w:pPr>
    </w:p>
    <w:bookmarkStart w:id="183" w:name="page184"/>
    <w:bookmarkEnd w:id="183"/>
    <w:p>
      <w:pPr>
        <w:ind w:left="9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Supplemental Indenture to be duly executed as of the day and year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Mark M. Rothleitner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Mark M. Rothleitner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Joshua S. Silverman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Joshua S. Silverman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Assistant Treasurer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 PLC</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 Irish public limited company</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Mark M. Rothleitner</w:t>
            </w: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rPr>
                <w:sz w:val="20"/>
                <w:szCs w:val="20"/>
                <w:color w:val="auto"/>
              </w:rPr>
            </w:pPr>
            <w:r>
              <w:rPr>
                <w:rFonts w:ascii="Arial" w:cs="Arial" w:eastAsia="Arial" w:hAnsi="Arial"/>
                <w:sz w:val="18"/>
                <w:szCs w:val="18"/>
                <w:color w:val="auto"/>
              </w:rPr>
              <w:t>Mark M. Rothleitner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T</w:t>
      </w:r>
      <w:r>
        <w:rPr>
          <w:rFonts w:ascii="Arial" w:cs="Arial" w:eastAsia="Arial" w:hAnsi="Arial"/>
          <w:sz w:val="15"/>
          <w:szCs w:val="15"/>
          <w:color w:val="auto"/>
        </w:rPr>
        <w:t>RUST</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xml:space="preserve"> A</w:t>
      </w:r>
      <w:r>
        <w:rPr>
          <w:rFonts w:ascii="Arial" w:cs="Arial" w:eastAsia="Arial" w:hAnsi="Arial"/>
          <w:sz w:val="15"/>
          <w:szCs w:val="15"/>
          <w:color w:val="auto"/>
        </w:rPr>
        <w:t>MERICAS</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as Trustee</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N</w:t>
            </w:r>
            <w:r>
              <w:rPr>
                <w:rFonts w:ascii="Arial" w:cs="Arial" w:eastAsia="Arial" w:hAnsi="Arial"/>
                <w:sz w:val="15"/>
                <w:szCs w:val="15"/>
                <w:color w:val="auto"/>
              </w:rPr>
              <w:t>ATIONAL</w:t>
            </w:r>
            <w:r>
              <w:rPr>
                <w:rFonts w:ascii="Arial" w:cs="Arial" w:eastAsia="Arial" w:hAnsi="Arial"/>
                <w:sz w:val="18"/>
                <w:szCs w:val="18"/>
                <w:color w:val="auto"/>
              </w:rPr>
              <w:t xml:space="preserve"> T</w:t>
            </w:r>
            <w:r>
              <w:rPr>
                <w:rFonts w:ascii="Arial" w:cs="Arial" w:eastAsia="Arial" w:hAnsi="Arial"/>
                <w:sz w:val="15"/>
                <w:szCs w:val="15"/>
                <w:color w:val="auto"/>
              </w:rPr>
              <w:t>RUST</w:t>
            </w:r>
            <w:r>
              <w:rPr>
                <w:rFonts w:ascii="Arial" w:cs="Arial" w:eastAsia="Arial" w:hAnsi="Arial"/>
                <w:sz w:val="18"/>
                <w:szCs w:val="18"/>
                <w:color w:val="auto"/>
              </w:rPr>
              <w:t xml:space="preserve"> C</w:t>
            </w:r>
            <w:r>
              <w:rPr>
                <w:rFonts w:ascii="Arial" w:cs="Arial" w:eastAsia="Arial" w:hAnsi="Arial"/>
                <w:sz w:val="15"/>
                <w:szCs w:val="15"/>
                <w:color w:val="auto"/>
              </w:rPr>
              <w:t>OMPANY</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Irina Golovashchuk</w:t>
            </w:r>
          </w:p>
        </w:tc>
      </w:tr>
      <w:tr>
        <w:trPr>
          <w:trHeight w:val="195"/>
        </w:trPr>
        <w:tc>
          <w:tcPr>
            <w:tcW w:w="540" w:type="dxa"/>
            <w:vAlign w:val="bottom"/>
          </w:tcPr>
          <w:p>
            <w:pPr>
              <w:spacing w:after="0"/>
              <w:rPr>
                <w:sz w:val="16"/>
                <w:szCs w:val="16"/>
                <w:color w:val="auto"/>
              </w:rPr>
            </w:pP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Name: Irina Golovashchuk</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Title: Vice President</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Jeffrey Schoenfeld</w:t>
            </w:r>
          </w:p>
        </w:tc>
      </w:tr>
      <w:tr>
        <w:trPr>
          <w:trHeight w:val="195"/>
        </w:trPr>
        <w:tc>
          <w:tcPr>
            <w:tcW w:w="540" w:type="dxa"/>
            <w:vAlign w:val="bottom"/>
          </w:tcPr>
          <w:p>
            <w:pPr>
              <w:spacing w:after="0"/>
              <w:rPr>
                <w:sz w:val="16"/>
                <w:szCs w:val="16"/>
                <w:color w:val="auto"/>
              </w:rPr>
            </w:pP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Name: Jeffrey Schoenfeld</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70" w:right="239" w:bottom="1440" w:gutter="0" w:footer="0" w:header="0"/>
        </w:sectPr>
      </w:pPr>
    </w:p>
    <w:bookmarkStart w:id="184" w:name="page185"/>
    <w:bookmarkEnd w:id="184"/>
    <w:p>
      <w:pPr>
        <w:ind w:left="10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9"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CUSIP __________</w:t>
      </w:r>
    </w:p>
    <w:p>
      <w:pPr>
        <w:spacing w:after="0" w:line="46" w:lineRule="exact"/>
        <w:rPr>
          <w:sz w:val="20"/>
          <w:szCs w:val="20"/>
          <w:color w:val="auto"/>
        </w:rPr>
      </w:pPr>
    </w:p>
    <w:p>
      <w:pPr>
        <w:ind w:left="9940"/>
        <w:spacing w:after="0"/>
        <w:rPr>
          <w:sz w:val="20"/>
          <w:szCs w:val="20"/>
          <w:color w:val="auto"/>
        </w:rPr>
      </w:pPr>
      <w:r>
        <w:rPr>
          <w:rFonts w:ascii="Arial" w:cs="Arial" w:eastAsia="Arial" w:hAnsi="Arial"/>
          <w:sz w:val="16"/>
          <w:szCs w:val="16"/>
          <w:color w:val="auto"/>
        </w:rPr>
        <w:t>ISIN 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Restricted Notes Legend, if applicable.</w:t>
      </w:r>
      <w:r>
        <w:rPr>
          <w:rFonts w:ascii="Arial" w:cs="Arial" w:eastAsia="Arial" w:hAnsi="Arial"/>
          <w:sz w:val="18"/>
          <w:szCs w:val="18"/>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a Global Note, insert the Global Note Legend.]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9.875% Senior Note due 2024</w:t>
      </w:r>
    </w:p>
    <w:p>
      <w:pPr>
        <w:spacing w:after="0" w:line="252" w:lineRule="exact"/>
        <w:rPr>
          <w:sz w:val="20"/>
          <w:szCs w:val="20"/>
          <w:color w:val="auto"/>
        </w:rPr>
      </w:pPr>
    </w:p>
    <w:p>
      <w:pPr>
        <w:spacing w:after="0"/>
        <w:tabs>
          <w:tab w:leader="none" w:pos="10680" w:val="left"/>
        </w:tabs>
        <w:rPr>
          <w:sz w:val="20"/>
          <w:szCs w:val="20"/>
          <w:color w:val="auto"/>
        </w:rPr>
      </w:pPr>
      <w:r>
        <w:rPr>
          <w:rFonts w:ascii="Arial" w:cs="Arial" w:eastAsia="Arial" w:hAnsi="Arial"/>
          <w:sz w:val="18"/>
          <w:szCs w:val="18"/>
          <w:color w:val="auto"/>
        </w:rPr>
        <w:t>No. _____</w:t>
      </w:r>
      <w:r>
        <w:rPr>
          <w:sz w:val="20"/>
          <w:szCs w:val="20"/>
          <w:color w:val="auto"/>
        </w:rPr>
        <w:tab/>
      </w:r>
      <w:r>
        <w:rPr>
          <w:rFonts w:ascii="Arial" w:cs="Arial" w:eastAsia="Arial" w:hAnsi="Arial"/>
          <w:sz w:val="16"/>
          <w:szCs w:val="16"/>
          <w:color w:val="auto"/>
        </w:rPr>
        <w:t>$_______</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Weatherford International Ltd., a Bermuda exempted company (herein called the “Issuer,” which term includes any successor Person under the</w:t>
      </w:r>
    </w:p>
    <w:p>
      <w:pPr>
        <w:spacing w:after="0" w:line="4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Indenture hereinafter referred to), for value received, hereby promises to pay to , or registered assigns, the principal sum of U.S. dollars on February 15, 2024, [</w:t>
      </w:r>
      <w:r>
        <w:rPr>
          <w:rFonts w:ascii="Arial" w:cs="Arial" w:eastAsia="Arial" w:hAnsi="Arial"/>
          <w:sz w:val="16"/>
          <w:szCs w:val="16"/>
          <w:i w:val="1"/>
          <w:iCs w:val="1"/>
          <w:color w:val="auto"/>
        </w:rPr>
        <w:t>if this Note is a Global Note, insert</w:t>
      </w:r>
      <w:r>
        <w:rPr>
          <w:rFonts w:ascii="Arial" w:cs="Arial" w:eastAsia="Arial" w:hAnsi="Arial"/>
          <w:sz w:val="16"/>
          <w:szCs w:val="16"/>
          <w:color w:val="auto"/>
        </w:rPr>
        <w:t xml:space="preserve"> – or such greater or lesser amount as may be indicated on the Schedule of Exchanges of Interests in the Global Note attached hereto,] and to pay interest thereon from November 18, 2016 or from the most recent Interest Payment Date to which interest has been paid or duly provided for, semi-annually on February 15 and August 15 in each year, commencing August 15, 2017, at the rate of 9.875% per annum, until the principal hereof is paid or made available for payment, and to pay interest on any overdue principal hereof or installment of interest hereon at the same rate, to the extent lawful,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the February 1 or August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Notes) is registered at the close of business on a Special Record Date for the payment of such Defaulted Interest to be fixed by the Trustee, notice whereof shall be given to Holders of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w:t>
      </w:r>
    </w:p>
    <w:p>
      <w:pPr>
        <w:spacing w:after="0" w:line="168"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 this Note is an Initial Note or an Additional Restricted Note, insert:</w:t>
      </w:r>
      <w:r>
        <w:rPr>
          <w:rFonts w:ascii="Arial" w:cs="Arial" w:eastAsia="Arial" w:hAnsi="Arial"/>
          <w:sz w:val="17"/>
          <w:szCs w:val="17"/>
          <w:color w:val="auto"/>
        </w:rPr>
        <w:t>] If an exchange offer (the “Exchange Offer”) registered under the Securities Act is not consummated or a shelf registration statement (the “Shelf Registration Statement”) under the Securities Act with respect to resales of the Notes is not declared effective by the SEC or does not become automatically effective on or before the date that is 400 days after the Issue Date in accordance with the terms of the Registration Rights Agreement, dated November 18, 2016 (the “Registration Rights Agreement”) among the Issuer, the Guarantors and the initial purchaser named therein, the annual interest rate borne by the Notes shall be increased from the rate shown above by 1.00% per annum thereafter, until the Exchange Offer is completed or the Shelf Registration Statement is declared effective or becomes automatically effective. The Holder of this Note is entitled to the benefits of such Registration Rights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185" w:name="page186"/>
    <w:bookmarkEnd w:id="185"/>
    <w:p>
      <w:pPr>
        <w:ind w:firstLine="91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Holder of this Note has given wire transfer instructions to the Trustee at least ten Business Days prior to the applicable payment date, the Issuer will make all payments on this Note by wire transfer of immediately available funds to the account in the City and State of New York specified in those instructions. Otherwise, payment of the principal of (and premium, if any) and any such interest on this Note will be made at the office or agency of the Issuer maintained for that purpose in the City and State of New York in such coin or currency of the United States of America as at the time of payment is legal tender for payment of public and private debts;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the option of the Issuer, payment of interest may be made by check mailed to the address of the Person entitled thereto as such address shall appear in the Security Register.</w:t>
      </w:r>
    </w:p>
    <w:p>
      <w:pPr>
        <w:spacing w:after="0" w:line="178"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540" w:firstLine="913"/>
        <w:spacing w:after="0" w:line="308" w:lineRule="auto"/>
        <w:rPr>
          <w:sz w:val="20"/>
          <w:szCs w:val="20"/>
          <w:color w:val="auto"/>
        </w:rPr>
      </w:pPr>
      <w:r>
        <w:rPr>
          <w:rFonts w:ascii="Arial" w:cs="Arial" w:eastAsia="Arial" w:hAnsi="Arial"/>
          <w:sz w:val="17"/>
          <w:szCs w:val="17"/>
          <w:color w:val="auto"/>
        </w:rPr>
        <w:t>Unless the certificate of authentication hereon has been manually signed in the name of the Trustee referred to on the reverse hereof by an authorized signatory, this Note shall not be entitled to any benefit under the Indenture or be valid or obligatory for any purpose.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74" w:right="259" w:bottom="1440" w:gutter="0" w:footer="0" w:header="0"/>
        </w:sectPr>
      </w:pPr>
    </w:p>
    <w:bookmarkStart w:id="186" w:name="page187"/>
    <w:bookmarkEnd w:id="18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duly executed by its undersigned officer.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Trustee’s Certificate of Authentication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is one of the 9.875% Senior Notes due 2024 referred to in the within-mentioned Indenture.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DEUTSCHE BANK TRUST COMPANY AMERICAS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As</w:t>
      </w:r>
    </w:p>
    <w:p>
      <w:pPr>
        <w:spacing w:after="0" w:line="3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Deutsche Bank National Trust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20"/>
          </w:cols>
          <w:pgMar w:left="240" w:top="274" w:right="339" w:bottom="1440" w:gutter="0" w:footer="0" w:header="0"/>
        </w:sectPr>
      </w:pPr>
    </w:p>
    <w:bookmarkStart w:id="187" w:name="page188"/>
    <w:bookmarkEnd w:id="187"/>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Reverse of Note]</w:t>
      </w:r>
    </w:p>
    <w:p>
      <w:pPr>
        <w:spacing w:after="0" w:line="22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This Note is one of a duly authorized series of Securities of the Issuer (herein called the “Notes”), issued under an Indenture, dated as of October 1, 2003 (the “Original Indenture”), as amended and supplemented by (i) the Third Supplemental Indenture dated as of February 26, 2009, (ii) the Seventh Supplemental Indenture, dated as of March 31, 2013, (iii) the Eighth Supplemental Indenture dated as of June 17, 2014 and (iv) the Eleventh Supplemental Indenture (herein so called) dated as of November 18, 2016 (the Base Indenture, as so amended and supplemented, being herein called the “Indenture”), among the Issuer, the Guarantors named therein and Deutsche Bank Trust Company Americas, as Trustee (herein called the “Trustee,” which term includes any successor trustee under the Indenture), and reference is hereby made to the Indenture for a statement of the respective rights, limitations of rights, duties and immunities thereunder of the Issuer, the Guarantors, the Trustee and the Holders of the Notes and of the terms upon which the Notes are, and are to be, authenticated and delivered. This Note is one of the series designated on the face hereof, initially limited in aggregate principal amount to $540,000,000 but subject to re-opening as provided in the Supplemental Indenture.</w:t>
      </w:r>
    </w:p>
    <w:p>
      <w:pPr>
        <w:spacing w:after="0" w:line="182"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At any time or from time to time on or after November 15, 2023 (the “Par Call Date”), the Issuer, at its option, may redeem the Notes, in whole or in part, upon prior notice as provided in the Indenture, at a Redemption Price equal to 100% of the principal amount of the Notes to be redeemed, together with accrued and unpaid interest thereon, if any, to the Redemption Date (subject to the right of Holders on the relevant record date to receive interest due on the relevant Interest Payment Date), as provided in Section 1203(a) of the Indenture.</w:t>
      </w:r>
    </w:p>
    <w:p>
      <w:pPr>
        <w:spacing w:after="0" w:line="187"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The Notes may also be redeemed, in whole or in part, at any time or from time to time prior to the Par Call Date at the option of the Issuer, upon prior notice as provided in the Indenture, at a Redemption Price equal to the greater of 100.0% of the principal amount of the Notes to be redeemed or the Make-Whole Price (as determined in accordance with Section 1203(b) of the Indenture), plus accrued and unpaid interest, if any, to, the applicable Redemption Date (subject to the right of Holders on the relevant record date to receive interest due on the relevant Interest Payment Date).</w:t>
      </w:r>
    </w:p>
    <w:p>
      <w:pPr>
        <w:spacing w:after="0" w:line="154" w:lineRule="exact"/>
        <w:rPr>
          <w:sz w:val="20"/>
          <w:szCs w:val="20"/>
          <w:color w:val="auto"/>
        </w:rPr>
      </w:pPr>
    </w:p>
    <w:p>
      <w:pPr>
        <w:ind w:right="340" w:firstLine="913"/>
        <w:spacing w:after="0" w:line="308" w:lineRule="auto"/>
        <w:rPr>
          <w:sz w:val="20"/>
          <w:szCs w:val="20"/>
          <w:color w:val="auto"/>
        </w:rPr>
      </w:pPr>
      <w:r>
        <w:rPr>
          <w:rFonts w:ascii="Arial" w:cs="Arial" w:eastAsia="Arial" w:hAnsi="Arial"/>
          <w:sz w:val="17"/>
          <w:szCs w:val="17"/>
          <w:color w:val="auto"/>
        </w:rPr>
        <w:t>The Notes may also be redeemed, as a whole, at the Issuer’s option, following certain changes in tax law or Change of Control Offers, at the respective Redemption Prices and subject to the conditions set forth in Sections 1203(d) and 1107 of the Indenture, respectively.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notice of redemption may, at the Issuer’s discretion, be subject to one or more conditions precedent specified in such notice of redemption.</w:t>
      </w:r>
    </w:p>
    <w:p>
      <w:pPr>
        <w:spacing w:after="0" w:line="248"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In the event of redemption of this Note in part only, a new Note or Notes of like tenor for the unredeemed portion hereof will be issued in the name of the Holder hereof upon the cancellation hereof.</w:t>
      </w:r>
    </w:p>
    <w:p>
      <w:pPr>
        <w:spacing w:after="0" w:line="170"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The Indenture contains provisions for defeasance at any time of the entire indebtedness of this Note as well as certain restrictive covenants and Events of Default, as well as provisions for the satisfaction and discharge of the Indenture, in each case upon compliance with certain conditions set forth in the Indenture.</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Issuer and the rights of the Holders of the Notes to be affected under the Indenture at any time by the Issuer, the Guarantors and the Trustee with the consent of the Holders of a majority in aggregate principal amount of the then Outstanding Notes affected thereby (voting as a separate series). The Indenture also contains provisions permitting the Holders of specified percentages in aggregate principal amount of the Outstanding Notes, on behalf of the Holders of all</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60"/>
          </w:cols>
          <w:pgMar w:left="240" w:top="274" w:right="299" w:bottom="1440" w:gutter="0" w:footer="0" w:header="0"/>
        </w:sectPr>
      </w:pPr>
    </w:p>
    <w:bookmarkStart w:id="188" w:name="page189"/>
    <w:bookmarkEnd w:id="18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waive compliance with certain covenants or provisions of the Indenture and certain existing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8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If an Event of Default shall occur and be continuing, the Notes may be declared (or shall automatically become) due and payable in the manner and with the effect provided in the Indenture.</w:t>
      </w:r>
    </w:p>
    <w:p>
      <w:pPr>
        <w:spacing w:after="0" w:line="170"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As provided in and subject to the provisions of the Indenture, the Holder of this Note shall not have the right to institute any proceeding with respect to the Indenture or the Notes, or for the appointment of a receiver or trustee, or for any other remedy thereunder, unless such Holder gives the Trustee written notice of a continuing Event of Default, the Holders of at least 25% in aggregate principal amount of the Outstanding Notes make a written request to the Trustee to pursue the remedy and offer the Trustee security or indemnity satisfactory to the Trustee, the Trustee does not comply with the request within 60 days after receipt of the request and the offer of security or indemnity, and during such 60-day period the Holders of a majority in aggregate principal amount of the Outstanding Notes do not give the Trustee a direction that is inconsistent with such request. The foregoing shall not apply to any suit instituted by the Holder of this Note for the enforcement of any payment of principal hereof or any premium or interest hereon on or after the respective due dates expressed herein.</w:t>
      </w:r>
    </w:p>
    <w:p>
      <w:pPr>
        <w:spacing w:after="0" w:line="192"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Issuer, which is absolute and unconditional, to pay the principal of and any premium and interest on this Note at the times, place and rate, and in the coin or currency, herein prescribed.</w:t>
      </w:r>
    </w:p>
    <w:p>
      <w:pPr>
        <w:spacing w:after="0" w:line="181"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Note is registrable in the Security Register, upon surrender of this Note for registration of transfer at the office of the Registrar, duly endorsed by, or accompanied by a written instrument of transfer in form satisfactory to the Issuer and the Registrar duly executed by, the Holder hereof or its attorney duly authorized in writing, and thereupon one or more new Notes of like tenor, of authorized denominations and for the same aggregate principal amount, will be issued to the designated transferee or transferees.</w:t>
      </w:r>
    </w:p>
    <w:p>
      <w:pPr>
        <w:spacing w:after="0" w:line="154"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Notes are issuable only in registered form without coupons in denominations of $2,000 and any integral multiple of $1,000 in excess thereof. As provided in the Indenture and subject to certain limitations therein set forth, Notes are exchangeable for a like aggregate principal amount of Notes of like tenor of a different authorized denomination, as requested by the Holder surrendering the same.</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Issuer may require payment of a sum sufficient to cover any transfer tax or similar governmental charge, subject to the exceptions set forth in the Indenture.</w:t>
      </w:r>
    </w:p>
    <w:p>
      <w:pPr>
        <w:spacing w:after="0" w:line="170"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Prior to due presentment of this Note for registration of transfer, the Issuer, the Guarantors, the Trustee and any agent of the Issuer, the Guarantors or the Trustee may treat the Person in whose name this Note is registered as the owner hereof for all purposes (except as required by applicable tax laws), whether or not this Note be overdue, and neither the Issuer, the Guarantors, the Trustee nor any such agent shall be affected by notice to the contrary.</w:t>
      </w:r>
    </w:p>
    <w:p>
      <w:pPr>
        <w:spacing w:after="0" w:line="18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No director, officer, employee, incorporator or shareholder of the Issuer or any Guarantor, as such, shall have any liability for any indebtedness, obligations or liabilities of the Issuer under the Notes or the Indenture or of any Guarantor under its Guarantee or for any claim based on, in respect of, or by reason of, such indebtedness, obligations or liabilities or their creation. Each Holder by accepting a Note waives and releases all such liability. The waiver and release are part of the consideration for issuance of the Notes and the Guarantees.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274" w:right="239" w:bottom="1440" w:gutter="0" w:footer="0" w:header="0"/>
        </w:sectPr>
      </w:pPr>
    </w:p>
    <w:bookmarkStart w:id="189" w:name="page190"/>
    <w:bookmarkEnd w:id="18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terms used in this Note which are defined in the Indenture but not defined herein shall have the meanings assigned to them in the Indenture.</w:t>
      </w:r>
    </w:p>
    <w:p>
      <w:pPr>
        <w:spacing w:after="0" w:line="248" w:lineRule="exact"/>
        <w:rPr>
          <w:sz w:val="20"/>
          <w:szCs w:val="20"/>
          <w:color w:val="auto"/>
        </w:rPr>
      </w:pPr>
    </w:p>
    <w:p>
      <w:pPr>
        <w:jc w:val="center"/>
        <w:ind w:right="600"/>
        <w:spacing w:after="0" w:line="449" w:lineRule="auto"/>
        <w:rPr>
          <w:sz w:val="20"/>
          <w:szCs w:val="20"/>
          <w:color w:val="auto"/>
        </w:rPr>
      </w:pPr>
      <w:r>
        <w:rPr>
          <w:rFonts w:ascii="Arial" w:cs="Arial" w:eastAsia="Arial" w:hAnsi="Arial"/>
          <w:sz w:val="18"/>
          <w:szCs w:val="18"/>
          <w:color w:val="auto"/>
        </w:rPr>
        <w:t>The Notes, the Guarantees and the Indenture shall be governed by and construed in accordance with the laws of the State of New York. A-6</w:t>
      </w:r>
    </w:p>
    <w:p>
      <w:pPr>
        <w:sectPr>
          <w:pgSz w:w="11900" w:h="16838" w:orient="portrait"/>
          <w:cols w:equalWidth="0" w:num="1">
            <w:col w:w="10340"/>
          </w:cols>
          <w:pgMar w:left="1160" w:top="274" w:right="39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2147570</wp:posOffset>
            </wp:positionH>
            <wp:positionV relativeFrom="paragraph">
              <wp:posOffset>-10160</wp:posOffset>
            </wp:positionV>
            <wp:extent cx="30289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028950"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769620</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560" w:type="dxa"/>
            <w:vAlign w:val="bottom"/>
            <w:gridSpan w:val="2"/>
          </w:tcPr>
          <w:p>
            <w:pPr>
              <w:ind w:left="940"/>
              <w:spacing w:after="0"/>
              <w:rPr>
                <w:sz w:val="20"/>
                <w:szCs w:val="20"/>
                <w:color w:val="auto"/>
              </w:rPr>
            </w:pPr>
            <w:r>
              <w:rPr>
                <w:rFonts w:ascii="Arial" w:cs="Arial" w:eastAsia="Arial" w:hAnsi="Arial"/>
                <w:sz w:val="18"/>
                <w:szCs w:val="18"/>
                <w:color w:val="auto"/>
              </w:rPr>
              <w:t>(Print or type assignee’s name, address and zip code)</w:t>
            </w:r>
          </w:p>
        </w:tc>
      </w:tr>
      <w:tr>
        <w:trPr>
          <w:trHeight w:val="432"/>
        </w:trPr>
        <w:tc>
          <w:tcPr>
            <w:tcW w:w="218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9240" w:type="dxa"/>
            <w:vAlign w:val="bottom"/>
            <w:gridSpan w:val="3"/>
          </w:tcPr>
          <w:p>
            <w:pPr>
              <w:ind w:left="480"/>
              <w:spacing w:after="0"/>
              <w:rPr>
                <w:sz w:val="20"/>
                <w:szCs w:val="20"/>
                <w:color w:val="auto"/>
              </w:rPr>
            </w:pPr>
            <w:r>
              <w:rPr>
                <w:rFonts w:ascii="Arial" w:cs="Arial" w:eastAsia="Arial" w:hAnsi="Arial"/>
                <w:sz w:val="18"/>
                <w:szCs w:val="18"/>
                <w:color w:val="auto"/>
              </w:rPr>
              <w:t>to transfer this Note on the books of the Issuer. The agent may substitute another to act for him.</w:t>
            </w:r>
          </w:p>
        </w:tc>
      </w:tr>
      <w:tr>
        <w:trPr>
          <w:trHeight w:val="432"/>
        </w:trPr>
        <w:tc>
          <w:tcPr>
            <w:tcW w:w="2180" w:type="dxa"/>
            <w:vAlign w:val="bottom"/>
            <w:gridSpan w:val="2"/>
          </w:tcPr>
          <w:p>
            <w:pPr>
              <w:spacing w:after="0"/>
              <w:rPr>
                <w:sz w:val="20"/>
                <w:szCs w:val="20"/>
                <w:color w:val="auto"/>
              </w:rPr>
            </w:pPr>
            <w:r>
              <w:rPr>
                <w:rFonts w:ascii="Arial" w:cs="Arial" w:eastAsia="Arial" w:hAnsi="Arial"/>
                <w:sz w:val="18"/>
                <w:szCs w:val="18"/>
                <w:color w:val="auto"/>
              </w:rPr>
              <w:t>Date: __________</w:t>
            </w:r>
          </w:p>
        </w:tc>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459"/>
        </w:trPr>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80" w:type="dxa"/>
            <w:vAlign w:val="bottom"/>
          </w:tcPr>
          <w:p>
            <w:pPr>
              <w:ind w:left="1840"/>
              <w:spacing w:after="0"/>
              <w:rPr>
                <w:sz w:val="20"/>
                <w:szCs w:val="20"/>
                <w:color w:val="auto"/>
              </w:rPr>
            </w:pPr>
            <w:r>
              <w:rPr>
                <w:rFonts w:ascii="Arial" w:cs="Arial" w:eastAsia="Arial" w:hAnsi="Arial"/>
                <w:sz w:val="18"/>
                <w:szCs w:val="18"/>
                <w:color w:val="auto"/>
              </w:rPr>
              <w:t>Your Signature:</w:t>
            </w:r>
          </w:p>
        </w:tc>
        <w:tc>
          <w:tcPr>
            <w:tcW w:w="5180" w:type="dxa"/>
            <w:vAlign w:val="bottom"/>
            <w:tcBorders>
              <w:bottom w:val="single" w:sz="8" w:color="auto"/>
            </w:tcBorders>
          </w:tcPr>
          <w:p>
            <w:pPr>
              <w:spacing w:after="0"/>
              <w:rPr>
                <w:sz w:val="24"/>
                <w:szCs w:val="24"/>
                <w:color w:val="auto"/>
              </w:rPr>
            </w:pPr>
          </w:p>
        </w:tc>
      </w:tr>
      <w:tr>
        <w:trPr>
          <w:trHeight w:val="224"/>
        </w:trPr>
        <w:tc>
          <w:tcPr>
            <w:tcW w:w="1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560" w:type="dxa"/>
            <w:vAlign w:val="bottom"/>
            <w:gridSpan w:val="2"/>
          </w:tcPr>
          <w:p>
            <w:pPr>
              <w:ind w:left="3200"/>
              <w:spacing w:after="0"/>
              <w:rPr>
                <w:sz w:val="20"/>
                <w:szCs w:val="20"/>
                <w:color w:val="auto"/>
              </w:rPr>
            </w:pPr>
            <w:r>
              <w:rPr>
                <w:rFonts w:ascii="Arial" w:cs="Arial" w:eastAsia="Arial" w:hAnsi="Arial"/>
                <w:sz w:val="18"/>
                <w:szCs w:val="18"/>
                <w:color w:val="auto"/>
              </w:rPr>
              <w:t>(Sign exactly as your name appears on the face of this Note)</w:t>
            </w:r>
          </w:p>
        </w:tc>
      </w:tr>
      <w:tr>
        <w:trPr>
          <w:trHeight w:val="391"/>
        </w:trPr>
        <w:tc>
          <w:tcPr>
            <w:tcW w:w="2180" w:type="dxa"/>
            <w:vAlign w:val="bottom"/>
            <w:gridSpan w:val="2"/>
          </w:tcPr>
          <w:p>
            <w:pPr>
              <w:spacing w:after="0"/>
              <w:rPr>
                <w:sz w:val="20"/>
                <w:szCs w:val="20"/>
                <w:color w:val="auto"/>
              </w:rPr>
            </w:pPr>
            <w:r>
              <w:rPr>
                <w:rFonts w:ascii="Arial" w:cs="Arial" w:eastAsia="Arial" w:hAnsi="Arial"/>
                <w:sz w:val="18"/>
                <w:szCs w:val="18"/>
                <w:color w:val="auto"/>
              </w:rPr>
              <w:t>Signature Guarantee:</w:t>
            </w:r>
            <w:r>
              <w:rPr>
                <w:rFonts w:ascii="Arial" w:cs="Arial" w:eastAsia="Arial" w:hAnsi="Arial"/>
                <w:sz w:val="15"/>
                <w:szCs w:val="15"/>
                <w:color w:val="auto"/>
              </w:rPr>
              <w:t>*</w:t>
            </w:r>
          </w:p>
        </w:tc>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0"/>
        </w:trPr>
        <w:tc>
          <w:tcPr>
            <w:tcW w:w="1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bl>
    <w:p>
      <w:pPr>
        <w:spacing w:after="0" w:line="196" w:lineRule="exact"/>
        <w:rPr>
          <w:sz w:val="20"/>
          <w:szCs w:val="20"/>
          <w:color w:val="auto"/>
        </w:rPr>
      </w:pPr>
    </w:p>
    <w:p>
      <w:pPr>
        <w:ind w:right="220" w:firstLine="913"/>
        <w:spacing w:after="0" w:line="250"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following in a Restricted Note only:</w:t>
      </w:r>
      <w:r>
        <w:rPr>
          <w:rFonts w:ascii="Arial" w:cs="Arial" w:eastAsia="Arial" w:hAnsi="Arial"/>
          <w:sz w:val="18"/>
          <w:szCs w:val="18"/>
          <w:color w:val="auto"/>
        </w:rPr>
        <w:t xml:space="preserve">] The undersigned hereby certifies that it </w:t>
      </w:r>
      <w:r>
        <w:rPr>
          <w:rFonts w:ascii="MS PGothic" w:cs="MS PGothic" w:eastAsia="MS PGothic" w:hAnsi="MS PGothic"/>
          <w:sz w:val="18"/>
          <w:szCs w:val="18"/>
          <w:color w:val="auto"/>
        </w:rPr>
        <w:t>☐</w:t>
      </w:r>
      <w:r>
        <w:rPr>
          <w:rFonts w:ascii="Arial" w:cs="Arial" w:eastAsia="Arial" w:hAnsi="Arial"/>
          <w:sz w:val="18"/>
          <w:szCs w:val="18"/>
          <w:color w:val="auto"/>
        </w:rPr>
        <w:t xml:space="preserve"> is / </w:t>
      </w:r>
      <w:r>
        <w:rPr>
          <w:rFonts w:ascii="MS PGothic" w:cs="MS PGothic" w:eastAsia="MS PGothic" w:hAnsi="MS PGothic"/>
          <w:sz w:val="18"/>
          <w:szCs w:val="18"/>
          <w:color w:val="auto"/>
        </w:rPr>
        <w:t>☐</w:t>
      </w:r>
      <w:r>
        <w:rPr>
          <w:rFonts w:ascii="Arial" w:cs="Arial" w:eastAsia="Arial" w:hAnsi="Arial"/>
          <w:sz w:val="18"/>
          <w:szCs w:val="18"/>
          <w:color w:val="auto"/>
        </w:rPr>
        <w:t xml:space="preserve"> is not an Affiliate of the Issuer and that, to its knowledge, the proposed transferee </w:t>
      </w:r>
      <w:r>
        <w:rPr>
          <w:rFonts w:ascii="MS PGothic" w:cs="MS PGothic" w:eastAsia="MS PGothic" w:hAnsi="MS PGothic"/>
          <w:sz w:val="18"/>
          <w:szCs w:val="18"/>
          <w:color w:val="auto"/>
        </w:rPr>
        <w:t>☐</w:t>
      </w:r>
      <w:r>
        <w:rPr>
          <w:rFonts w:ascii="Arial" w:cs="Arial" w:eastAsia="Arial" w:hAnsi="Arial"/>
          <w:sz w:val="18"/>
          <w:szCs w:val="18"/>
          <w:color w:val="auto"/>
        </w:rPr>
        <w:t xml:space="preserve"> is / </w:t>
      </w:r>
      <w:r>
        <w:rPr>
          <w:rFonts w:ascii="MS PGothic" w:cs="MS PGothic" w:eastAsia="MS PGothic" w:hAnsi="MS PGothic"/>
          <w:sz w:val="18"/>
          <w:szCs w:val="18"/>
          <w:color w:val="auto"/>
        </w:rPr>
        <w:t>☐</w:t>
      </w:r>
      <w:r>
        <w:rPr>
          <w:rFonts w:ascii="Arial" w:cs="Arial" w:eastAsia="Arial" w:hAnsi="Arial"/>
          <w:sz w:val="18"/>
          <w:szCs w:val="18"/>
          <w:color w:val="auto"/>
        </w:rPr>
        <w:t xml:space="preserve"> is not an Affiliate of the Issuer.</w:t>
      </w:r>
    </w:p>
    <w:p>
      <w:pPr>
        <w:spacing w:after="0" w:line="182"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color w:val="auto"/>
        </w:rPr>
        <w:t>In connection with any transfer or exchange of any of the Notes evidenced by this certificate occurring prior to the date that is one year (or 40 days in the case of any Regulation S Notes) after the later of the date of original issuance of such Notes and the last date, if any, on which such Notes were owned by the Issuer or any Affiliate of the Issuer, the undersigned confirms that such Notes are being:</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CHECK ONE BOX BELOW:</w:t>
      </w:r>
    </w:p>
    <w:p>
      <w:pPr>
        <w:spacing w:after="0" w:line="98" w:lineRule="exact"/>
        <w:rPr>
          <w:sz w:val="20"/>
          <w:szCs w:val="20"/>
          <w:color w:val="auto"/>
        </w:rPr>
      </w:pPr>
    </w:p>
    <w:p>
      <w:pPr>
        <w:ind w:left="1340" w:hanging="427"/>
        <w:spacing w:after="0" w:line="207" w:lineRule="exact"/>
        <w:tabs>
          <w:tab w:leader="none" w:pos="1340" w:val="left"/>
        </w:tabs>
        <w:numPr>
          <w:ilvl w:val="1"/>
          <w:numId w:val="18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acquired for the undersigned’s own account, without transfer; or</w:t>
      </w:r>
    </w:p>
    <w:p>
      <w:pPr>
        <w:spacing w:after="0" w:line="130" w:lineRule="exact"/>
        <w:rPr>
          <w:rFonts w:ascii="Arial" w:cs="Arial" w:eastAsia="Arial" w:hAnsi="Arial"/>
          <w:sz w:val="18"/>
          <w:szCs w:val="18"/>
          <w:color w:val="auto"/>
        </w:rPr>
      </w:pPr>
    </w:p>
    <w:p>
      <w:pPr>
        <w:ind w:left="1340" w:hanging="427"/>
        <w:spacing w:after="0" w:line="207" w:lineRule="exact"/>
        <w:tabs>
          <w:tab w:leader="none" w:pos="1340" w:val="left"/>
        </w:tabs>
        <w:numPr>
          <w:ilvl w:val="1"/>
          <w:numId w:val="18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transferred to the Parent Guarantor or any Subsidiary thereof; or</w:t>
      </w:r>
    </w:p>
    <w:p>
      <w:pPr>
        <w:spacing w:after="0" w:line="130" w:lineRule="exact"/>
        <w:rPr>
          <w:rFonts w:ascii="Arial" w:cs="Arial" w:eastAsia="Arial" w:hAnsi="Arial"/>
          <w:sz w:val="18"/>
          <w:szCs w:val="18"/>
          <w:color w:val="auto"/>
        </w:rPr>
      </w:pPr>
    </w:p>
    <w:p>
      <w:pPr>
        <w:ind w:left="1340" w:hanging="427"/>
        <w:spacing w:after="0" w:line="207" w:lineRule="exact"/>
        <w:tabs>
          <w:tab w:leader="none" w:pos="1340" w:val="left"/>
        </w:tabs>
        <w:numPr>
          <w:ilvl w:val="1"/>
          <w:numId w:val="18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transferred pursuant to and in compliance with Rule 144A under the Securities Act of 1933, as amended (the “Securities Act”); or</w:t>
      </w:r>
    </w:p>
    <w:p>
      <w:pPr>
        <w:spacing w:after="0" w:line="130" w:lineRule="exact"/>
        <w:rPr>
          <w:rFonts w:ascii="Arial" w:cs="Arial" w:eastAsia="Arial" w:hAnsi="Arial"/>
          <w:sz w:val="18"/>
          <w:szCs w:val="18"/>
          <w:color w:val="auto"/>
        </w:rPr>
      </w:pPr>
    </w:p>
    <w:p>
      <w:pPr>
        <w:ind w:left="1340" w:hanging="427"/>
        <w:spacing w:after="0" w:line="207" w:lineRule="exact"/>
        <w:tabs>
          <w:tab w:leader="none" w:pos="1340" w:val="left"/>
        </w:tabs>
        <w:numPr>
          <w:ilvl w:val="1"/>
          <w:numId w:val="18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transferred pursuant to an effective registration statement under the Securities Act; or</w:t>
      </w:r>
    </w:p>
    <w:p>
      <w:pPr>
        <w:spacing w:after="0" w:line="3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5"/>
          <w:szCs w:val="15"/>
          <w:color w:val="auto"/>
        </w:rPr>
        <w:t xml:space="preserve">*  </w:t>
      </w:r>
      <w:r>
        <w:rPr>
          <w:rFonts w:ascii="Arial" w:cs="Arial" w:eastAsia="Arial" w:hAnsi="Arial"/>
          <w:sz w:val="18"/>
          <w:szCs w:val="18"/>
          <w:color w:val="auto"/>
        </w:rPr>
        <w:t>Participant in a recognized Signature Guarantee Medallion Program (or other signature 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89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70" w:right="239" w:bottom="1440" w:gutter="0" w:footer="0" w:header="0"/>
        </w:sectPr>
      </w:pPr>
    </w:p>
    <w:bookmarkStart w:id="191" w:name="page192"/>
    <w:bookmarkEnd w:id="191"/>
    <w:p>
      <w:pPr>
        <w:ind w:left="1340" w:hanging="427"/>
        <w:spacing w:after="0" w:line="207" w:lineRule="exact"/>
        <w:tabs>
          <w:tab w:leader="none" w:pos="1340" w:val="left"/>
        </w:tabs>
        <w:numPr>
          <w:ilvl w:val="0"/>
          <w:numId w:val="183"/>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color w:val="auto"/>
        </w:rPr>
        <w:t>transferred pursuant to and in compliance with Regulation S under the Securities Act; or</w:t>
      </w:r>
    </w:p>
    <w:p>
      <w:pPr>
        <w:spacing w:after="0" w:line="130" w:lineRule="exact"/>
        <w:rPr>
          <w:rFonts w:ascii="Arial" w:cs="Arial" w:eastAsia="Arial" w:hAnsi="Arial"/>
          <w:sz w:val="18"/>
          <w:szCs w:val="18"/>
          <w:color w:val="auto"/>
        </w:rPr>
      </w:pPr>
    </w:p>
    <w:p>
      <w:pPr>
        <w:ind w:left="1940" w:right="60" w:hanging="1027"/>
        <w:spacing w:after="0" w:line="221" w:lineRule="exact"/>
        <w:tabs>
          <w:tab w:leader="none" w:pos="1349" w:val="left"/>
        </w:tabs>
        <w:numPr>
          <w:ilvl w:val="0"/>
          <w:numId w:val="18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transferred to an institutional “accredited investor” (as defined in Rule 501(a)(1), (2), (3) or (7) under the Securities Act), that has furnished to the Trustee a signed letter containing certain representations and agreements (the form of which letter appears as Annex C to the Indenture); or</w:t>
      </w:r>
    </w:p>
    <w:p>
      <w:pPr>
        <w:spacing w:after="0" w:line="107" w:lineRule="exact"/>
        <w:rPr>
          <w:rFonts w:ascii="Arial" w:cs="Arial" w:eastAsia="Arial" w:hAnsi="Arial"/>
          <w:sz w:val="18"/>
          <w:szCs w:val="18"/>
          <w:color w:val="auto"/>
        </w:rPr>
      </w:pPr>
    </w:p>
    <w:p>
      <w:pPr>
        <w:ind w:left="1340" w:hanging="427"/>
        <w:spacing w:after="0" w:line="207" w:lineRule="exact"/>
        <w:tabs>
          <w:tab w:leader="none" w:pos="1340" w:val="left"/>
        </w:tabs>
        <w:numPr>
          <w:ilvl w:val="0"/>
          <w:numId w:val="18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transferred pursuant to another available exemption from the registration requirements of the Securities Act.</w:t>
      </w:r>
    </w:p>
    <w:p>
      <w:pPr>
        <w:spacing w:after="0" w:line="25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box (5), (6) or (7) is checked, the Issuer may require, prior to registering any such transfer of the Notes, in its sole discretion, such legal opinions, certifications and other information as the Issuer may reasonably request to confirm that such transfer is being made pursuant to an exemption from, or in a transaction not subject to, the registration requirements of the Securities Act, such as the exemption provided by Rule 144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283210</wp:posOffset>
            </wp:positionV>
            <wp:extent cx="28987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289560</wp:posOffset>
            </wp:positionV>
            <wp:extent cx="278701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 must be guaranteed)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BE COMPLETED BY PURCHASER IF BOX (3) ABOVE IS CHECKED.</w:t>
      </w:r>
    </w:p>
    <w:p>
      <w:pPr>
        <w:spacing w:after="0" w:line="225"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0" w:lineRule="exact"/>
        <w:rPr>
          <w:sz w:val="20"/>
          <w:szCs w:val="20"/>
          <w:color w:val="auto"/>
        </w:rPr>
      </w:pPr>
    </w:p>
    <w:p>
      <w:pPr>
        <w:spacing w:after="0" w:line="28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80" w:right="2160" w:hanging="5572"/>
        <w:spacing w:after="0" w:line="449" w:lineRule="auto"/>
        <w:tabs>
          <w:tab w:leader="none" w:pos="23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A-8</w:t>
      </w:r>
    </w:p>
    <w:p>
      <w:pPr>
        <w:sectPr>
          <w:pgSz w:w="11900" w:h="16838" w:orient="portrait"/>
          <w:cols w:equalWidth="0" w:num="1">
            <w:col w:w="11320"/>
          </w:cols>
          <w:pgMar w:left="240" w:top="241" w:right="339" w:bottom="1440" w:gutter="0" w:footer="0" w:header="0"/>
        </w:sectPr>
      </w:pPr>
    </w:p>
    <w:bookmarkStart w:id="192" w:name="page193"/>
    <w:bookmarkEnd w:id="19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of Holder to Elect Purchase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you want to elect to have this Note purchased by the Issuer pursuant to Section 1107 or Section 1112 of the Indenture, check the appropriate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box below:</w:t>
      </w:r>
    </w:p>
    <w:p>
      <w:pPr>
        <w:spacing w:after="0" w:line="178" w:lineRule="exact"/>
        <w:rPr>
          <w:sz w:val="20"/>
          <w:szCs w:val="20"/>
          <w:color w:val="auto"/>
        </w:rPr>
      </w:pPr>
    </w:p>
    <w:p>
      <w:pPr>
        <w:ind w:left="4300"/>
        <w:spacing w:after="0" w:line="207" w:lineRule="exact"/>
        <w:tabs>
          <w:tab w:leader="none" w:pos="59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Section 1107</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Section 1112</w:t>
      </w:r>
    </w:p>
    <w:p>
      <w:pPr>
        <w:spacing w:after="0" w:line="258"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If you want to elect to have only part of the Note purchased by the Issuer pursuant to Section 1107 or Section 1112 of the Indenture, state the amount you elect to have purchased:</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-10160</wp:posOffset>
            </wp:positionV>
            <wp:extent cx="11715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(Sign exactly as your name appears on the face of this Note)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5424170</wp:posOffset>
            </wp:positionH>
            <wp:positionV relativeFrom="paragraph">
              <wp:posOffset>-10160</wp:posOffset>
            </wp:positionV>
            <wp:extent cx="12858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89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-18415</wp:posOffset>
            </wp:positionV>
            <wp:extent cx="9429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87" w:lineRule="exact"/>
        <w:rPr>
          <w:sz w:val="20"/>
          <w:szCs w:val="20"/>
          <w:color w:val="auto"/>
        </w:rPr>
      </w:pPr>
    </w:p>
    <w:p>
      <w:pPr>
        <w:ind w:left="5580" w:right="2040" w:hanging="5572"/>
        <w:spacing w:after="0" w:line="449" w:lineRule="auto"/>
        <w:tabs>
          <w:tab w:leader="none" w:pos="230" w:val="left"/>
        </w:tabs>
        <w:numPr>
          <w:ilvl w:val="0"/>
          <w:numId w:val="185"/>
        </w:numPr>
        <w:rPr>
          <w:rFonts w:ascii="Arial" w:cs="Arial" w:eastAsia="Arial" w:hAnsi="Arial"/>
          <w:sz w:val="15"/>
          <w:szCs w:val="15"/>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ectPr>
          <w:pgSz w:w="11900" w:h="16838" w:orient="portrait"/>
          <w:cols w:equalWidth="0" w:num="1">
            <w:col w:w="11200"/>
          </w:cols>
          <w:pgMar w:left="240" w:top="270" w:right="459" w:bottom="1440" w:gutter="0" w:footer="0" w:header="0"/>
        </w:sectPr>
      </w:pPr>
    </w:p>
    <w:bookmarkStart w:id="193" w:name="page194"/>
    <w:bookmarkEnd w:id="193"/>
    <w:p>
      <w:pPr>
        <w:ind w:left="32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4"/>
          <w:szCs w:val="14"/>
          <w:color w:val="auto"/>
        </w:rPr>
        <w:t>CHEDULE OF</w:t>
      </w:r>
      <w:r>
        <w:rPr>
          <w:rFonts w:ascii="Arial" w:cs="Arial" w:eastAsia="Arial" w:hAnsi="Arial"/>
          <w:sz w:val="17"/>
          <w:szCs w:val="17"/>
          <w:color w:val="auto"/>
        </w:rPr>
        <w:t xml:space="preserve"> E</w:t>
      </w:r>
      <w:r>
        <w:rPr>
          <w:rFonts w:ascii="Arial" w:cs="Arial" w:eastAsia="Arial" w:hAnsi="Arial"/>
          <w:sz w:val="14"/>
          <w:szCs w:val="14"/>
          <w:color w:val="auto"/>
        </w:rPr>
        <w:t>XCHANGES OF</w:t>
      </w:r>
      <w:r>
        <w:rPr>
          <w:rFonts w:ascii="Arial" w:cs="Arial" w:eastAsia="Arial" w:hAnsi="Arial"/>
          <w:sz w:val="17"/>
          <w:szCs w:val="17"/>
          <w:color w:val="auto"/>
        </w:rPr>
        <w:t xml:space="preserve"> I</w:t>
      </w:r>
      <w:r>
        <w:rPr>
          <w:rFonts w:ascii="Arial" w:cs="Arial" w:eastAsia="Arial" w:hAnsi="Arial"/>
          <w:sz w:val="14"/>
          <w:szCs w:val="14"/>
          <w:color w:val="auto"/>
        </w:rPr>
        <w:t>NTERESTS IN THE</w:t>
      </w:r>
      <w:r>
        <w:rPr>
          <w:rFonts w:ascii="Arial" w:cs="Arial" w:eastAsia="Arial" w:hAnsi="Arial"/>
          <w:sz w:val="17"/>
          <w:szCs w:val="17"/>
          <w:color w:val="auto"/>
        </w:rPr>
        <w:t xml:space="preserve"> G</w:t>
      </w:r>
      <w:r>
        <w:rPr>
          <w:rFonts w:ascii="Arial" w:cs="Arial" w:eastAsia="Arial" w:hAnsi="Arial"/>
          <w:sz w:val="14"/>
          <w:szCs w:val="14"/>
          <w:color w:val="auto"/>
        </w:rPr>
        <w:t>LOBAL</w:t>
      </w:r>
      <w:r>
        <w:rPr>
          <w:rFonts w:ascii="Arial" w:cs="Arial" w:eastAsia="Arial" w:hAnsi="Arial"/>
          <w:sz w:val="17"/>
          <w:szCs w:val="17"/>
          <w:color w:val="auto"/>
        </w:rPr>
        <w:t xml:space="preserve"> N</w:t>
      </w:r>
      <w:r>
        <w:rPr>
          <w:rFonts w:ascii="Arial" w:cs="Arial" w:eastAsia="Arial" w:hAnsi="Arial"/>
          <w:sz w:val="14"/>
          <w:szCs w:val="14"/>
          <w:color w:val="auto"/>
        </w:rPr>
        <w:t>OTE</w:t>
      </w:r>
      <w:r>
        <w:rPr>
          <w:rFonts w:ascii="Arial" w:cs="Arial" w:eastAsia="Arial" w:hAnsi="Arial"/>
          <w:sz w:val="17"/>
          <w:szCs w:val="17"/>
          <w:color w:val="auto"/>
        </w:rPr>
        <w:t>*</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exchanges of a part of this Global Note for other Notes have been made:</w:t>
      </w:r>
    </w:p>
    <w:p>
      <w:pPr>
        <w:sectPr>
          <w:pgSz w:w="11900" w:h="16838" w:orient="portrait"/>
          <w:cols w:equalWidth="0" w:num="1">
            <w:col w:w="11420"/>
          </w:cols>
          <w:pgMar w:left="240" w:top="274" w:right="239" w:bottom="1440" w:gutter="0" w:footer="0" w:header="0"/>
        </w:sect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w w:val="92"/>
              </w:rPr>
              <w:t>Amount of decrease</w:t>
            </w:r>
          </w:p>
        </w:tc>
      </w:tr>
      <w:tr>
        <w:trPr>
          <w:trHeight w:val="149"/>
        </w:trPr>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color w:val="auto"/>
                <w:w w:val="97"/>
              </w:rPr>
              <w:t>in Principal Amount</w:t>
            </w:r>
          </w:p>
        </w:tc>
      </w:tr>
      <w:tr>
        <w:trPr>
          <w:trHeight w:val="181"/>
        </w:trPr>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Date of Exchange</w:t>
            </w:r>
          </w:p>
        </w:tc>
        <w:tc>
          <w:tcPr>
            <w:tcW w:w="22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of this Global Note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89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7"/>
              </w:rPr>
              <w:t>Principal Amount of</w:t>
            </w:r>
          </w:p>
        </w:tc>
        <w:tc>
          <w:tcPr>
            <w:tcW w:w="1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5"/>
              </w:rPr>
              <w:t>Signature of</w:t>
            </w:r>
          </w:p>
        </w:tc>
      </w:tr>
      <w:tr>
        <w:trPr>
          <w:trHeight w:val="149"/>
        </w:trPr>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4"/>
              </w:rPr>
              <w:t>Amount of increase</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4"/>
              </w:rPr>
              <w:t>this Global Note</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3"/>
              </w:rPr>
              <w:t>authorized signatory</w:t>
            </w:r>
          </w:p>
        </w:tc>
      </w:tr>
      <w:tr>
        <w:trPr>
          <w:trHeight w:val="149"/>
        </w:trPr>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7"/>
              </w:rPr>
              <w:t>in Principal Amount</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7"/>
              </w:rPr>
              <w:t>following such</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3"/>
              </w:rPr>
              <w:t>of Trustee or</w:t>
            </w:r>
          </w:p>
        </w:tc>
      </w:tr>
      <w:tr>
        <w:trPr>
          <w:trHeight w:val="181"/>
        </w:trPr>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of this Global Note</w:t>
            </w:r>
          </w:p>
        </w:tc>
        <w:tc>
          <w:tcPr>
            <w:tcW w:w="1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 (or increase)</w:t>
            </w:r>
          </w:p>
        </w:tc>
        <w:tc>
          <w:tcPr>
            <w:tcW w:w="10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Custodian</w:t>
            </w:r>
          </w:p>
        </w:tc>
      </w:tr>
    </w:tbl>
    <w:p>
      <w:pPr>
        <w:spacing w:after="0" w:line="200" w:lineRule="exact"/>
        <w:rPr>
          <w:sz w:val="20"/>
          <w:szCs w:val="20"/>
          <w:color w:val="auto"/>
        </w:rPr>
      </w:pPr>
    </w:p>
    <w:p>
      <w:pPr>
        <w:sectPr>
          <w:pgSz w:w="11900" w:h="16838" w:orient="portrait"/>
          <w:cols w:equalWidth="0" w:num="2">
            <w:col w:w="5280" w:space="100"/>
            <w:col w:w="6040"/>
          </w:cols>
          <w:pgMar w:left="240" w:top="274" w:right="239" w:bottom="1440" w:gutter="0" w:footer="0" w:header="0"/>
          <w:type w:val="continuous"/>
        </w:sectPr>
      </w:pPr>
    </w:p>
    <w:p>
      <w:pPr>
        <w:spacing w:after="0" w:line="231" w:lineRule="exact"/>
        <w:rPr>
          <w:sz w:val="20"/>
          <w:szCs w:val="20"/>
          <w:color w:val="auto"/>
        </w:rPr>
      </w:pPr>
    </w:p>
    <w:p>
      <w:pPr>
        <w:ind w:left="220" w:hanging="212"/>
        <w:spacing w:after="0"/>
        <w:tabs>
          <w:tab w:leader="none" w:pos="220"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This schedule should be included only if the Note is issued in global form</w:t>
      </w:r>
      <w:r>
        <w:rPr>
          <w:rFonts w:ascii="Arial" w:cs="Arial" w:eastAsia="Arial" w:hAnsi="Arial"/>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A-10</w:t>
      </w:r>
    </w:p>
    <w:p>
      <w:pPr>
        <w:sectPr>
          <w:pgSz w:w="11900" w:h="16838" w:orient="portrait"/>
          <w:cols w:equalWidth="0" w:num="1">
            <w:col w:w="11420"/>
          </w:cols>
          <w:pgMar w:left="240" w:top="274" w:right="239" w:bottom="1440" w:gutter="0" w:footer="0" w:header="0"/>
          <w:type w:val="continuous"/>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NOTATION OF GUARANTEE</w:t>
      </w:r>
    </w:p>
    <w:p>
      <w:pPr>
        <w:spacing w:after="0" w:line="229"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Each of the undersigned Guarantors (which term includes any successor Person under the Indenture (as defined below)), has fully and unconditionally guaranteed, to the extent set forth in Article Fifteen of the Eleventh Supplemental Indenture (herein so called) dated as of November 18, 2016, among Weatherford International Ltd., as issuer, the Guarantors named therein and Deutsche Bank Trust Company Americas, as Trustee, to the Indenture, dated as of October 1, 2003, as previously amended and supplemented by (i) the Third Supplemental Indenture dated as of February 26, 2009, (ii) the Seventh Supplemental Indenture, dated as of March 31, 2013, and (iii) the Eighth Supplemental Indenture dated as of June 17, 2014, the due and punctual payment of the principal of, and premium, if any, and interest on, the Issuer’s 9.875% Senior Notes due 2024 and all other amounts due and payable by the Issuer under the Eleventh Supplemental Indenture.</w:t>
      </w:r>
    </w:p>
    <w:p>
      <w:pPr>
        <w:spacing w:after="0" w:line="189"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The obligations of the Guarantors to the Holders of Notes and to the Trustee pursuant to the Guarantees and the Indenture are expressly set forth in Article Fifteen of the Eleventh Supplemental Indenture, and reference is hereby made to the Eleventh Supplemental Indenture for the precise terms of the Guarantees and the conditions upon which they may be released.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each of the Guarantors has caused this notation to be duly executed.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 PLC</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 Irish public limited company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Other Subsidiary Guarantor(s)]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0"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TO BE DELIVERED IN CONNECTION WITH TRANSFERS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INSTITUTIONAL ACCREDITED INVESTORS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Weatherford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NYC60-1630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Corporates Team—Weatherford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This certificate is delivered to request a transfer of $[ ] principal amount of the 9.875% Senior Notes due 2024 (the “Securities”) of Weatherford International Ltd., a Bermuda exempted company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Upon transfer, the Securities would be registered in the name of the new beneficial owner as follows: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-10160</wp:posOffset>
            </wp:positionV>
            <wp:extent cx="19431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943100" cy="8890"/>
                    </a:xfrm>
                    <a:prstGeom prst="rect">
                      <a:avLst/>
                    </a:prstGeom>
                    <a:noFill/>
                  </pic:spPr>
                </pic:pic>
              </a:graphicData>
            </a:graphic>
          </wp:anchor>
        </w:drawing>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1019810</wp:posOffset>
            </wp:positionH>
            <wp:positionV relativeFrom="paragraph">
              <wp:posOffset>-10160</wp:posOffset>
            </wp:positionV>
            <wp:extent cx="18002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Taxpayer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-10160</wp:posOffset>
            </wp:positionV>
            <wp:extent cx="117157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undersigned represents and warrants to you that:</w:t>
      </w:r>
    </w:p>
    <w:p>
      <w:pPr>
        <w:spacing w:after="0" w:line="117" w:lineRule="exact"/>
        <w:rPr>
          <w:sz w:val="20"/>
          <w:szCs w:val="20"/>
          <w:color w:val="auto"/>
        </w:rPr>
      </w:pPr>
    </w:p>
    <w:p>
      <w:pPr>
        <w:ind w:right="20" w:firstLine="921"/>
        <w:spacing w:after="0" w:line="255" w:lineRule="auto"/>
        <w:tabs>
          <w:tab w:leader="none" w:pos="109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under the Securities Act of 1933, as amended (the “Securities Act”)) purchasing for our own account or for the account of such an institutional “accredited investor” at least $250,000 principal amount of the Securities, and we are acquiring the Securities not with a view to, or for offer or sale in connection with, any distribution in violation of the Securities Act. We have such knowledge and experience in financial and business matters as to be capable of evaluating the merits and risk of our investment in the Securities and we invest in or purchase securities similar to the Securities in the normal course of our business. We and any accounts for which we are acting are each able to bear the economic risk of our or its investment.</w:t>
      </w:r>
    </w:p>
    <w:p>
      <w:pPr>
        <w:spacing w:after="0" w:line="85" w:lineRule="exact"/>
        <w:rPr>
          <w:rFonts w:ascii="Arial" w:cs="Arial" w:eastAsia="Arial" w:hAnsi="Arial"/>
          <w:sz w:val="18"/>
          <w:szCs w:val="18"/>
          <w:color w:val="auto"/>
        </w:rPr>
      </w:pPr>
    </w:p>
    <w:p>
      <w:pPr>
        <w:ind w:right="40" w:firstLine="921"/>
        <w:spacing w:after="0" w:line="302" w:lineRule="auto"/>
        <w:tabs>
          <w:tab w:leader="none" w:pos="1093"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We understand that the Securities have not been registered under the Securities Act and, unless so registered, may not be sold except as permitted in the following sentence. We agree on our own behalf and on behalf of any investor account for which we are purchasing Securities to offer, sell or otherwise transfer such Securities prior to the date that is one year after the later of the date of original issue and the last date on which the Company or any affiliate of the Company was the owner of such Securities (or any predecessor thereto) (the “Resale Restriction Termination Date”) only (a) to the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0" w:right="239" w:bottom="1440" w:gutter="0" w:footer="0" w:header="0"/>
        </w:sectPr>
      </w:pPr>
    </w:p>
    <w:bookmarkStart w:id="196" w:name="page197"/>
    <w:bookmarkEnd w:id="19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or any Subsidiary thereof, (b) pursuant to an effective registration statement under the Securities Act, (c) in a transaction complying with the requirements of Rule 144A under the Securities Act, to a person we reasonably believe is a “qualified institutional buyer” under Rule 144A of the Securities Act (a “QIB”) that is purchasing for its own account or for the account of a QIB and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501(a)(1), (2), (3) or (7) under the Securities Act that is purchasing for its own account or for the account of such an institutional “accredited investor,” in each case in a minimum principal amount of Securities of $250,000 for investment purposes and not with a view to or for offer or sale in connection with any distribution in violation of the Securities Act or (f) pursuant to any other available 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Securities is proposed to be made pursuant to clause (e) above prior to the Resale Restriction Termination Date, the transferor shall deliver a letter from the transferee substantially in the form of this letter to the Company and the Trustee, which shall provide, among other things, that the transferee is an institutional “accredited investor” (within the meaning of Rule 501(a)(1), (2), (3) or (7) under the Securities Act) and that it is acquiring such Securities for investment purposes and not for distribution in violation of the Securities Act. Each purchaser acknowledges that the Company and the Trustee reserve the right prior to any offer, sale or other transfer prior to the Resale Termination Date of the Securities pursuant to clauses (d), (e) or (f) above to require the delivery of an Opinion of Counsel, certifications and/or other information satisfactory to the Company and the Trustee.</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We [are][are not] an Affiliate of the Company.</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-10160</wp:posOffset>
            </wp:positionV>
            <wp:extent cx="162877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22574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40" w:top="274" w:right="27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TO BE DELIVERED IN CONNECTION WITH TRANSFERS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REGULATION 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Weatherford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NYC60-1630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Corporates Team—Weatherford</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Weatherford International ltd. (the “Company”)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9.875% Senior Notes due 2024 (the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400" w:firstLine="913"/>
        <w:spacing w:after="0" w:line="264" w:lineRule="auto"/>
        <w:rPr>
          <w:sz w:val="20"/>
          <w:szCs w:val="20"/>
          <w:color w:val="auto"/>
        </w:rPr>
      </w:pPr>
      <w:r>
        <w:rPr>
          <w:rFonts w:ascii="Arial" w:cs="Arial" w:eastAsia="Arial" w:hAnsi="Arial"/>
          <w:sz w:val="18"/>
          <w:szCs w:val="18"/>
          <w:color w:val="auto"/>
        </w:rPr>
        <w:t>In connection with our proposed sale of $[ ] aggregate principal amount of the Securities, we confirm that such sale has been effected pursuant to and in accordance with Regulation S under the United States Securities Act of 1933, as amended (the “Securities Act”), and, accordingly, we represent that:</w:t>
      </w:r>
    </w:p>
    <w:p>
      <w:pPr>
        <w:spacing w:after="0" w:line="73" w:lineRule="exact"/>
        <w:rPr>
          <w:sz w:val="20"/>
          <w:szCs w:val="20"/>
          <w:color w:val="auto"/>
        </w:rPr>
      </w:pPr>
    </w:p>
    <w:p>
      <w:pPr>
        <w:ind w:left="1580" w:hanging="239"/>
        <w:spacing w:after="0"/>
        <w:tabs>
          <w:tab w:leader="none" w:pos="15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offer of the Securities was not made to a person in the United States;</w:t>
      </w:r>
    </w:p>
    <w:p>
      <w:pPr>
        <w:spacing w:after="0" w:line="117" w:lineRule="exact"/>
        <w:rPr>
          <w:rFonts w:ascii="Arial" w:cs="Arial" w:eastAsia="Arial" w:hAnsi="Arial"/>
          <w:sz w:val="18"/>
          <w:szCs w:val="18"/>
          <w:color w:val="auto"/>
        </w:rPr>
      </w:pPr>
    </w:p>
    <w:p>
      <w:pPr>
        <w:ind w:left="920" w:right="120" w:firstLine="421"/>
        <w:spacing w:after="0" w:line="259" w:lineRule="auto"/>
        <w:tabs>
          <w:tab w:leader="none" w:pos="159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either (i) at the time the buy order was originated, the transferee was outside the United States or we and any person acting on our behalf reasonably believed that the transferee was outside the United States or (ii) the transaction was executed in, on or through the facilities of a designated off-shore securities market and neither we nor any person acting on our behalf knows that the transaction has been pre-arranged with a buyer in the United States;</w:t>
      </w:r>
    </w:p>
    <w:p>
      <w:pPr>
        <w:spacing w:after="0" w:line="78" w:lineRule="exact"/>
        <w:rPr>
          <w:rFonts w:ascii="Arial" w:cs="Arial" w:eastAsia="Arial" w:hAnsi="Arial"/>
          <w:sz w:val="18"/>
          <w:szCs w:val="18"/>
          <w:color w:val="auto"/>
        </w:rPr>
      </w:pPr>
    </w:p>
    <w:p>
      <w:pPr>
        <w:ind w:left="920" w:right="60" w:firstLine="421"/>
        <w:spacing w:after="0" w:line="277" w:lineRule="auto"/>
        <w:tabs>
          <w:tab w:leader="none" w:pos="158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 directed selling efforts have been made in the United States in contravention of the requirements of Rule 903(a)(2) or Rule 904(a)(2) of Regulation S, as applicable; and</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transaction is not part of a plan or scheme to evade the registration requirements of the Securities Act.</w:t>
      </w:r>
    </w:p>
    <w:p>
      <w:pPr>
        <w:spacing w:after="0" w:line="225"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In addition, if the sale is made during a restricted period and the provisions of Rule 903(b)(2), Rule 903(b)(3) or Rule 904(b)(1) of Regulation S are applicable thereto, we confirm that such sale has been made in accordance with the applicable provisions of Rule 903(b)(2), Rule 903(b)(3) or Rule 904(b)(1), as the case may be.</w:t>
      </w:r>
    </w:p>
    <w:p>
      <w:pPr>
        <w:spacing w:after="0" w:line="181"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We also hereby certify that we [are][are not] an Affiliate of the Company and, to our knowledge, the transferee of the Securities [is][is not] an Affiliate of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0" w:right="239" w:bottom="1440" w:gutter="0" w:footer="0" w:header="0"/>
        </w:sectPr>
      </w:pPr>
    </w:p>
    <w:bookmarkStart w:id="198" w:name="page199"/>
    <w:bookmarkEnd w:id="198"/>
    <w:p>
      <w:pPr>
        <w:jc w:val="both"/>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are entitled to rely conclusively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Transferor]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22860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Authorized Signatory</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280"/>
          </w:cols>
          <w:pgMar w:left="240" w:top="274" w:right="37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SUPPLEMENTAL INDENTURE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DELIVERED BY FUTURE SUBSIDIARY GUARANTORS</w:t>
      </w:r>
    </w:p>
    <w:p>
      <w:pPr>
        <w:spacing w:after="0" w:line="211"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T</w:t>
      </w:r>
      <w:r>
        <w:rPr>
          <w:rFonts w:ascii="Arial" w:cs="Arial" w:eastAsia="Arial" w:hAnsi="Arial"/>
          <w:sz w:val="13"/>
          <w:szCs w:val="13"/>
          <w:color w:val="auto"/>
        </w:rPr>
        <w:t>HIS</w:t>
      </w:r>
      <w:r>
        <w:rPr>
          <w:rFonts w:ascii="Arial" w:cs="Arial" w:eastAsia="Arial" w:hAnsi="Arial"/>
          <w:sz w:val="16"/>
          <w:szCs w:val="16"/>
          <w:color w:val="auto"/>
        </w:rPr>
        <w:t xml:space="preserve"> S</w:t>
      </w:r>
      <w:r>
        <w:rPr>
          <w:rFonts w:ascii="Arial" w:cs="Arial" w:eastAsia="Arial" w:hAnsi="Arial"/>
          <w:sz w:val="13"/>
          <w:szCs w:val="13"/>
          <w:color w:val="auto"/>
        </w:rPr>
        <w:t>UPPLEMENTAL</w:t>
      </w:r>
      <w:r>
        <w:rPr>
          <w:rFonts w:ascii="Arial" w:cs="Arial" w:eastAsia="Arial" w:hAnsi="Arial"/>
          <w:sz w:val="16"/>
          <w:szCs w:val="16"/>
          <w:color w:val="auto"/>
        </w:rPr>
        <w:t xml:space="preserve"> I</w:t>
      </w:r>
      <w:r>
        <w:rPr>
          <w:rFonts w:ascii="Arial" w:cs="Arial" w:eastAsia="Arial" w:hAnsi="Arial"/>
          <w:sz w:val="13"/>
          <w:szCs w:val="13"/>
          <w:color w:val="auto"/>
        </w:rPr>
        <w:t>NDENTURE</w:t>
      </w:r>
      <w:r>
        <w:rPr>
          <w:rFonts w:ascii="Arial" w:cs="Arial" w:eastAsia="Arial" w:hAnsi="Arial"/>
          <w:sz w:val="16"/>
          <w:szCs w:val="16"/>
          <w:color w:val="auto"/>
        </w:rPr>
        <w:t xml:space="preserve"> (this “Supplemental Indenture”), dated as of , 20 , is among [Name of Future Subsidiary Guarantor(s)] (the “New Subsidiary Guarantor”), a subsidiary of Weatherford International plc, an Irish public limited company [or its permitted successor] (the “Parent Guarantor”), Weatherford International, LLC, a Delaware limited liability company (“Weatherford Delaware”), each other existing Subsidiary Guarantor (as defined in the Indenture referred to herein), Weatherford International Ltd., a Bermuda exempted company (the “Issuer”), the Parent Guarantor and Deutsche Bank Trust Company Americas, as trustee under the Indenture referred to herein (the “Trustee”). The New Subsidiary Guarantor and the existing Subsidiary Guarantors are sometimes referred to collectively herein as the “Subsidiary Guarantors,” or individually as a “Subsidiary Guarantor.”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WHEREAS, the Issuer, the Parent Guarantor, Weatherford Delaware and the Trustee are parties to an Indenture, dated as of October 1, 2003, as amended and supplemented by (i) the Third Supplemental Indenture dated as of February 26, 2009, (ii) the Seventh Supplemental Indenture, dated as of March 31, 2013, (iii) the Eighth Supplemental Indenture dated as of June 17, 2014 and (iv) the Eleventh Supplemental Indenture (herein so called) dated as of November 18, 2016 relating to the 9.875% Senior Notes due 2024 (the “</w:t>
      </w:r>
      <w:r>
        <w:rPr>
          <w:rFonts w:ascii="Arial" w:cs="Arial" w:eastAsia="Arial" w:hAnsi="Arial"/>
          <w:sz w:val="17"/>
          <w:szCs w:val="17"/>
          <w:i w:val="1"/>
          <w:iCs w:val="1"/>
          <w:color w:val="auto"/>
        </w:rPr>
        <w:t>Notes</w:t>
      </w:r>
      <w:r>
        <w:rPr>
          <w:rFonts w:ascii="Arial" w:cs="Arial" w:eastAsia="Arial" w:hAnsi="Arial"/>
          <w:sz w:val="17"/>
          <w:szCs w:val="17"/>
          <w:color w:val="auto"/>
        </w:rPr>
        <w:t>”) of the Issuer;</w:t>
      </w:r>
    </w:p>
    <w:p>
      <w:pPr>
        <w:spacing w:after="0" w:line="171"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WHEREAS, Section 1114 of the Eleventh Supplemental Indenture obligates the Issuer to cause certain Restricted Subsidiaries to become Subsidiary Guarantors by executing a supplemental indenture as provided in such Section; and</w:t>
      </w:r>
    </w:p>
    <w:p>
      <w:pPr>
        <w:spacing w:after="0" w:line="170"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WHEREAS, pursuant to Section 1001 of the Eleventh Supplemental Indenture, the Issuer, the Parent Guarantor, the Subsidiary Guarantors and the Trustee are authorized to execute and deliver this Supplemental Indenture to amend or supplement the Indenture without the consent of any Holder;</w:t>
      </w:r>
    </w:p>
    <w:p>
      <w:pPr>
        <w:spacing w:after="0" w:line="124"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NOW, THEREFORE, to comply with the provisions of the Eleventh Supplemental Indenture and in consideration of the foregoing and for other good and valuable consideration, the receipt of which is hereby acknowledged, the New Subsidiary Guarantor, the other Subsidiary Guarantors, the Issuer, the Parent Guarantor and the Trustee mutually covenant and agree for the equal and ratable benefit of the Holders of the Securities as follows:</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 C</w:t>
      </w:r>
      <w:r>
        <w:rPr>
          <w:rFonts w:ascii="Arial" w:cs="Arial" w:eastAsia="Arial" w:hAnsi="Arial"/>
          <w:sz w:val="13"/>
          <w:szCs w:val="13"/>
          <w:color w:val="auto"/>
        </w:rPr>
        <w:t>APITALIZED</w:t>
      </w:r>
      <w:r>
        <w:rPr>
          <w:rFonts w:ascii="Arial" w:cs="Arial" w:eastAsia="Arial" w:hAnsi="Arial"/>
          <w:sz w:val="16"/>
          <w:szCs w:val="16"/>
          <w:color w:val="auto"/>
        </w:rPr>
        <w:t xml:space="preserve"> T</w:t>
      </w:r>
      <w:r>
        <w:rPr>
          <w:rFonts w:ascii="Arial" w:cs="Arial" w:eastAsia="Arial" w:hAnsi="Arial"/>
          <w:sz w:val="13"/>
          <w:szCs w:val="13"/>
          <w:color w:val="auto"/>
        </w:rPr>
        <w:t>ERMS</w:t>
      </w:r>
      <w:r>
        <w:rPr>
          <w:rFonts w:ascii="Arial" w:cs="Arial" w:eastAsia="Arial" w:hAnsi="Arial"/>
          <w:sz w:val="16"/>
          <w:szCs w:val="16"/>
          <w:color w:val="auto"/>
        </w:rPr>
        <w:t>. Capitalized terms used herein without definition shall have the meanings assigned to them in the Eleventh Supplemental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103" w:lineRule="exact"/>
        <w:rPr>
          <w:sz w:val="20"/>
          <w:szCs w:val="20"/>
          <w:color w:val="auto"/>
        </w:rPr>
      </w:pPr>
    </w:p>
    <w:p>
      <w:pPr>
        <w:jc w:val="both"/>
        <w:ind w:right="280" w:firstLine="921"/>
        <w:spacing w:after="0" w:line="276" w:lineRule="auto"/>
        <w:tabs>
          <w:tab w:leader="none" w:pos="1093"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w:t>
      </w:r>
      <w:r>
        <w:rPr>
          <w:rFonts w:ascii="Arial" w:cs="Arial" w:eastAsia="Arial" w:hAnsi="Arial"/>
          <w:sz w:val="14"/>
          <w:szCs w:val="14"/>
          <w:color w:val="auto"/>
        </w:rPr>
        <w:t>GREEMENT TO</w:t>
      </w:r>
      <w:r>
        <w:rPr>
          <w:rFonts w:ascii="Arial" w:cs="Arial" w:eastAsia="Arial" w:hAnsi="Arial"/>
          <w:sz w:val="17"/>
          <w:szCs w:val="17"/>
          <w:color w:val="auto"/>
        </w:rPr>
        <w:t xml:space="preserve"> G</w:t>
      </w:r>
      <w:r>
        <w:rPr>
          <w:rFonts w:ascii="Arial" w:cs="Arial" w:eastAsia="Arial" w:hAnsi="Arial"/>
          <w:sz w:val="14"/>
          <w:szCs w:val="14"/>
          <w:color w:val="auto"/>
        </w:rPr>
        <w:t>UARANTEE</w:t>
      </w:r>
      <w:r>
        <w:rPr>
          <w:rFonts w:ascii="Arial" w:cs="Arial" w:eastAsia="Arial" w:hAnsi="Arial"/>
          <w:sz w:val="17"/>
          <w:szCs w:val="17"/>
          <w:color w:val="auto"/>
        </w:rPr>
        <w:t>. The New Subsidiary Guarantor hereby agrees, jointly and severally, with the Parent Guarantor and all other Subsidiary Guarantors, to fully and unconditionally guarantee to each Holder and to the Trustee the Indenture Obligations, to the extent set forth in Article Fifteen of the Eleventh Supplemental Indenture and subject to the provisions thereof. The obligations of the Subsidiary Guarantors to the Holders of Notes and to the Trustee pursuant to the Subsidiary Guarantees are expressly set forth in Article Fifteen of the Eleventh Supplemental Indenture, and reference is hereby made to such Article for the precise terms of the Subsidiary Guarantees.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270" w:right="239" w:bottom="1440" w:gutter="0" w:footer="0" w:header="0"/>
        </w:sectPr>
      </w:pPr>
    </w:p>
    <w:bookmarkStart w:id="200" w:name="page201"/>
    <w:bookmarkEnd w:id="200"/>
    <w:p>
      <w:pPr>
        <w:ind w:left="-120" w:right="320" w:firstLine="921"/>
        <w:spacing w:after="0" w:line="277" w:lineRule="auto"/>
        <w:tabs>
          <w:tab w:leader="none" w:pos="973"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 YORK LAW TO GOVERN. THE LAWS OF THE STATE OF NEW YORK SHALL GOVERN AND BE USED TO CONSTRUE AND ENFORCE THIS SUPPLEMENTAL INDENTURE.</w:t>
      </w:r>
    </w:p>
    <w:p>
      <w:pPr>
        <w:spacing w:after="0" w:line="62" w:lineRule="exact"/>
        <w:rPr>
          <w:rFonts w:ascii="Arial" w:cs="Arial" w:eastAsia="Arial" w:hAnsi="Arial"/>
          <w:sz w:val="18"/>
          <w:szCs w:val="18"/>
          <w:color w:val="auto"/>
        </w:rPr>
      </w:pPr>
    </w:p>
    <w:p>
      <w:pPr>
        <w:ind w:left="-120" w:right="60" w:firstLine="921"/>
        <w:spacing w:after="0" w:line="264" w:lineRule="auto"/>
        <w:tabs>
          <w:tab w:leader="none" w:pos="97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w:t>
      </w:r>
    </w:p>
    <w:p>
      <w:pPr>
        <w:spacing w:after="0" w:line="73" w:lineRule="exact"/>
        <w:rPr>
          <w:rFonts w:ascii="Arial" w:cs="Arial" w:eastAsia="Arial" w:hAnsi="Arial"/>
          <w:sz w:val="18"/>
          <w:szCs w:val="18"/>
          <w:color w:val="auto"/>
        </w:rPr>
      </w:pPr>
    </w:p>
    <w:p>
      <w:pPr>
        <w:ind w:left="980" w:hanging="179"/>
        <w:spacing w:after="0"/>
        <w:tabs>
          <w:tab w:leader="none" w:pos="9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5"/>
          <w:szCs w:val="15"/>
          <w:color w:val="auto"/>
        </w:rPr>
        <w:t>FFECT OF</w:t>
      </w:r>
      <w:r>
        <w:rPr>
          <w:rFonts w:ascii="Arial" w:cs="Arial" w:eastAsia="Arial" w:hAnsi="Arial"/>
          <w:sz w:val="18"/>
          <w:szCs w:val="18"/>
          <w:color w:val="auto"/>
        </w:rPr>
        <w:t xml:space="preserve"> H</w:t>
      </w:r>
      <w:r>
        <w:rPr>
          <w:rFonts w:ascii="Arial" w:cs="Arial" w:eastAsia="Arial" w:hAnsi="Arial"/>
          <w:sz w:val="15"/>
          <w:szCs w:val="15"/>
          <w:color w:val="auto"/>
        </w:rPr>
        <w:t>EADINGS</w:t>
      </w:r>
      <w:r>
        <w:rPr>
          <w:rFonts w:ascii="Arial" w:cs="Arial" w:eastAsia="Arial" w:hAnsi="Arial"/>
          <w:sz w:val="18"/>
          <w:szCs w:val="18"/>
          <w:color w:val="auto"/>
        </w:rPr>
        <w:t>. The Section headings herein are for convenience only and shall not affect the construction hereof.</w:t>
      </w:r>
    </w:p>
    <w:p>
      <w:pPr>
        <w:spacing w:after="0" w:line="117" w:lineRule="exact"/>
        <w:rPr>
          <w:rFonts w:ascii="Arial" w:cs="Arial" w:eastAsia="Arial" w:hAnsi="Arial"/>
          <w:sz w:val="18"/>
          <w:szCs w:val="18"/>
          <w:color w:val="auto"/>
        </w:rPr>
      </w:pPr>
    </w:p>
    <w:p>
      <w:pPr>
        <w:ind w:left="-120" w:firstLine="921"/>
        <w:spacing w:after="0" w:line="259" w:lineRule="auto"/>
        <w:tabs>
          <w:tab w:leader="none" w:pos="97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5"/>
          <w:szCs w:val="15"/>
          <w:color w:val="auto"/>
        </w:rPr>
        <w:t>HE</w:t>
      </w:r>
      <w:r>
        <w:rPr>
          <w:rFonts w:ascii="Arial" w:cs="Arial" w:eastAsia="Arial" w:hAnsi="Arial"/>
          <w:sz w:val="18"/>
          <w:szCs w:val="18"/>
          <w:color w:val="auto"/>
        </w:rPr>
        <w:t xml:space="preserve"> T</w:t>
      </w:r>
      <w:r>
        <w:rPr>
          <w:rFonts w:ascii="Arial" w:cs="Arial" w:eastAsia="Arial" w:hAnsi="Arial"/>
          <w:sz w:val="15"/>
          <w:szCs w:val="15"/>
          <w:color w:val="auto"/>
        </w:rPr>
        <w:t>RUSTEE</w:t>
      </w:r>
      <w:r>
        <w:rPr>
          <w:rFonts w:ascii="Arial" w:cs="Arial" w:eastAsia="Arial" w:hAnsi="Arial"/>
          <w:sz w:val="18"/>
          <w:szCs w:val="18"/>
          <w:color w:val="auto"/>
        </w:rPr>
        <w:t>.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200"/>
          </w:cols>
          <w:pgMar w:left="360" w:top="274" w:right="339" w:bottom="1440" w:gutter="0" w:footer="0" w:header="0"/>
        </w:sectPr>
      </w:pPr>
    </w:p>
    <w:bookmarkStart w:id="201" w:name="page202"/>
    <w:bookmarkEnd w:id="201"/>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920"/>
        <w:spacing w:after="0"/>
        <w:tabs>
          <w:tab w:leader="none" w:pos="1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-10160</wp:posOffset>
            </wp:positionV>
            <wp:extent cx="3429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1431925</wp:posOffset>
            </wp:positionH>
            <wp:positionV relativeFrom="paragraph">
              <wp:posOffset>-10160</wp:posOffset>
            </wp:positionV>
            <wp:extent cx="1143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SUBSIDIARY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[OTHER SUBSIDIARY GUARANTORS]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 PLC</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 Irish public limited company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T</w:t>
      </w:r>
      <w:r>
        <w:rPr>
          <w:rFonts w:ascii="Arial" w:cs="Arial" w:eastAsia="Arial" w:hAnsi="Arial"/>
          <w:sz w:val="15"/>
          <w:szCs w:val="15"/>
          <w:color w:val="auto"/>
        </w:rPr>
        <w:t>RUST</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xml:space="preserve"> A</w:t>
      </w:r>
      <w:r>
        <w:rPr>
          <w:rFonts w:ascii="Arial" w:cs="Arial" w:eastAsia="Arial" w:hAnsi="Arial"/>
          <w:sz w:val="15"/>
          <w:szCs w:val="15"/>
          <w:color w:val="auto"/>
        </w:rPr>
        <w:t>MERICAS</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N</w:t>
      </w:r>
      <w:r>
        <w:rPr>
          <w:rFonts w:ascii="Arial" w:cs="Arial" w:eastAsia="Arial" w:hAnsi="Arial"/>
          <w:sz w:val="15"/>
          <w:szCs w:val="15"/>
          <w:color w:val="auto"/>
        </w:rPr>
        <w:t>ATIONAL</w:t>
      </w:r>
      <w:r>
        <w:rPr>
          <w:rFonts w:ascii="Arial" w:cs="Arial" w:eastAsia="Arial" w:hAnsi="Arial"/>
          <w:sz w:val="18"/>
          <w:szCs w:val="18"/>
          <w:color w:val="auto"/>
        </w:rPr>
        <w:t xml:space="preserve"> T</w:t>
      </w:r>
      <w:r>
        <w:rPr>
          <w:rFonts w:ascii="Arial" w:cs="Arial" w:eastAsia="Arial" w:hAnsi="Arial"/>
          <w:sz w:val="15"/>
          <w:szCs w:val="15"/>
          <w:color w:val="auto"/>
        </w:rPr>
        <w:t>RUST</w:t>
      </w:r>
      <w:r>
        <w:rPr>
          <w:rFonts w:ascii="Arial" w:cs="Arial" w:eastAsia="Arial" w:hAnsi="Arial"/>
          <w:sz w:val="18"/>
          <w:szCs w:val="18"/>
          <w:color w:val="auto"/>
        </w:rPr>
        <w:t xml:space="preserve"> C</w:t>
      </w:r>
      <w:r>
        <w:rPr>
          <w:rFonts w:ascii="Arial" w:cs="Arial" w:eastAsia="Arial" w:hAnsi="Arial"/>
          <w:sz w:val="15"/>
          <w:szCs w:val="15"/>
          <w:color w:val="auto"/>
        </w:rPr>
        <w:t>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120"/>
          </w:cols>
          <w:pgMar w:left="240" w:top="274" w:right="5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$540,000,000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9.875% Senior Notes due 2024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Registration Rights Agreement</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This REGISTRATION RIGHTS AGREEMENT dated November 18, 2016 (the “Agreement”) is entered into by and among Weatherford International Ltd., a Bermuda exempted company (the “Company”), the guarantors signatory hereto (collectively, the “Guarantors”), and Morgan Stanley &amp; Co. LLC, as initial purchaser (the “Initial Purchaser”).</w:t>
      </w:r>
    </w:p>
    <w:p>
      <w:pPr>
        <w:spacing w:after="0" w:line="18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Company, the Guarantors and the Initial Purchaser are parties to the Purchase Agreement dated November 15, 2016 (the “Purchase Agreement”), which provides for the sale by the Company to the Initial Purchaser of $540,000,000 aggregate principal amount of the Company’s 9.875% Senior Notes due 2024 (the “Securities”) which will be guaranteed on an unsecured senior basis by each of the Guarantors. As an inducement to the Initial Purchaser to enter into the Purchase Agreement, the Company and the Guarantors have agreed to provide to the Initial Purchaser and its direct and indirect transferees the registration rights set forth in this Agreement. The execution and delivery of this Agreement is a condition to the closing under the Purchase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foregoing, the parties hereto agree as follows: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meanings:</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“Additional Guarantor” shall mean any subsidiary of the Company that executes a Subsidiary Guarantee under the Indenture after the date of this Agreement.</w:t>
      </w:r>
    </w:p>
    <w:p>
      <w:pPr>
        <w:spacing w:after="0" w:line="17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“Business Day” shall mean any day that is not a Saturday, Sunday or other day on which commercial banks in New York City are authorized or required by law to remain closed.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 shall have the meaning set forth in the preamble and shall also include the Company’s successors.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Act” shall mean the Securities Exchange Act of 1934,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Dates” shall have the meaning set forth in Section 2(a)(ii) hereof.</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“Exchange Offer” shall mean the exchange offer by the Company and the Guarantors of Exchange Securities for Registrable Securities pursuant to Section 2(a) 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Offer Registration” shall mean a registration under the Securities Act effected pursuant to Section 2(a) hereof.</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“Exchange Offer Registration Statement” shall mean an exchange offer registration statement on Form S-4 (or, if applicable, on another appropriate form) and all amendments and supplements to such registration statement, in each case including the Prospectus contained therein or deemed a part thereof, all exhibits thereto and any document incorporated by reference therein.</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“Exchange Securities” shall mean senior notes issued by the Company and guaranteed by the Guarantors under the Indenture containing terms identical to the Securities (except that the Exchange Securities will not be subject to restrictions on transfer or to any increase in annual interest rate for failure to comply with this Agreement) and to be offered to Holders of Securities in exchange for Securities pursuant to the Exchange Offer.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“FINRA” means the Financial Industry Regulatory Authority, Inc.</w:t>
      </w:r>
    </w:p>
    <w:p>
      <w:pPr>
        <w:sectPr>
          <w:pgSz w:w="11900" w:h="16838" w:orient="portrait"/>
          <w:cols w:equalWidth="0" w:num="1">
            <w:col w:w="11420"/>
          </w:cols>
          <w:pgMar w:left="240" w:top="122" w:right="239" w:bottom="1440" w:gutter="0" w:footer="0" w:header="0"/>
        </w:sectPr>
      </w:pPr>
    </w:p>
    <w:bookmarkStart w:id="203" w:name="page204"/>
    <w:bookmarkEnd w:id="203"/>
    <w:p>
      <w:pPr>
        <w:ind w:right="62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“Free Writing Prospectus” means each free writing prospectus (as defined in Rule 405 under the Securities Act) prepared by or on behalf of the Company or used or referred to by the Company in connection with the sale of the Securities or the Exchange Securities.</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“Guarantors” shall have the meaning set forth in the preamble and shall also include any Guarantor’s successors that guarantee the Securities and any Additional Guarantors.</w:t>
      </w:r>
    </w:p>
    <w:p>
      <w:pPr>
        <w:spacing w:after="0" w:line="17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“Holders” shall mean the Initial Purchaser, for so long as it owns any Registrable Securities, and its successors, assigns and direct and indirect transferees who become owners of Registrable Securities under the Indenture; provided that for purposes of Sections 4 and 5 of this Agreement, the term “Holders” shall include Participating Broker-Dealers.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“Indemnified Person” shall have the meaning set forth in Section 5(c)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“Indemnifying Person” shall have the meaning set forth in Section 5(c) hereof.</w:t>
      </w:r>
    </w:p>
    <w:p>
      <w:pPr>
        <w:spacing w:after="0" w:line="225"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“Indenture” shall mean the Indenture dated as of October 1, 2003, by and among the Company, the Guarantors and Deutsche Bank Trust Company Americas, as trustee, as the same may be amended or supplemented from time to time in accordance with the terms thereof.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 Purchaser” shall have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“Inspector” shall have the meaning set forth in Section 3(a)(xiv)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“Issuer Information” shall have the meaning set forth in Section 5(a) hereof.</w:t>
      </w:r>
    </w:p>
    <w:p>
      <w:pPr>
        <w:spacing w:after="0" w:line="225"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“Majority Holders” shall mean the Holders of a majority of the aggregate principal amount of the outstanding Registrable Securities; provided that whenever the consent or approval of Holders of a specified percentage of Registrable Securities is required hereunder, any Registrable Securities owned directly or indirectly by the Company or any of its affiliates shall not be counted in determining whether such consent or approval was given by the Holders of such required percentage or amount; and provided, further, that if the Company shall issue any additional Securities under the Indenture prior to consummation of the Exchange Offer or, if applicable, the effectiveness of any Shelf Registration Statement, such additional Securities and the Registrable Securities to which this Agreement relates shall be treated together as one class for purposes of determining whether the consent or approval of Holders of a specified percentage of Registrable Securities has been obtained.</w:t>
      </w:r>
    </w:p>
    <w:p>
      <w:pPr>
        <w:spacing w:after="0" w:line="178"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“Notice and Questionnaire” shall mean a notice of registration statement and selling security holder questionnaire distributed to a Holder by the Company upon receipt of a Shelf Request from such Holder.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“Participating Broker-Dealer” shall have the meaning set forth in Section 4(a) hereof.</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“Participating Holder” shall mean any Holder of Registrable Securities that has returned a completed and signed Notice and Questionnaire to the Company in accordance with Section 2(b) hereof.</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“Person” shall mean an individual, partnership, limited liability company, corporation, trust or unincorporated organization, or a government or agency or political subdivision thereof.</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“Prospectus” shall mean the prospectus included in, or, pursuant to the rules and regulations of the Securities Act, deemed a part of, a Registration Statement, including any preliminary prospectus, and any such prospectus as amended or supplemented by any prospectus supplement, including a prospectus supplement with respect to the terms of the offering of any portion of the Registrable Securities covered by a Shelf Registration Statement, and by all other amendments and supplements to such prospectus, and in each case including any document incorporated by reference therein.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 Agreement” shall have the meaning set forth in the preamble.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04" w:name="page205"/>
    <w:bookmarkEnd w:id="204"/>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“Registrable Securities” shall mean the Securities; provided that the Securities shall cease to be Registrable Securities (i) when a Registration Statement with respect to such Securities has become effective under the Securities Act and such Securities have been exchanged or disposed of pursuant to such Registration Statement or (ii) when such Securities cease to be outstanding.</w:t>
      </w:r>
    </w:p>
    <w:p>
      <w:pPr>
        <w:spacing w:after="0" w:line="181"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“Registration Expenses” shall mean any and all expenses incident to performance of or compliance by the Company and the Guarantors with this Agreement, including without limitation: (i) all SEC, stock exchange or FINRA registration and filing fees, (ii) all fees and expenses incurred in connection with compliance with state securities or blue sky laws (including reasonable fees and disbursements of counsel for any Underwriters or Holders in connection with blue sky qualification of any Exchange Securities or Registrable Securities), (iii) all expenses of any Persons in preparing or assisting in preparing, word processing, printing and distributing any Registration Statement, any Prospectus, any Free Writing Prospectus and any amendments or supplements thereto, any underwriting agreements, securities sales agreements or other similar agreements and any other documents relating to the performance of and compliance with this Agreement, (iv) all rating agency fees, (v) all fees and disbursements relating to the qualification of the Indenture under applicable securities laws,</w:t>
      </w:r>
    </w:p>
    <w:p>
      <w:pPr>
        <w:spacing w:after="0" w:line="3" w:lineRule="exact"/>
        <w:rPr>
          <w:sz w:val="20"/>
          <w:szCs w:val="20"/>
          <w:color w:val="auto"/>
        </w:rPr>
      </w:pPr>
    </w:p>
    <w:p>
      <w:pPr>
        <w:ind w:right="20" w:firstLine="8"/>
        <w:spacing w:after="0" w:line="252" w:lineRule="auto"/>
        <w:tabs>
          <w:tab w:leader="none" w:pos="30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fees and disbursements of the Trustee and its counsel, (vii) the fees and disbursements of counsel for the Company and the Guarantors and, in the case of a Shelf Registration Statement, the fees and disbursements of one counsel for the Participating Holders (which counsel shall be selected by the Participating Holders holding a majority of the aggregate principal amount of Registrable Securities held by such Participating Holders and which counsel may also be counsel for the Initial Purchaser) and (viii) the fees and disbursements of the independent public accountants of the Company and the Guarantors, including the expenses of any special audits or “comfort” letters, as applicable, required by or incident to the performance of and compliance with this Agreement, but excluding fees and expenses of counsel to the Underwriters (other than fees and expenses set forth in clause (ii) above) or the Holders and underwriting discounts and commissions, brokerage commissions and transfer taxes, if any, relating to the sale or disposition of Registrable Securities by a Holder.</w:t>
      </w:r>
    </w:p>
    <w:p>
      <w:pPr>
        <w:spacing w:after="0" w:line="19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“Registration Statement” shall mean any registration statement filed under the Securities Act of the Company and the Guarantors that covers any of the Exchange Securities or Registrable Securities pursuant to the provisions of this Agreement and all amendments and supplements to any such registration statement, including post-effective amendments, in each case including the Prospectus contained therein or deemed a part thereof, all exhibits thereto and any document incorporated by reference therein.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 shall mean the United States Securities and Exchange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shall have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Act” shall mean the Securities Act of 1933,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“Shelf Effectiveness Period” shall have the meaning set forth in Section 2(b)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“Shelf Registration” shall mean a registration effected pursuant to Section 2(b) hereof.</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“Shelf Registration Statement” shall mean a “shelf” registration statement of the Company and the Guarantors that covers all or a portion of the Registrable Securities (but no other securities unless approved by a majority in aggregate principal amount of the Registrable Securities held by the Participating Holders) on an appropriate form under Rule 415 under the Securities Act, or any similar rule that may be adopted by the SEC, and all amendments and supplements to such registration statement, including post-effective amendments, in each case including the Prospectus contained therein or deemed a part thereof, all exhibits thereto and any document incorporated by reference therein.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“Shelf Request” shall have the meaning set forth in Section 2(b)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“Subsidiary Guarantees” shall mean the guarantees of the Securities and Exchange Securities by the Guarantors under the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“Staff” shall mean the staff of the SEC.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“Trust Indenture Act” shall mean the Trust Indenture Act of 1939,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“Trustee” shall mean the trustee with respect to the Securities under the Indenture.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05" w:name="page206"/>
    <w:bookmarkEnd w:id="20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 shall have the meaning set forth in Section 3(e)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“Underwritten Offering” shall mean an offering in which Registrable Securities are sold to an Underwriter for reoffering to the public.</w:t>
      </w:r>
    </w:p>
    <w:p>
      <w:pPr>
        <w:spacing w:after="0" w:line="117" w:lineRule="exact"/>
        <w:rPr>
          <w:sz w:val="20"/>
          <w:szCs w:val="20"/>
          <w:color w:val="auto"/>
        </w:rPr>
      </w:pPr>
    </w:p>
    <w:p>
      <w:pPr>
        <w:ind w:firstLine="464"/>
        <w:spacing w:after="0" w:line="255" w:lineRule="auto"/>
        <w:tabs>
          <w:tab w:leader="none" w:pos="636"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Registration Under the Securities Act</w:t>
      </w:r>
      <w:r>
        <w:rPr>
          <w:rFonts w:ascii="Arial" w:cs="Arial" w:eastAsia="Arial" w:hAnsi="Arial"/>
          <w:sz w:val="18"/>
          <w:szCs w:val="18"/>
          <w:color w:val="auto"/>
        </w:rPr>
        <w:t>. (a) To the extent not prohibited by any applicable law or applicable interpretations of the Staff, the Company and the Guarantors shall use commercially reasonable efforts to (i) cause to be filed an Exchange Offer Registration Statement covering an offer to the Holders to exchange all the Registrable Securities for Exchange Securities and (ii) have such Registration Statement remain effective until 180 days after the last Exchange Date for use by one or more Participating Broker-Dealers. The Company and the Guarantors shall commence the Exchange Offer promptly after the Exchange Offer Registration Statement is declared effective by the SEC and use commercially reasonable efforts to complete the Exchange Offer not later than 60 days after such effective date.</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and the Guarantors shall commence the Exchange Offer by mailing or making available the related Prospectus, appropriate letters of transmittal and other accompanying documents to each Holder stating, in addition to such other disclosures as are required by applicable law, substantially the following:</w:t>
      </w:r>
    </w:p>
    <w:p>
      <w:pPr>
        <w:spacing w:after="0" w:line="87" w:lineRule="exact"/>
        <w:rPr>
          <w:sz w:val="20"/>
          <w:szCs w:val="20"/>
          <w:color w:val="auto"/>
        </w:rPr>
      </w:pPr>
    </w:p>
    <w:p>
      <w:pPr>
        <w:ind w:left="900" w:right="20" w:hanging="446"/>
        <w:spacing w:after="0" w:line="277"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that the Exchange Offer is being made pursuant to this Agreement and that all Registrable Securities validly tendered and not properly withdrawn will be accepted for exchange;</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dates of acceptance for exchange (which shall be a period of at least 20 Business Days from the date such notice is mailed or made available) (the “Exchange Dates”);</w:t>
      </w:r>
    </w:p>
    <w:p>
      <w:pPr>
        <w:spacing w:after="0" w:line="75"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that any Registrable Security not tendered will remain outstanding and continue to accrue interest but will not retain any rights under this Agreement, except as otherwise specified herein;</w:t>
      </w:r>
    </w:p>
    <w:p>
      <w:pPr>
        <w:spacing w:after="0" w:line="75" w:lineRule="exact"/>
        <w:rPr>
          <w:rFonts w:ascii="Arial" w:cs="Arial" w:eastAsia="Arial" w:hAnsi="Arial"/>
          <w:sz w:val="18"/>
          <w:szCs w:val="18"/>
          <w:color w:val="auto"/>
        </w:rPr>
      </w:pPr>
    </w:p>
    <w:p>
      <w:pPr>
        <w:ind w:left="900" w:right="300" w:hanging="446"/>
        <w:spacing w:after="0" w:line="259"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that any Holder electing to have a Registrable Security exchanged pursuant to the Exchange Offer will be required to (A) surrender such Registrable Security, together with the appropriate letters of transmittal, to the institution and at the address and in the manner specified in the notice, or (B) effect such exchange otherwise in compliance with the applicable procedures of the depositary for such Registrable Security, in each case prior to the close of business on the last Exchange Date; and</w:t>
      </w:r>
    </w:p>
    <w:p>
      <w:pPr>
        <w:spacing w:after="0" w:line="92" w:lineRule="exact"/>
        <w:rPr>
          <w:rFonts w:ascii="Arial" w:cs="Arial" w:eastAsia="Arial" w:hAnsi="Arial"/>
          <w:sz w:val="18"/>
          <w:szCs w:val="18"/>
          <w:color w:val="auto"/>
        </w:rPr>
      </w:pPr>
    </w:p>
    <w:p>
      <w:pPr>
        <w:ind w:left="900" w:right="400" w:hanging="446"/>
        <w:spacing w:after="0" w:line="257"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that any Holder will be entitled to withdraw its election, not later than the close of business on the last Exchange Date, by (A) sending to the institution and at the address specified in the notice, a telegram, facsimile transmission or letter setting forth the name of such Holder, the principal amount of Registrable Securities delivered for exchange and a statement that such Holder is withdrawing its election to have such Securities exchanged or (B) effecting such withdrawal in compliance with the applicable procedures of the depositary for the Registrable Securities.</w:t>
      </w:r>
    </w:p>
    <w:p>
      <w:pPr>
        <w:spacing w:after="0" w:line="18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As a condition to participating in the Exchange Offer, a Holder will be required to represent to the Company and the Guarantors that (i) any Exchange Securities to be received by it will be acquired in the ordinary course of its business, (ii) at the time of the commencement of the Exchange Offer it has no arrangement or understanding with any Person to participate in the distribution (within the meaning of the Securities Act) of the Exchange Securities in violation of the provisions of the Securities Act, (iii) it is not an “affiliate” (within the meaning of Rule 405 under the Securities Act) of the Company or any Guarantor and (iv) if such Holder is a broker-dealer that will receive Exchange Securities for its own account in exchange for Registrable Securities that were acquired as a result of market-making or other trading activities, then such Holder will deliver a Prospectus (or, to the extent permitted by law, make available a Prospectus to purchasers) in connection with any resale of such Exchange Securities.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soon as practicable after the last Exchange Date, the Company and the Guarantors shall:</w:t>
      </w:r>
    </w:p>
    <w:p>
      <w:pPr>
        <w:spacing w:after="0" w:line="131" w:lineRule="exact"/>
        <w:rPr>
          <w:sz w:val="20"/>
          <w:szCs w:val="20"/>
          <w:color w:val="auto"/>
        </w:rPr>
      </w:pPr>
    </w:p>
    <w:p>
      <w:pPr>
        <w:ind w:left="5660" w:right="140" w:hanging="5206"/>
        <w:spacing w:after="0" w:line="449" w:lineRule="auto"/>
        <w:tabs>
          <w:tab w:leader="none" w:pos="89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accept for exchange Registrable Securities or portions thereof validly tendered and not properly withdrawn pursuant to the Exchange Offer; and 4</w:t>
      </w:r>
    </w:p>
    <w:p>
      <w:pPr>
        <w:sectPr>
          <w:pgSz w:w="11900" w:h="16838" w:orient="portrait"/>
          <w:cols w:equalWidth="0" w:num="1">
            <w:col w:w="11400"/>
          </w:cols>
          <w:pgMar w:left="240" w:top="274" w:right="259" w:bottom="1440" w:gutter="0" w:footer="0" w:header="0"/>
        </w:sectPr>
      </w:pPr>
    </w:p>
    <w:bookmarkStart w:id="206" w:name="page207"/>
    <w:bookmarkEnd w:id="206"/>
    <w:p>
      <w:pPr>
        <w:ind w:left="900" w:right="100" w:hanging="446"/>
        <w:spacing w:after="0" w:line="264"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 or cause to be delivered, to the Trustee for cancellation all Registrable Securities or portions thereof so accepted for exchange by the Company and issue, and cause the Trustee to promptly authenticate and deliver to each Holder, Exchange Securities equal in principal amount to the principal amount of the Registrable Securities tendered by such Holder.</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and the Guarantors shall use commercially reasonable efforts to complete the Exchange Offer as provided above and shall comply with the applicable requirements of the Securities Act, the Exchange Act and other applicable laws and regulations in connection with the Exchange Offer. The Exchange Offer shall not be subject to any conditions, other than that the Exchange Offer does not violate any applicable law or applicable interpretations of the Staff.</w:t>
      </w:r>
    </w:p>
    <w:p>
      <w:pPr>
        <w:spacing w:after="0" w:line="79" w:lineRule="exact"/>
        <w:rPr>
          <w:sz w:val="20"/>
          <w:szCs w:val="20"/>
          <w:color w:val="auto"/>
        </w:rPr>
      </w:pPr>
    </w:p>
    <w:p>
      <w:pPr>
        <w:ind w:right="140" w:firstLine="464"/>
        <w:spacing w:after="0" w:line="289" w:lineRule="auto"/>
        <w:tabs>
          <w:tab w:leader="none" w:pos="71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In the event that (i) the Company and the Guarantors determine that the Exchange Offer Registration provided for in Section 2(a) above is not available or the Exchange Offer may not be completed as soon as practicable after the last Exchange Date because it would violate any applicable law or applicable interpretations of the Staff, (ii) the Exchange Offer is for any other reason not completed by December 23, 2017 or (iii) any Initial Purchaser shall so request in connection with any offer or sale of Registrable Securities (a “Shelf Request”), the Company and the Guarantors shall use commercially reasonable efforts to cause to be filed as soon as practicable after such determination, date or Shelf Request, as the case may be, a Shelf Registration Statement providing for the sale of all the Registrable Securities by the Holders thereof and to have such Shelf Registration Statement become effective; provided that no Holder will be entitled to have any Registrable Securities included in any Shelf Registration Statement, or entitled to use the prospectus forming a part of such Shelf Registration Statement, until such Holder shall have delivered a completed and signed Notice and Questionnaire and provided such other information regarding such Holder to the Company as is contemplated by Section 3(b) hereof.</w:t>
      </w:r>
    </w:p>
    <w:p>
      <w:pPr>
        <w:spacing w:after="0" w:line="16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the event that the Company and the Guarantors are required to file a Shelf Registration Statement pursuant to clause (iii) of the preceding sentence, the Company and the Guarantors shall use commercially reasonable efforts to file and have declared effective by the SEC (or file and become effective automatically, as the case may be) both an Exchange Offer Registration Statement pursuant to Section 2(a) above with respect to all Registrable Securities and a Shelf Registration Statement (which may be a combined Registration Statement with the Exchange Offer Registration Statement) with respect to offers and sales of Registrable Securities held by the Initial Purchaser after completion of the Exchange Offer.</w:t>
      </w:r>
    </w:p>
    <w:p>
      <w:pPr>
        <w:spacing w:after="0" w:line="17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and the Guarantors agree to use commercially reasonable efforts to keep the Shelf Registration Statement continuously effective until the earlier of one year following the effective date of the Shelf Registration Statement and such time as all the Registrable Securities covered by the Shelf Registration Statement have been sold pursuant to the Shelf Registration Statement (the “Shelf Effectiveness Period”). The Company and the Guarantors further agree to supplement or amend the Shelf Registration Statement, the related Prospectus and any Free Writing Prospectus if required by the rules, regulations or instructions applicable to the registration form used by the Company for such Shelf Registration Statement or by the Securities Act or by any other rules and regulations thereunder or if reasonably requested by a Participating Holder with respect to information relating to such Holder, and, to the extent necessary, to use commercially reasonable efforts to cause any such amendment to become effective and such Shelf Registration Statement, Prospectus or Free Writing Prospectus, as the case may be, to become usable as soon as thereafter practicable. The Company and the Guarantors agree to furnish to the Participating Holders copies of any such supplement or amendment promptly after its being used or filed with the SEC.</w:t>
      </w:r>
    </w:p>
    <w:p>
      <w:pPr>
        <w:spacing w:after="0" w:line="59" w:lineRule="exact"/>
        <w:rPr>
          <w:sz w:val="20"/>
          <w:szCs w:val="20"/>
          <w:color w:val="auto"/>
        </w:rPr>
      </w:pPr>
    </w:p>
    <w:p>
      <w:pPr>
        <w:ind w:firstLine="464"/>
        <w:spacing w:after="0" w:line="264" w:lineRule="auto"/>
        <w:tabs>
          <w:tab w:leader="none" w:pos="70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Company and the Guarantors shall pay all Registration Expenses in connection with any registration pursuant to Section 2(a) or Section 2(b) hereof. Each Holder shall pay all underwriting discounts and commissions, brokerage commissions and transfer taxes, if any, relating to the sale or disposition of such Holder’s Registrable Securities pursuant to the Shelf Registration Statement.</w:t>
      </w:r>
    </w:p>
    <w:p>
      <w:pPr>
        <w:spacing w:after="0" w:line="73" w:lineRule="exact"/>
        <w:rPr>
          <w:rFonts w:ascii="Arial" w:cs="Arial" w:eastAsia="Arial" w:hAnsi="Arial"/>
          <w:sz w:val="18"/>
          <w:szCs w:val="18"/>
          <w:color w:val="auto"/>
        </w:rPr>
      </w:pPr>
    </w:p>
    <w:p>
      <w:pPr>
        <w:jc w:val="both"/>
        <w:ind w:right="80" w:firstLine="464"/>
        <w:spacing w:after="0" w:line="286" w:lineRule="auto"/>
        <w:tabs>
          <w:tab w:leader="none" w:pos="71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An Exchange Offer Registration Statement pursuant to Section 2(a) hereof will not be deemed to have become effective unless it has been declared effective by the SEC. A Shelf Registration Statement pursuant to Section 2(b) hereof will not be deemed to have become effective unless it has been declared effective by the SEC or is automatically effective upon filing with the SEC as provided by Rule 462 under the Securities Act.</w:t>
      </w:r>
    </w:p>
    <w:p>
      <w:pPr>
        <w:spacing w:after="0" w:line="166"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In the event that either the Exchange Offer is not completed or the Shelf Registration Statement, if required hereby, is not declared effective (or does not automatically become effective) on or prior to December 23, 2017, the Company will pay liquidated damages to Holders of Registrable Securities with the effect that the interest rate 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07" w:name="page208"/>
    <w:bookmarkEnd w:id="207"/>
    <w:p>
      <w:pPr>
        <w:ind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Registrable Securities will be increased by 1.00% per annum until the Exchange Offer is completed or the Shelf Registration Statement, if required hereby, is declared effective by the SEC (or becomes automatically effective). All liquidated damages will be paid by the Company on the next scheduled interest payment date in the same manner as interest is paid on the Securities under the Indenture.</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Shelf Registration Statement, if required hereby, has been declared effective or automatically becomes effective, as the case may be, and thereafter either ceases to be effective or the Prospectus contained therein ceases to be usable at any time during the Shelf Effectiveness Period, and such failure to remain effective or usable exists for more than 30 days (whether or not consecutive) in any 12-month period, unless such failure to remain effective or usable relates or is directly attributable to an acquisition or disposition being undertaken by the Company then the Company will pay liquidated damages to the Holders of Registrable Securities with the effect that the interest rate on the Registrable Securities will be increased by 1.00% per annum commencing on the 31st day in such 12-month period and ending on such date that the Shelf Registration Statement has again been declared (or automatically becomes) effective or the Prospectus again becomes usable.</w:t>
      </w:r>
    </w:p>
    <w:p>
      <w:pPr>
        <w:spacing w:after="0" w:line="81" w:lineRule="exact"/>
        <w:rPr>
          <w:sz w:val="20"/>
          <w:szCs w:val="20"/>
          <w:color w:val="auto"/>
        </w:rPr>
      </w:pPr>
    </w:p>
    <w:p>
      <w:pPr>
        <w:ind w:firstLine="464"/>
        <w:spacing w:after="0" w:line="255" w:lineRule="auto"/>
        <w:tabs>
          <w:tab w:leader="none" w:pos="70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Without limiting the remedies available to the Initial Purchaser and the Holders, the Company and the Guarantors acknowledge that any failure by the Company or the Guarantors to comply with their obligations under Section 2(a) and Section 2(b) hereof may result in material irreparable injury to the Initial Purchaser or the Holders for which there is no adequate remedy at law, that it will not be possible to measure damages for such injuries precisely and that, in the event of any such failure, the Initial Purchaser or any Holder may obtain such relief as may be required to specifically enforce the Company’s and the Guarantors’ obligations under Section 2(a) and Section 2(b) hereof. The provisions for liquidated damages set forth in Section 2(d) above shall be the only monetary remedy available to the Holders under this Agreement.</w:t>
      </w:r>
    </w:p>
    <w:p>
      <w:pPr>
        <w:spacing w:after="0" w:line="85" w:lineRule="exact"/>
        <w:rPr>
          <w:sz w:val="20"/>
          <w:szCs w:val="20"/>
          <w:color w:val="auto"/>
        </w:rPr>
      </w:pPr>
    </w:p>
    <w:p>
      <w:pPr>
        <w:ind w:right="160" w:firstLine="464"/>
        <w:spacing w:after="0" w:line="277" w:lineRule="auto"/>
        <w:tabs>
          <w:tab w:leader="none" w:pos="63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 (a) In connection with their obligations pursuant to Section 2(a) and Section 2(b) hereof, the Company and the Guarantors shall as expeditiously as possible:</w:t>
      </w:r>
    </w:p>
    <w:p>
      <w:pPr>
        <w:spacing w:after="0" w:line="76" w:lineRule="exact"/>
        <w:rPr>
          <w:sz w:val="20"/>
          <w:szCs w:val="20"/>
          <w:color w:val="auto"/>
        </w:rPr>
      </w:pPr>
    </w:p>
    <w:p>
      <w:pPr>
        <w:ind w:left="1120" w:right="100" w:hanging="666"/>
        <w:spacing w:after="0" w:line="297" w:lineRule="auto"/>
        <w:tabs>
          <w:tab w:leader="none" w:pos="112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prepare and file with the SEC a Registration Statement on the appropriate form under the Securities Act, which form (x) shall be selected by the Company and the Guarantors, (y) shall, in the case of a Shelf Registration, be available for the sale of the Registrable Securities by the Participating Holders thereof and (z) shall comply as to form in all material respects with the requirements of the applicable form and include all financial statements required by the SEC to be filed therewith; and use commercially reasonable efforts to cause such Registration Statement to become effective and remain effective for the applicable period in accordance with Section 2 hereof;</w:t>
      </w:r>
    </w:p>
    <w:p>
      <w:pPr>
        <w:spacing w:after="0" w:line="63" w:lineRule="exact"/>
        <w:rPr>
          <w:rFonts w:ascii="Arial" w:cs="Arial" w:eastAsia="Arial" w:hAnsi="Arial"/>
          <w:sz w:val="16"/>
          <w:szCs w:val="16"/>
          <w:color w:val="auto"/>
        </w:rPr>
      </w:pPr>
    </w:p>
    <w:p>
      <w:pPr>
        <w:ind w:left="1120" w:right="120" w:hanging="666"/>
        <w:spacing w:after="0" w:line="276" w:lineRule="auto"/>
        <w:tabs>
          <w:tab w:leader="none" w:pos="112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prepare and file with the SEC such amendments and post-effective amendments to each Registration Statement as may be necessary to keep such Registration Statement effective for the applicable period in accordance with Section 2 hereof and cause each Prospectus to be supplemented by any required prospectus supplement and, as so supplemented, to be filed pursuant to Rule 424 under the Securities Act; and keep each Prospectus current during the period described in Section 4(a)(3) of and Rule 174 under the Securities Act that is applicable to transactions by brokers or dealers with respect to the Registrable Securities or Exchange Securities;</w:t>
      </w:r>
    </w:p>
    <w:p>
      <w:pPr>
        <w:spacing w:after="0" w:line="77" w:lineRule="exact"/>
        <w:rPr>
          <w:rFonts w:ascii="Arial" w:cs="Arial" w:eastAsia="Arial" w:hAnsi="Arial"/>
          <w:sz w:val="17"/>
          <w:szCs w:val="17"/>
          <w:color w:val="auto"/>
        </w:rPr>
      </w:pPr>
    </w:p>
    <w:p>
      <w:pPr>
        <w:ind w:left="1120" w:right="20" w:hanging="666"/>
        <w:spacing w:after="0" w:line="342" w:lineRule="auto"/>
        <w:tabs>
          <w:tab w:leader="none" w:pos="112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to the extent any Free Writing Prospectus is used, file with the SEC any Free Writing Prospectus that is required to be filed by the Company or the Guarantors with the SEC in accordance with the Securities Act and to retain any Free Writing Prospectus not required to be filed;</w:t>
      </w:r>
    </w:p>
    <w:p>
      <w:pPr>
        <w:spacing w:after="0" w:line="29" w:lineRule="exact"/>
        <w:rPr>
          <w:rFonts w:ascii="Arial" w:cs="Arial" w:eastAsia="Arial" w:hAnsi="Arial"/>
          <w:sz w:val="16"/>
          <w:szCs w:val="16"/>
          <w:color w:val="auto"/>
        </w:rPr>
      </w:pPr>
    </w:p>
    <w:p>
      <w:pPr>
        <w:ind w:left="1120" w:right="60" w:hanging="666"/>
        <w:spacing w:after="0" w:line="270" w:lineRule="auto"/>
        <w:tabs>
          <w:tab w:leader="none" w:pos="112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in the case of a Shelf Registration, furnish to each Participating Holder, to counsel for the Initial Purchaser, to counsel for such Participating Holders and to each Underwriter of an Underwritten Offering of Registrable Securities, if any, without charge, as many copies of each Prospectus, including each preliminary prospectus or Free Writing Prospectus, and any amendment or supplement thereto, as such Participating Holder, counsel or Underwriter may reasonably request in order to facilitate the sale or other disposition of the Registrable Securities thereunder; and, subject to Section 3(c) below, the Company and the Guarantors’ consent to the use of such Prospectus, preliminary prospectus or such Free Writing Prospectus and any amendment or supplement thereto in accordance with applicable law by each of the Participating Holders and any such Underwriters in connection with the offering and sale of the Registrable Securities covered by and in the manner described in such Prospectus, preliminary prospectus or such Free Writing Prospectus or any amendment or supplement thereto in accordance with applicable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08" w:name="page209"/>
    <w:bookmarkEnd w:id="208"/>
    <w:p>
      <w:pPr>
        <w:ind w:left="666" w:right="80" w:hanging="666"/>
        <w:spacing w:after="0" w:line="271" w:lineRule="auto"/>
        <w:tabs>
          <w:tab w:leader="none" w:pos="666" w:val="left"/>
        </w:tabs>
        <w:numPr>
          <w:ilvl w:val="0"/>
          <w:numId w:val="2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commercially reasonable efforts to register or qualify the Registrable Securities under all applicable state securities or blue sky laws of such jurisdictions as any Participating Holder shall reasonably request in writing by the time the applicable Registration Statement becomes effective; cooperate with such Participating Holders in connection with any filings required to be made with FINRA, and do any and all other acts and things that may be reasonably necessary or advisable to enable each Participating Holder to complete the disposition in each such jurisdiction of the Registrable Securities owned by such Participating Holder; provided that neither the Company nor any Guarantor shall be required to (1) qualify as a foreign corporation or other entity or as a dealer in securities in any such jurisdiction where it would not otherwise be required to so qualify, (2) file any general consent to service of process in any such jurisdiction or (3) subject itself to taxation in any such jurisdiction if it is not so subject;</w:t>
      </w:r>
    </w:p>
    <w:p>
      <w:pPr>
        <w:spacing w:after="0" w:line="84" w:lineRule="exact"/>
        <w:rPr>
          <w:rFonts w:ascii="Arial" w:cs="Arial" w:eastAsia="Arial" w:hAnsi="Arial"/>
          <w:sz w:val="17"/>
          <w:szCs w:val="17"/>
          <w:color w:val="auto"/>
        </w:rPr>
      </w:pPr>
    </w:p>
    <w:p>
      <w:pPr>
        <w:ind w:left="666" w:right="360" w:hanging="666"/>
        <w:spacing w:after="0" w:line="286" w:lineRule="auto"/>
        <w:tabs>
          <w:tab w:leader="none" w:pos="66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notify counsel for the Initial Purchaser and, in the case of a Shelf Registration, notify each Participating Holder and counsel for such Participating Holders promptly and, if requested by any such Participating Holder or counsel, confirm such advice in writing (1) when a Registration Statement has become effective, when any post-effective amendment thereto has been filed and becomes effective, when any Free Writing Prospectus has been filed or any amendment or supplement to the Prospectus or any Free Writing Prospectus has been filed,</w:t>
      </w:r>
    </w:p>
    <w:p>
      <w:pPr>
        <w:spacing w:after="0" w:line="1" w:lineRule="exact"/>
        <w:rPr>
          <w:rFonts w:ascii="Arial" w:cs="Arial" w:eastAsia="Arial" w:hAnsi="Arial"/>
          <w:sz w:val="16"/>
          <w:szCs w:val="16"/>
          <w:color w:val="auto"/>
        </w:rPr>
      </w:pPr>
    </w:p>
    <w:p>
      <w:pPr>
        <w:ind w:left="666" w:right="20"/>
        <w:spacing w:after="0" w:line="284" w:lineRule="auto"/>
        <w:rPr>
          <w:rFonts w:ascii="Arial" w:cs="Arial" w:eastAsia="Arial" w:hAnsi="Arial"/>
          <w:sz w:val="16"/>
          <w:szCs w:val="16"/>
          <w:color w:val="auto"/>
        </w:rPr>
      </w:pPr>
      <w:r>
        <w:rPr>
          <w:rFonts w:ascii="Arial" w:cs="Arial" w:eastAsia="Arial" w:hAnsi="Arial"/>
          <w:sz w:val="16"/>
          <w:szCs w:val="16"/>
          <w:color w:val="auto"/>
        </w:rPr>
        <w:t>(2) of any request by the SEC or any state securities authority for amendments and supplements to a Registration Statement, Prospectus or any Free Writing Prospectus or for additional information after the Registration Statement has become effective, (3) of the issuance by the SEC or any state securities authority of any stop order suspending the effectiveness of a Registration Statement or the initiation of any proceedings for that purpose, including the receipt by the Company of any notice of objection of the SEC to the use of a Shelf Registration Statement or any post-effective amendment thereto pursuant to Rule 401(g)(2) under the Securities Act, (4) if, between the applicable effective date of a Shelf Registration Statement and the closing of any sale of Registrable Securities covered thereby, the representations and warranties of the Company or any Guarantor contained in any underwriting agreement, securities sales agreement or other similar agreement, if any, relating to an offering of such Registrable Securities cease to be true and correct in all material respects or if the Company or any Guarantor receives any notification with respect to the suspension of the qualification of the Registrable Securities for sale in any jurisdiction or the initiation of any proceeding for such purpose, (5) of the happening of any event during the period a Registration Statement is effective that makes any statement made in such Registration Statement or the related Prospectus or any Free Writing Prospectus untrue in any material respect or that requires the making of any changes in such Registration Statement or Prospectus or any Free Writing Prospectus in order to make the statements therein, in the light of the circumstances in which they were made in the case of the Prospectus or any Free Writing Prospectus, not misleading and (6) of any determination by the Company or any Guarantor that a post-effective amendment to a Registration Statement or any amendment or supplement to the Prospectus or any Free Writing Prospectus would be appropriate;</w:t>
      </w:r>
    </w:p>
    <w:p>
      <w:pPr>
        <w:spacing w:after="0" w:line="82" w:lineRule="exact"/>
        <w:rPr>
          <w:rFonts w:ascii="Arial" w:cs="Arial" w:eastAsia="Arial" w:hAnsi="Arial"/>
          <w:sz w:val="16"/>
          <w:szCs w:val="16"/>
          <w:color w:val="auto"/>
        </w:rPr>
      </w:pPr>
    </w:p>
    <w:p>
      <w:pPr>
        <w:ind w:left="666" w:hanging="666"/>
        <w:spacing w:after="0" w:line="279" w:lineRule="auto"/>
        <w:tabs>
          <w:tab w:leader="none" w:pos="66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use commercially reasonable efforts to obtain the withdrawal of any order suspending the effectiveness of a Registration Statement or, in the case of a Shelf Registration, the resolution of any objection of the SEC pursuant to Rule 401(g)(2) under the Securities Act, including by filing an amendment to such Registration Statement on the proper form, at the earliest practicable moment and provide immediate notice to each Holder or Participating Holder of the withdrawal of any such order or such resolution;</w:t>
      </w:r>
    </w:p>
    <w:p>
      <w:pPr>
        <w:spacing w:after="0" w:line="76" w:lineRule="exact"/>
        <w:rPr>
          <w:rFonts w:ascii="Arial" w:cs="Arial" w:eastAsia="Arial" w:hAnsi="Arial"/>
          <w:sz w:val="17"/>
          <w:szCs w:val="17"/>
          <w:color w:val="auto"/>
        </w:rPr>
      </w:pPr>
    </w:p>
    <w:p>
      <w:pPr>
        <w:ind w:left="666" w:right="20" w:hanging="666"/>
        <w:spacing w:after="0" w:line="264" w:lineRule="auto"/>
        <w:tabs>
          <w:tab w:leader="none" w:pos="66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the case of a Shelf Registration, furnish or make available to each Participating Holder, without charge, at least one conformed copy of each Registration Statement and any post-effective amendment thereto (without any documents incorporated therein by reference or exhibits thereto, unless requested);</w:t>
      </w:r>
    </w:p>
    <w:p>
      <w:pPr>
        <w:spacing w:after="0" w:line="86" w:lineRule="exact"/>
        <w:rPr>
          <w:rFonts w:ascii="Arial" w:cs="Arial" w:eastAsia="Arial" w:hAnsi="Arial"/>
          <w:sz w:val="18"/>
          <w:szCs w:val="18"/>
          <w:color w:val="auto"/>
        </w:rPr>
      </w:pPr>
    </w:p>
    <w:p>
      <w:pPr>
        <w:ind w:left="666" w:right="320" w:hanging="666"/>
        <w:spacing w:after="0" w:line="279" w:lineRule="auto"/>
        <w:tabs>
          <w:tab w:leader="none" w:pos="66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in the case of a Shelf Registration, cooperate with the Participating Holders to facilitate the timely preparation and delivery of certificates representing Registrable Securities to be sold and not bearing any restrictive legends and enable such Registrable Securities to be issued in such denominations and registered in such names (consistent with the provisions of the Indenture) as such Participating Holders may reasonably request at least one Business Day prior to the closing of any sale of Registrable Securities;</w:t>
      </w:r>
    </w:p>
    <w:p>
      <w:pPr>
        <w:spacing w:after="0" w:line="10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6"/>
          </w:cols>
          <w:pgMar w:left="694" w:top="274" w:right="239" w:bottom="1440" w:gutter="0" w:footer="0" w:header="0"/>
        </w:sectPr>
      </w:pPr>
    </w:p>
    <w:bookmarkStart w:id="209" w:name="page210"/>
    <w:bookmarkEnd w:id="209"/>
    <w:p>
      <w:pPr>
        <w:ind w:left="666" w:hanging="666"/>
        <w:spacing w:after="0" w:line="286" w:lineRule="auto"/>
        <w:tabs>
          <w:tab w:leader="none" w:pos="666" w:val="left"/>
        </w:tabs>
        <w:numPr>
          <w:ilvl w:val="0"/>
          <w:numId w:val="2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occurrence of any event contemplated by Section 3(a)(vi)(5) hereof, use commercially reasonable efforts to prepare and file with the SEC a supplement or post-effective amendment to the Exchange Offer Registration Statement or Shelf Registration Statement or the related Prospectus or any Free Writing Prospectus or any document incorporated therein by reference or file any other required document so that, as thereafter delivered (or, to the extent permitted by law, made available) to purchasers of the Registrable Securities, such Prospectus or Free Writing Prospectus, as the case may be, will not contain any untrue statement of a material fact or omit to state a material fact necessary to make the statements therein, in the light of the circumstances under which they were made, not misleading; and the Company and the Guarantors shall notify the Participating Holders (in the case of a Shelf Registration Statement) and the Initial Purchaser and any Participating Broker-Dealers known to the Company (in the case of the Exchange Offer Registration Statement) to suspend use of the Prospectus or any Free Writing Prospectus as promptly as practicable after the occurrence of such an event, and such Participating Holders, such Participating Broker-Dealers and the Initial Purchaser, as applicable, hereby agree to suspend use of the Prospectus or any Free Writing Prospectus, as the case may be, until the Company and the Guarantors have amended or supplemented the Prospectus or the Free Writing Prospectus, as the case may be, to correct such misstatement or omission; provided that the obligations under this Section 3(a)(x) with respect to the Exchange Offer Registration Statement shall terminate at the end of the period set forth in Section 2(a)(ii) of this Agreement;</w:t>
      </w:r>
    </w:p>
    <w:p>
      <w:pPr>
        <w:spacing w:after="0" w:line="80" w:lineRule="exact"/>
        <w:rPr>
          <w:rFonts w:ascii="Arial" w:cs="Arial" w:eastAsia="Arial" w:hAnsi="Arial"/>
          <w:sz w:val="16"/>
          <w:szCs w:val="16"/>
          <w:color w:val="auto"/>
        </w:rPr>
      </w:pPr>
    </w:p>
    <w:p>
      <w:pPr>
        <w:ind w:left="666" w:right="20" w:hanging="666"/>
        <w:spacing w:after="0" w:line="270" w:lineRule="auto"/>
        <w:tabs>
          <w:tab w:leader="none" w:pos="666"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 reasonable time prior to the filing of any Registration Statement, any Prospectus, any Free Writing Prospectus, any amendment to a Registration Statement or amendment or supplement to a Prospectus or a Free Writing Prospectus, provide copies of such document to the Initial Purchaser and its counsel (and, in the case of a Shelf Registration Statement, to the Participating Holders and their counsel) and make such of the representatives of the Company and the Guarantors as shall be reasonably requested by the Initial Purchaser or its counsel (and, in the case of a Shelf Registration Statement, the Participating Holders or their counsel) available for discussion of such document; and the Company and the Guarantors shall not, at any time after initial filing of a Registration Statement, use or file any Prospectus, any Free Writing Prospectus, any amendment of or supplement to a Registration Statement, a Prospectus or a Free Writing Prospectus, of which the Initial Purchaser and its counsel (and, in the case of a Shelf Registration Statement, the Participating Holders and their counsel) shall not have previously been advised and furnished a copy or to which the Initial Purchaser or its counsel (and, in the case of a Shelf Registration Statement, the Participating Holders or their counsel) shall reasonably object;</w:t>
      </w:r>
    </w:p>
    <w:p>
      <w:pPr>
        <w:spacing w:after="0" w:line="83" w:lineRule="exact"/>
        <w:rPr>
          <w:rFonts w:ascii="Arial" w:cs="Arial" w:eastAsia="Arial" w:hAnsi="Arial"/>
          <w:sz w:val="17"/>
          <w:szCs w:val="17"/>
          <w:color w:val="auto"/>
        </w:rPr>
      </w:pPr>
    </w:p>
    <w:p>
      <w:pPr>
        <w:ind w:left="666" w:right="160" w:hanging="666"/>
        <w:spacing w:after="0" w:line="277" w:lineRule="auto"/>
        <w:tabs>
          <w:tab w:leader="none" w:pos="66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obtain a CUSIP number for all Exchange Securities or Registrable Securities, as the case may be, not later than the initial effective date of a Registration Statement;</w:t>
      </w:r>
    </w:p>
    <w:p>
      <w:pPr>
        <w:spacing w:after="0" w:line="75" w:lineRule="exact"/>
        <w:rPr>
          <w:rFonts w:ascii="Arial" w:cs="Arial" w:eastAsia="Arial" w:hAnsi="Arial"/>
          <w:sz w:val="18"/>
          <w:szCs w:val="18"/>
          <w:color w:val="auto"/>
        </w:rPr>
      </w:pPr>
    </w:p>
    <w:p>
      <w:pPr>
        <w:ind w:left="666" w:right="20" w:hanging="666"/>
        <w:spacing w:after="0" w:line="276" w:lineRule="auto"/>
        <w:tabs>
          <w:tab w:leader="none" w:pos="666" w:val="left"/>
        </w:tabs>
        <w:numPr>
          <w:ilvl w:val="0"/>
          <w:numId w:val="202"/>
        </w:numPr>
        <w:rPr>
          <w:rFonts w:ascii="Arial" w:cs="Arial" w:eastAsia="Arial" w:hAnsi="Arial"/>
          <w:sz w:val="17"/>
          <w:szCs w:val="17"/>
          <w:color w:val="auto"/>
        </w:rPr>
      </w:pPr>
      <w:r>
        <w:rPr>
          <w:rFonts w:ascii="Arial" w:cs="Arial" w:eastAsia="Arial" w:hAnsi="Arial"/>
          <w:sz w:val="17"/>
          <w:szCs w:val="17"/>
          <w:color w:val="auto"/>
        </w:rPr>
        <w:t>cause the Indenture to be qualified under the Trust Indenture Act in connection with the registration of the Exchange Securities or Registrable Securities, as the case may be; cooperate with the Trustee and the Holders to effect such changes to the Indenture as may be required for the Indenture to be so qualified in accordance with the terms of the Trust Indenture Act; and execute, and use commercially reasonable efforts to cause the Trustee to execute, all documents as may be required to effect such changes and all other forms and documents required to be filed with the SEC to enable the Indenture to be so qualified in a timely manner;</w:t>
      </w:r>
    </w:p>
    <w:p>
      <w:pPr>
        <w:spacing w:after="0" w:line="77" w:lineRule="exact"/>
        <w:rPr>
          <w:rFonts w:ascii="Arial" w:cs="Arial" w:eastAsia="Arial" w:hAnsi="Arial"/>
          <w:sz w:val="17"/>
          <w:szCs w:val="17"/>
          <w:color w:val="auto"/>
        </w:rPr>
      </w:pPr>
    </w:p>
    <w:p>
      <w:pPr>
        <w:ind w:left="666" w:hanging="666"/>
        <w:spacing w:after="0" w:line="270" w:lineRule="auto"/>
        <w:tabs>
          <w:tab w:leader="none" w:pos="666"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in the case of a Shelf Registration, make available for inspection by a representative of the Participating Holders (an “Inspector”), any Underwriter participating in any disposition pursuant to such Shelf Registration Statement, any attorneys and accountants designated by a majority in aggregate principal amount of the Registrable Securities held by the Participating Holders and any attorneys and accountants designated by such Underwriter, at reasonable times and in a reasonable manner, all pertinent financial and other records, documents and properties of the Company and its subsidiaries, and cause the respective officers, directors and employees of the Company and the Guarantors to supply all information reasonably requested by any such Inspector, Underwriter, attorney or accountant in connection with a Shelf Registration Statement; provided that if any such information is identified by the Company or any Guarantor as being confidential or proprietary, each Person receiving such information shall take such actions as are reasonably necessary to protect the confidentiality of such information to the extent such action is otherwise not inconsistent with, an impairment of or in derogation of the rights and interests of any Inspector, Participating Holder or Underwriter;</w:t>
      </w:r>
    </w:p>
    <w:p>
      <w:pPr>
        <w:spacing w:after="0" w:line="110"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6"/>
          </w:cols>
          <w:pgMar w:left="694" w:top="274" w:right="299" w:bottom="1440" w:gutter="0" w:footer="0" w:header="0"/>
        </w:sectPr>
      </w:pPr>
    </w:p>
    <w:bookmarkStart w:id="210" w:name="page211"/>
    <w:bookmarkEnd w:id="210"/>
    <w:p>
      <w:pPr>
        <w:ind w:left="1100" w:right="320" w:hanging="666"/>
        <w:spacing w:after="0" w:line="259" w:lineRule="auto"/>
        <w:tabs>
          <w:tab w:leader="none" w:pos="11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reasonably requested by any Participating Holder, promptly include in a Prospectus supplement or post-effective amendment such information with respect to such Participating Holder as such Participating Holder reasonably requests to be included therein and make all required filings of such Prospectus supplement or such post-effective amendment as soon as the Company has received notification of the matters to be so included in such filing;</w:t>
      </w:r>
    </w:p>
    <w:p>
      <w:pPr>
        <w:spacing w:after="0" w:line="92" w:lineRule="exact"/>
        <w:rPr>
          <w:rFonts w:ascii="Arial" w:cs="Arial" w:eastAsia="Arial" w:hAnsi="Arial"/>
          <w:sz w:val="18"/>
          <w:szCs w:val="18"/>
          <w:color w:val="auto"/>
        </w:rPr>
      </w:pPr>
    </w:p>
    <w:p>
      <w:pPr>
        <w:ind w:left="1100" w:hanging="666"/>
        <w:spacing w:after="0" w:line="282" w:lineRule="auto"/>
        <w:tabs>
          <w:tab w:leader="none" w:pos="11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in the case of a Shelf Registration, enter into such customary agreements and take all such other commercially reasonable actions in connection therewith (including those requested by the Participating Holders of a majority in principal amount of the Registrable Securities covered by the Shelf Registration Statement) in order to expedite or facilitate the disposition of such Registrable Securities including, but not limited to, an Underwritten Offering and in such connection, (1) to the extent possible, make such representations and warranties to the Participating Holders and any Underwriters of such Registrable Securities with respect to the business of the Company and its subsidiaries and the Registration Statement, Prospectus, any Free Writing Prospectus and documents incorporated by reference or deemed incorporated by reference, if any, in each case, in form, substance and scope as are customarily made by issuers to underwriters in underwritten offerings and confirm the same if and when requested, (2) obtain opinions of counsel to the Company and the Guarantors (which counsel and opinions, in form, scope and substance, shall be reasonably satisfactory to the Participating Holders and such Underwriters and their respective counsel) addressed to each Participating Holder and Underwriter of Registrable Securities, covering the matters customarily covered in opinions requested in underwritten offerings, (3) obtain “comfort” letters from the independent certified public accountants of the Company and the Guarantors (and, if necessary, any other certified public accountant of any subsidiary of the Company or the Guarantors, or of any business acquired by the Company or the Guarantors for which financial statements and financial data are or are required to be included in the Registration Statement) addressed to each Participating Holder (to the extent permitted by applicable professional standards) and Underwriter of Registrable Securities, such letters to be in customary form and covering matters of the type customarily covered in “comfort” letters in connection with underwritten offerings, including but not limited to financial information contained in any preliminary prospectus, Prospectus or Free Writing Prospectus, and (4) deliver such documents and certificates as may be reasonably requested by the Participating Holders of a majority in principal amount of the Registrable Securities being sold or the Underwriters, and which are customarily delivered in underwritten offerings, to evidence the continued validity of the representations and warranties of the Company and the Guarantors made pursuant to clause</w:t>
      </w:r>
    </w:p>
    <w:p>
      <w:pPr>
        <w:spacing w:after="0" w:line="12"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8"/>
          <w:szCs w:val="18"/>
          <w:color w:val="auto"/>
        </w:rPr>
        <w:t>(1) above and to evidence compliance with any customary conditions contained in an underwriting agreement; and</w:t>
      </w:r>
    </w:p>
    <w:p>
      <w:pPr>
        <w:spacing w:after="0" w:line="116" w:lineRule="exact"/>
        <w:rPr>
          <w:rFonts w:ascii="Arial" w:cs="Arial" w:eastAsia="Arial" w:hAnsi="Arial"/>
          <w:sz w:val="16"/>
          <w:szCs w:val="16"/>
          <w:color w:val="auto"/>
        </w:rPr>
      </w:pPr>
    </w:p>
    <w:p>
      <w:pPr>
        <w:ind w:left="1100" w:right="160" w:hanging="666"/>
        <w:spacing w:after="0" w:line="259" w:lineRule="auto"/>
        <w:tabs>
          <w:tab w:leader="none" w:pos="11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So long as any Registrable Securities remain outstanding, cause each Additional Guarantor upon the creation or acquisition by the Company of such Additional Guarantor, to execute a counterpart to this Agreement in the form attached hereto as Annex A and to deliver such counterpart, together with an opinion of counsel as to the enforceability thereof against such entity, to the Initial Purchaser no later than five Business Days following the execution thereof.</w:t>
      </w:r>
    </w:p>
    <w:p>
      <w:pPr>
        <w:spacing w:after="0" w:line="78" w:lineRule="exact"/>
        <w:rPr>
          <w:rFonts w:ascii="Arial" w:cs="Arial" w:eastAsia="Arial" w:hAnsi="Arial"/>
          <w:sz w:val="18"/>
          <w:szCs w:val="18"/>
          <w:color w:val="auto"/>
        </w:rPr>
      </w:pPr>
    </w:p>
    <w:p>
      <w:pPr>
        <w:ind w:left="-20" w:right="200" w:firstLine="464"/>
        <w:spacing w:after="0" w:line="264" w:lineRule="auto"/>
        <w:tabs>
          <w:tab w:leader="none" w:pos="691"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In the case of a Shelf Registration Statement, the Company may require each Holder of Registrable Securities to furnish to the Company a Notice and Questionnaire and such other information regarding such Holder and the proposed disposition by such Holder of such Registrable Securities as the Company and the Guarantors may from time to time reasonably request in writing.</w:t>
      </w:r>
    </w:p>
    <w:p>
      <w:pPr>
        <w:spacing w:after="0" w:line="73" w:lineRule="exact"/>
        <w:rPr>
          <w:rFonts w:ascii="Arial" w:cs="Arial" w:eastAsia="Arial" w:hAnsi="Arial"/>
          <w:sz w:val="18"/>
          <w:szCs w:val="18"/>
          <w:color w:val="auto"/>
        </w:rPr>
      </w:pPr>
    </w:p>
    <w:p>
      <w:pPr>
        <w:ind w:left="-20" w:right="120" w:firstLine="464"/>
        <w:spacing w:after="0" w:line="293" w:lineRule="auto"/>
        <w:tabs>
          <w:tab w:leader="none" w:pos="681" w:val="left"/>
        </w:tabs>
        <w:numPr>
          <w:ilvl w:val="1"/>
          <w:numId w:val="203"/>
        </w:numPr>
        <w:rPr>
          <w:rFonts w:ascii="Arial" w:cs="Arial" w:eastAsia="Arial" w:hAnsi="Arial"/>
          <w:sz w:val="16"/>
          <w:szCs w:val="16"/>
          <w:color w:val="auto"/>
        </w:rPr>
      </w:pPr>
      <w:r>
        <w:rPr>
          <w:rFonts w:ascii="Arial" w:cs="Arial" w:eastAsia="Arial" w:hAnsi="Arial"/>
          <w:sz w:val="16"/>
          <w:szCs w:val="16"/>
          <w:color w:val="auto"/>
        </w:rPr>
        <w:t>Each Participating Holder agrees that, upon receipt of any notice from the Company and the Guarantors of the happening of any event of the kind described in Section 3(a)(vi)(3) or Section 3(a)(vi)(5) hereof, such Participating Holder will forthwith discontinue disposition of Registrable Securities pursuant to the Shelf Registration Statement until such Participating Holder’s receipt of the copies of the supplemented or amended Prospectus and any Free Writing Prospectus contemplated by Section 3(a)(x) hereof and, if so directed by the Company and the Guarantors, such Participating Holder will deliver to the Company and the Guarantors all copies in its possession, other than permanent file copies then in such Participating Holder’s possession, of the Prospectus and any Free Writing Prospectus covering such Registrable Securities that is current at the time of receipt of such notice.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74" w:right="259" w:bottom="1440" w:gutter="0" w:footer="0" w:header="0"/>
        </w:sectPr>
      </w:pPr>
    </w:p>
    <w:bookmarkStart w:id="211" w:name="page212"/>
    <w:bookmarkEnd w:id="211"/>
    <w:p>
      <w:pPr>
        <w:ind w:right="40" w:firstLine="464"/>
        <w:spacing w:after="0" w:line="273" w:lineRule="auto"/>
        <w:tabs>
          <w:tab w:leader="none" w:pos="711" w:val="left"/>
        </w:tabs>
        <w:numPr>
          <w:ilvl w:val="0"/>
          <w:numId w:val="2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Company and the Guarantors shall give any notice to suspend the disposition of Registrable Securities pursuant to a Registration Statement, the Company and the Guarantors shall extend the period during which such Registration Statement shall be maintained effective pursuant to this Agreement by the number of days during the period from and including the date of the giving of such notice to and including the date when the Holders of such Registrable Securities shall have received copies of the supplemented or amended Prospectus or any Free Writing Prospectus necessary to resume such dispositions. The Company and the Guarantors may give any such notice only twice during any 365-day period and any such suspensions shall not exceed 30 days for each suspension and there shall not be more than two suspensions in effect during any 365-day period.</w:t>
      </w:r>
    </w:p>
    <w:p>
      <w:pPr>
        <w:spacing w:after="0" w:line="70" w:lineRule="exact"/>
        <w:rPr>
          <w:rFonts w:ascii="Arial" w:cs="Arial" w:eastAsia="Arial" w:hAnsi="Arial"/>
          <w:sz w:val="17"/>
          <w:szCs w:val="17"/>
          <w:color w:val="auto"/>
        </w:rPr>
      </w:pPr>
    </w:p>
    <w:p>
      <w:pPr>
        <w:ind w:right="40" w:firstLine="464"/>
        <w:spacing w:after="0" w:line="259" w:lineRule="auto"/>
        <w:tabs>
          <w:tab w:leader="none" w:pos="70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Participating Holders who desire to do so may sell such Registrable Securities in an Underwritten Offering. In any such Underwritten Offering, the investment bank or investment banks and manager or managers (each an “Underwriter”) that will administer the offering will be selected by the Holders of a majority in principal amount of the Registrable Securities included in such offering; provided, however, that such Underwriter must be reasonably satisfactory to the Company.</w:t>
      </w:r>
    </w:p>
    <w:p>
      <w:pPr>
        <w:spacing w:after="0" w:line="79" w:lineRule="exact"/>
        <w:rPr>
          <w:sz w:val="20"/>
          <w:szCs w:val="20"/>
          <w:color w:val="auto"/>
        </w:rPr>
      </w:pPr>
    </w:p>
    <w:p>
      <w:pPr>
        <w:ind w:right="160" w:firstLine="464"/>
        <w:spacing w:after="0" w:line="279" w:lineRule="auto"/>
        <w:tabs>
          <w:tab w:leader="none" w:pos="636"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Participation of Broker-Dealers in Exchange Offer</w:t>
      </w:r>
      <w:r>
        <w:rPr>
          <w:rFonts w:ascii="Arial" w:cs="Arial" w:eastAsia="Arial" w:hAnsi="Arial"/>
          <w:sz w:val="17"/>
          <w:szCs w:val="17"/>
          <w:color w:val="auto"/>
        </w:rPr>
        <w:t>. (a) The Staff has taken the position that any broker-dealer that receives Exchange Securities for its own account in the Exchange Offer in exchange for Securities that were acquired by such broker-dealer as a result of market-making or other trading activities (a “Participating Broker-Dealer”) may be deemed to be an “underwriter” within the meaning of the Securities Act and must deliver a prospectus meeting the requirements of the Securities Act in connection with any resale of such Exchange Securities.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and the Guarantors understand that it is the Staff’s position that if the Prospectus contained in the Exchange Offer Registration Statement includes a plan of distribution containing a statement to the above effect and the means by which Participating Broker-Dealers may resell the Exchange Securities, without naming the Participating Broker-Dealers or specifying the amount of Exchange Securities owned by them, such Prospectus may be delivered by Participating Broker-Dealers (or, to the extent permitted by law, made available to purchasers) to satisfy their prospectus delivery obligation under the Securities Act in connection with resales of Exchange Securities for their own accounts, so long as the Prospectus otherwise meets the requirements of the Securities Act.</w:t>
      </w:r>
    </w:p>
    <w:p>
      <w:pPr>
        <w:spacing w:after="0" w:line="85" w:lineRule="exact"/>
        <w:rPr>
          <w:sz w:val="20"/>
          <w:szCs w:val="20"/>
          <w:color w:val="auto"/>
        </w:rPr>
      </w:pPr>
    </w:p>
    <w:p>
      <w:pPr>
        <w:ind w:right="160" w:firstLine="464"/>
        <w:spacing w:after="0" w:line="255" w:lineRule="auto"/>
        <w:tabs>
          <w:tab w:leader="none" w:pos="71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light of the above, and notwithstanding the other provisions of this Agreement, the Company and the Guarantors agree to amend or supplement the Prospectus contained in the Exchange Offer Registration Statement for a period of up to 180 days after the last Exchange Date (as such period may be extended pursuant to Section 3(d) of this Agreement), in order to expedite or facilitate the disposition of any Exchange Securities by Participating Broker-Dealers consistent with the positions of the Staff recited in Section 4(a) above. The Company and the Guarantors further agree that Participating Broker-Dealers shall be authorized to deliver such Prospectus (or, to the extent permitted by law, make available) during such period in connection with the resales contemplated by this Section 4.</w:t>
      </w:r>
    </w:p>
    <w:p>
      <w:pPr>
        <w:spacing w:after="0" w:line="85" w:lineRule="exact"/>
        <w:rPr>
          <w:rFonts w:ascii="Arial" w:cs="Arial" w:eastAsia="Arial" w:hAnsi="Arial"/>
          <w:sz w:val="18"/>
          <w:szCs w:val="18"/>
          <w:color w:val="auto"/>
        </w:rPr>
      </w:pPr>
    </w:p>
    <w:p>
      <w:pPr>
        <w:ind w:right="140" w:firstLine="464"/>
        <w:spacing w:after="0" w:line="277" w:lineRule="auto"/>
        <w:tabs>
          <w:tab w:leader="none" w:pos="70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Initial Purchaser shall have no liability to the Company, any Guarantor or any Holder with respect to any request that they may make pursuant to Section 4(b) above.</w:t>
      </w:r>
    </w:p>
    <w:p>
      <w:pPr>
        <w:spacing w:after="0" w:line="62" w:lineRule="exact"/>
        <w:rPr>
          <w:sz w:val="20"/>
          <w:szCs w:val="20"/>
          <w:color w:val="auto"/>
        </w:rPr>
      </w:pPr>
    </w:p>
    <w:p>
      <w:pPr>
        <w:ind w:firstLine="464"/>
        <w:spacing w:after="0" w:line="287" w:lineRule="auto"/>
        <w:tabs>
          <w:tab w:leader="none" w:pos="636"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 (a) The Company and the Guarantors, jointly and severally, agree to indemnify and hold harmless each Holder, their respective affiliates, directors and officers and each Person, if any, who controls any Holder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(1) any untrue statement or alleged untrue statement of a material fact contained in any Registration Statement or any omission or alleged omission to state therein a material fact required to be stated therein or necessary in order to make the statements therein not misleading, or (2) any untrue statement or alleged untrue statement of a material fact contained in any Prospectus, any Free Writing Prospectus or any “issuer information” (“Issuer Information”) filed or required to be filed pursuant to Rule 433(d) under the Securities Act, or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Holder furnished to the Company in writing by such Holder expressly for use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12" w:name="page213"/>
    <w:bookmarkEnd w:id="212"/>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therein. In connection with any Underwritten Offering permitted by Section 3, the Company and the Guarantors, jointly and severally, will also indemnify the Underwriters, if any, selling brokers, dealers and similar securities industry professionals participating in the distribution, their respective affiliates and each Person who controls such Persons (within the meaning of the Securities Act and the Exchange Act) to the same extent as provided above with respect to the indemnification of the Holders, if requested in connection with any Registration Statement, any Prospectus, any Free Writing Prospectus or any Issuer Information.</w:t>
      </w:r>
    </w:p>
    <w:p>
      <w:pPr>
        <w:spacing w:after="0" w:line="80" w:lineRule="exact"/>
        <w:rPr>
          <w:sz w:val="20"/>
          <w:szCs w:val="20"/>
          <w:color w:val="auto"/>
        </w:rPr>
      </w:pPr>
    </w:p>
    <w:p>
      <w:pPr>
        <w:ind w:right="20" w:firstLine="464"/>
        <w:spacing w:after="0" w:line="255" w:lineRule="auto"/>
        <w:tabs>
          <w:tab w:leader="none" w:pos="711" w:val="left"/>
        </w:tabs>
        <w:numPr>
          <w:ilvl w:val="1"/>
          <w:numId w:val="208"/>
        </w:numPr>
        <w:rPr>
          <w:rFonts w:ascii="Arial" w:cs="Arial" w:eastAsia="Arial" w:hAnsi="Arial"/>
          <w:sz w:val="18"/>
          <w:szCs w:val="18"/>
          <w:color w:val="auto"/>
        </w:rPr>
      </w:pPr>
      <w:r>
        <w:rPr>
          <w:rFonts w:ascii="Arial" w:cs="Arial" w:eastAsia="Arial" w:hAnsi="Arial"/>
          <w:sz w:val="18"/>
          <w:szCs w:val="18"/>
          <w:color w:val="auto"/>
        </w:rPr>
        <w:t>Each Holder agrees, severally and not jointly, to indemnify and hold harmless the Company, the Guarantors and the other selling Holders, the directors of the Company and the Guarantors, each officer of the Company and the Guarantors who signed the Registration Statement and each Person, if any, who controls the Company, the Guarantors and any other selling Holder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Holder furnished to the Company in writing by such Holder expressly for use in any Registration Statement, any Prospectus and any Free Writing Prospectus.</w:t>
      </w:r>
    </w:p>
    <w:p>
      <w:pPr>
        <w:spacing w:after="0" w:line="81" w:lineRule="exact"/>
        <w:rPr>
          <w:rFonts w:ascii="Arial" w:cs="Arial" w:eastAsia="Arial" w:hAnsi="Arial"/>
          <w:sz w:val="18"/>
          <w:szCs w:val="18"/>
          <w:color w:val="auto"/>
        </w:rPr>
      </w:pPr>
    </w:p>
    <w:p>
      <w:pPr>
        <w:ind w:right="20" w:firstLine="464"/>
        <w:spacing w:after="0" w:line="283" w:lineRule="auto"/>
        <w:tabs>
          <w:tab w:leader="none" w:pos="701" w:val="left"/>
        </w:tabs>
        <w:numPr>
          <w:ilvl w:val="1"/>
          <w:numId w:val="208"/>
        </w:numPr>
        <w:rPr>
          <w:rFonts w:ascii="Arial" w:cs="Arial" w:eastAsia="Arial" w:hAnsi="Arial"/>
          <w:sz w:val="16"/>
          <w:szCs w:val="16"/>
          <w:color w:val="auto"/>
        </w:rPr>
      </w:pPr>
      <w:r>
        <w:rPr>
          <w:rFonts w:ascii="Arial" w:cs="Arial" w:eastAsia="Arial" w:hAnsi="Arial"/>
          <w:sz w:val="16"/>
          <w:szCs w:val="16"/>
          <w:color w:val="auto"/>
        </w:rPr>
        <w:t>If any suit, action, proceeding (including any governmental or regulatory investigation), claim or demand shall be 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provided that the failure to notify the Indemnifying Person shall not relieve it from any liability that it may have under paragraph (a) or (b) above except to the extent that it has been materially prejudiced (through the forfeiture of substantive rights or defenses) by such failure; and provided, further,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to represent the Indemnified Person and any others entitled to indemnification pursuant to this Section 5 that the Indemnifying Person may designate in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w:t>
      </w:r>
    </w:p>
    <w:p>
      <w:pPr>
        <w:spacing w:after="0" w:line="3" w:lineRule="exact"/>
        <w:rPr>
          <w:rFonts w:ascii="Arial" w:cs="Arial" w:eastAsia="Arial" w:hAnsi="Arial"/>
          <w:sz w:val="16"/>
          <w:szCs w:val="16"/>
          <w:color w:val="auto"/>
        </w:rPr>
      </w:pPr>
    </w:p>
    <w:p>
      <w:pPr>
        <w:ind w:firstLine="8"/>
        <w:spacing w:after="0" w:line="281" w:lineRule="auto"/>
        <w:tabs>
          <w:tab w:leader="none" w:pos="30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reimbursed as they are incurred. Any such separate firm (x) for any Holder, its directors and officers and any control Persons of such Holder shall be designated in writing by the Majority Holders and (y) in all other cases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w:t>
      </w:r>
    </w:p>
    <w:p>
      <w:pPr>
        <w:spacing w:after="0" w:line="7" w:lineRule="exact"/>
        <w:rPr>
          <w:rFonts w:ascii="Arial" w:cs="Arial" w:eastAsia="Arial" w:hAnsi="Arial"/>
          <w:sz w:val="16"/>
          <w:szCs w:val="16"/>
          <w:color w:val="auto"/>
        </w:rPr>
      </w:pPr>
    </w:p>
    <w:p>
      <w:pPr>
        <w:ind w:right="60" w:firstLine="8"/>
        <w:spacing w:after="0" w:line="252" w:lineRule="auto"/>
        <w:tabs>
          <w:tab w:leader="none" w:pos="26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(A) includes an unconditional release of such Indemnified Person, in form and substance reasonably satisfactory to such Indemnified Person, from all liability on claims that are the subject matter of such proceeding and (B) does not include any statement as to or any admission of fault, culpability or a failure to act by or on behalf of any Indemnified Person.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13" w:name="page214"/>
    <w:bookmarkEnd w:id="213"/>
    <w:p>
      <w:pPr>
        <w:ind w:left="-8" w:right="120" w:firstLine="464"/>
        <w:spacing w:after="0" w:line="285" w:lineRule="auto"/>
        <w:tabs>
          <w:tab w:leader="none" w:pos="703" w:val="left"/>
        </w:tabs>
        <w:numPr>
          <w:ilvl w:val="1"/>
          <w:numId w:val="2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Guarantors from the offering of the Securities and the Exchange Securities, on the one hand, and by the Holders from receiving Securities or Exchange Securities registered under the Securities Act, on the other hand, or</w:t>
      </w:r>
    </w:p>
    <w:p>
      <w:pPr>
        <w:spacing w:after="0" w:line="2" w:lineRule="exact"/>
        <w:rPr>
          <w:rFonts w:ascii="Arial" w:cs="Arial" w:eastAsia="Arial" w:hAnsi="Arial"/>
          <w:sz w:val="16"/>
          <w:szCs w:val="16"/>
          <w:color w:val="auto"/>
        </w:rPr>
      </w:pPr>
    </w:p>
    <w:p>
      <w:pPr>
        <w:ind w:left="-8" w:right="40" w:firstLine="8"/>
        <w:spacing w:after="0" w:line="252" w:lineRule="auto"/>
        <w:tabs>
          <w:tab w:leader="none" w:pos="25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the allocation provided by clause (i) is not permitted by applicable law, in such proportion as is appropriate to reflect not only the relative benefits referred to in clause (i) but also the relative fault of the Company and the Guarantors on the one hand and the Holders on the other in connection with the statements or omissions that resulted in such losses, claims, damages or liabilities, as well as any other relevant equitable considerations. The relative fault of the Company and the Guarantors on the one hand and the Holders on the other shall be determined by reference to, among other things, whether the untrue or alleged untrue statement of a material fact or the omission or alleged omission to state a material fact relates to information supplied by the Company and the Guarantors or by the Holders and the parties’ relative intent, knowledge, access to information and opportunity to correct or prevent such statement or omission.</w:t>
      </w:r>
    </w:p>
    <w:p>
      <w:pPr>
        <w:spacing w:after="0" w:line="84" w:lineRule="exact"/>
        <w:rPr>
          <w:rFonts w:ascii="Arial" w:cs="Arial" w:eastAsia="Arial" w:hAnsi="Arial"/>
          <w:sz w:val="18"/>
          <w:szCs w:val="18"/>
          <w:color w:val="auto"/>
        </w:rPr>
      </w:pPr>
    </w:p>
    <w:p>
      <w:pPr>
        <w:ind w:left="-8" w:firstLine="464"/>
        <w:spacing w:after="0" w:line="253" w:lineRule="auto"/>
        <w:tabs>
          <w:tab w:leader="none" w:pos="693"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Company, the Guarantors and the Holders agree that it would not be just and equitable if contribution pursuant to this Section 5 were determined by pro rata allocation (even if the Holders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Section 5, in no event shall a Holder be required to contribute any amount in excess of the amount by which the total price at which the Securities or Exchange Securities sold by such Holder exceeds the amount of any damages that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Section 5 are several and not joint.</w:t>
      </w:r>
    </w:p>
    <w:p>
      <w:pPr>
        <w:spacing w:after="0" w:line="86" w:lineRule="exact"/>
        <w:rPr>
          <w:rFonts w:ascii="Arial" w:cs="Arial" w:eastAsia="Arial" w:hAnsi="Arial"/>
          <w:sz w:val="18"/>
          <w:szCs w:val="18"/>
          <w:color w:val="auto"/>
        </w:rPr>
      </w:pPr>
    </w:p>
    <w:p>
      <w:pPr>
        <w:ind w:left="-8" w:right="500" w:firstLine="464"/>
        <w:spacing w:after="0" w:line="277" w:lineRule="auto"/>
        <w:tabs>
          <w:tab w:leader="none" w:pos="673"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remedies provided for in this Section 5 are not exclusive and shall not limit any rights or remedies that may otherwise be available to any Indemnified Person at law or in equity.</w:t>
      </w:r>
    </w:p>
    <w:p>
      <w:pPr>
        <w:spacing w:after="0" w:line="62" w:lineRule="exact"/>
        <w:rPr>
          <w:rFonts w:ascii="Arial" w:cs="Arial" w:eastAsia="Arial" w:hAnsi="Arial"/>
          <w:sz w:val="18"/>
          <w:szCs w:val="18"/>
          <w:color w:val="auto"/>
        </w:rPr>
      </w:pPr>
    </w:p>
    <w:p>
      <w:pPr>
        <w:ind w:left="-8" w:right="180" w:firstLine="464"/>
        <w:spacing w:after="0" w:line="259" w:lineRule="auto"/>
        <w:tabs>
          <w:tab w:leader="none" w:pos="7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indemnity and contribution provisions contained in this Section 5 shall remain operative and in full force and effect regardless of (i) any termination of this Agreement, (ii) any investigation made by or on behalf of any Holder or any Person controlling any Holder, or by or on behalf of the Company or the Guarantors or the officers or directors of or any Person controlling the Company or the Guarantors, (iii) acceptance of any of the Exchange Securities and (iv) any sale of Registrable Securities pursuant to a Shelf Registration Statement.</w:t>
      </w:r>
    </w:p>
    <w:p>
      <w:pPr>
        <w:spacing w:after="0" w:line="79" w:lineRule="exact"/>
        <w:rPr>
          <w:sz w:val="20"/>
          <w:szCs w:val="20"/>
          <w:color w:val="auto"/>
        </w:rPr>
      </w:pPr>
    </w:p>
    <w:p>
      <w:pPr>
        <w:ind w:left="632" w:hanging="176"/>
        <w:spacing w:after="0"/>
        <w:tabs>
          <w:tab w:leader="none" w:pos="632"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17" w:lineRule="exact"/>
        <w:rPr>
          <w:sz w:val="20"/>
          <w:szCs w:val="20"/>
          <w:color w:val="auto"/>
        </w:rPr>
      </w:pPr>
    </w:p>
    <w:p>
      <w:pPr>
        <w:ind w:left="-8" w:right="140" w:firstLine="464"/>
        <w:spacing w:after="0" w:line="257" w:lineRule="auto"/>
        <w:tabs>
          <w:tab w:leader="none" w:pos="693"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The Company and the Guarantors represent, warrant and agree that (i) the rights granted to the Holders hereunder do not in any way conflict with and are not inconsistent with the rights granted to the holders of any other outstanding securities issued or guaranteed by the Company or any Guarantor under any other agreement and (ii) neither the Company nor any Guarantor has entered into, or on or after the date of this Agreement will enter into, any agreement that is inconsistent with the rights granted to the Holders of Registrable Securities in this Agreement or otherwise conflicts with the provisions hereof.</w:t>
      </w:r>
    </w:p>
    <w:p>
      <w:pPr>
        <w:spacing w:after="0" w:line="80" w:lineRule="exact"/>
        <w:rPr>
          <w:rFonts w:ascii="Arial" w:cs="Arial" w:eastAsia="Arial" w:hAnsi="Arial"/>
          <w:sz w:val="18"/>
          <w:szCs w:val="18"/>
          <w:color w:val="auto"/>
        </w:rPr>
      </w:pPr>
    </w:p>
    <w:p>
      <w:pPr>
        <w:ind w:left="-8" w:right="60" w:firstLine="464"/>
        <w:spacing w:after="0" w:line="257" w:lineRule="auto"/>
        <w:tabs>
          <w:tab w:leader="none" w:pos="703"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The provisions of this Agreement, including the provisions of this sentence, may not be amended, modified or supplemented, and waivers or consents to departures from the provisions hereof may not be given unless the Company and the Guarantors have obtained the written consent of Holders of at least a majority in aggregate principal amount of the outstanding Registrable Securities affected by such amendment, modification, supplement, waiver or consent; provided that no amendment, modification, supplement, waiver or consent to any departure from the provisions of Section 5 hereof or any provision that could affect adversely the</w:t>
      </w:r>
    </w:p>
    <w:p>
      <w:pPr>
        <w:spacing w:after="0" w:line="1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4" w:right="259" w:bottom="1440" w:gutter="0" w:footer="0" w:header="0"/>
        </w:sectPr>
      </w:pPr>
    </w:p>
    <w:bookmarkStart w:id="214" w:name="page215"/>
    <w:bookmarkEnd w:id="214"/>
    <w:p>
      <w:pPr>
        <w:ind w:right="4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of any Holder of Registrable Securities to receive liquidated damages in the amount and on the payment dates as provided in Section 2(d) shall be effective as against any Holder of Registrable Securities unless consented to in writing by such Holder. Any amendments, modifications, supplements, waivers or consents pursuant to this Section 6(b) shall be by a writing executed by each of the parties hereto.</w:t>
      </w:r>
    </w:p>
    <w:p>
      <w:pPr>
        <w:spacing w:after="0" w:line="57" w:lineRule="exact"/>
        <w:rPr>
          <w:sz w:val="20"/>
          <w:szCs w:val="20"/>
          <w:color w:val="auto"/>
        </w:rPr>
      </w:pPr>
    </w:p>
    <w:p>
      <w:pPr>
        <w:ind w:firstLine="464"/>
        <w:spacing w:after="0" w:line="288" w:lineRule="auto"/>
        <w:tabs>
          <w:tab w:leader="none" w:pos="701"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provided for or permitted hereunder shall be made in writing by hand-delivery, registered first-class mail, telex, telecopier, or any courier guaranteeing overnight delivery (i) if to a Holder, at the most current address given by such Holder to the Company by means of a notice given in accordance with the provisions of this Section 6(c), which address initially is, with respect to the Initial Purchaser, the address set forth in the Purchase Agreement; (ii) if to the Company and the Guarantors, initially at the Company’s address set forth in the Purchase Agreement and thereafter at such other address, notice of which is given in accordance with the provisions of this Section 6(c); and (iii) to such other persons at their respective addresses as provided in the Purchase Agreement and thereafter at such other address, notice of which is given in accordance with the provisions of this Section 6(c). All such notices and communications shall be deemed to have been duly given: at the time delivered by hand, if personally delivered; five Business Days after being deposited in the mail, postage prepaid, if mailed; when receipt is acknowledged, if telecopied; and on the next Business Day if timely delivered to an air courier guaranteeing overnight delivery. Copies of all such notices, demands or other communications shall be concurrently delivered by the Person giving the same to the Trustee, at the address specified in the Indenture.</w:t>
      </w:r>
    </w:p>
    <w:p>
      <w:pPr>
        <w:spacing w:after="0" w:line="61" w:lineRule="exact"/>
        <w:rPr>
          <w:rFonts w:ascii="Arial" w:cs="Arial" w:eastAsia="Arial" w:hAnsi="Arial"/>
          <w:sz w:val="16"/>
          <w:szCs w:val="16"/>
          <w:color w:val="auto"/>
        </w:rPr>
      </w:pPr>
    </w:p>
    <w:p>
      <w:pPr>
        <w:ind w:right="200" w:firstLine="464"/>
        <w:spacing w:after="0" w:line="290" w:lineRule="auto"/>
        <w:tabs>
          <w:tab w:leader="none" w:pos="711"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inure to the benefit of and be binding upon the successors, assigns and transferees of each of the parties, including, without limitation and without the need for an express assignment, subsequent Holders; provided that nothing herein shall be deemed to permit any assignment, transfer or other disposition of Registrable Securities in violation of the terms of the Purchase Agreement or the Indenture. If any transferee of any Holder shall acquire Registrable Securities in any manner, whether by operation of law or otherwise, such Registrable Securities shall be held subject to all the terms of this Agreement, and by taking and holding such Registrable Securities such Person shall be conclusively deemed to have agreed to be bound by and to perform all of the terms and provisions of this Agreement and such Person shall be entitled to receive the benefits hereof. The Initial Purchaser (in its capacity as Initial Purchaser) shall have no liability or obligation to the Company or the Guarantors with respect to any failure by a Holder to comply with, or any breach by any Holder of, any of the obligations of such Holder under this Agreement.</w:t>
      </w:r>
    </w:p>
    <w:p>
      <w:pPr>
        <w:spacing w:after="0" w:line="58" w:lineRule="exact"/>
        <w:rPr>
          <w:rFonts w:ascii="Arial" w:cs="Arial" w:eastAsia="Arial" w:hAnsi="Arial"/>
          <w:sz w:val="16"/>
          <w:szCs w:val="16"/>
          <w:color w:val="auto"/>
        </w:rPr>
      </w:pPr>
    </w:p>
    <w:p>
      <w:pPr>
        <w:ind w:right="220" w:firstLine="464"/>
        <w:spacing w:after="0" w:line="264" w:lineRule="auto"/>
        <w:tabs>
          <w:tab w:leader="none" w:pos="701"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Each Holder shall be a third party beneficiary to the agreements made hereunder between the Company and the Guarantors, on the one hand, and the Initial Purchaser, on the other hand, and shall have the right to enforce such agreements directly to the extent it deems such enforcement necessary or advisable to protect its rights or the rights of other Holders hereunder.</w:t>
      </w:r>
    </w:p>
    <w:p>
      <w:pPr>
        <w:spacing w:after="0" w:line="73" w:lineRule="exact"/>
        <w:rPr>
          <w:rFonts w:ascii="Arial" w:cs="Arial" w:eastAsia="Arial" w:hAnsi="Arial"/>
          <w:sz w:val="18"/>
          <w:szCs w:val="18"/>
          <w:color w:val="auto"/>
        </w:rPr>
      </w:pPr>
    </w:p>
    <w:p>
      <w:pPr>
        <w:ind w:right="380" w:firstLine="464"/>
        <w:spacing w:after="0" w:line="308" w:lineRule="auto"/>
        <w:tabs>
          <w:tab w:leader="none" w:pos="681"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38" w:lineRule="exact"/>
        <w:rPr>
          <w:rFonts w:ascii="Arial" w:cs="Arial" w:eastAsia="Arial" w:hAnsi="Arial"/>
          <w:sz w:val="17"/>
          <w:szCs w:val="17"/>
          <w:color w:val="auto"/>
        </w:rPr>
      </w:pPr>
    </w:p>
    <w:p>
      <w:pPr>
        <w:ind w:right="220" w:firstLine="464"/>
        <w:spacing w:after="0" w:line="277" w:lineRule="auto"/>
        <w:tabs>
          <w:tab w:leader="none" w:pos="711"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of reference only, are not a part of this Agreement and shall not limit or otherwise affect the meaning hereof.</w:t>
      </w:r>
    </w:p>
    <w:p>
      <w:pPr>
        <w:spacing w:after="0" w:line="62" w:lineRule="exact"/>
        <w:rPr>
          <w:rFonts w:ascii="Arial" w:cs="Arial" w:eastAsia="Arial" w:hAnsi="Arial"/>
          <w:sz w:val="18"/>
          <w:szCs w:val="18"/>
          <w:color w:val="auto"/>
        </w:rPr>
      </w:pPr>
    </w:p>
    <w:p>
      <w:pPr>
        <w:ind w:right="540" w:firstLine="464"/>
        <w:spacing w:after="0" w:line="277" w:lineRule="auto"/>
        <w:tabs>
          <w:tab w:leader="none" w:pos="711"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w:t>
      </w:r>
    </w:p>
    <w:p>
      <w:pPr>
        <w:spacing w:after="0" w:line="62" w:lineRule="exact"/>
        <w:rPr>
          <w:rFonts w:ascii="Arial" w:cs="Arial" w:eastAsia="Arial" w:hAnsi="Arial"/>
          <w:sz w:val="18"/>
          <w:szCs w:val="18"/>
          <w:color w:val="auto"/>
        </w:rPr>
      </w:pPr>
    </w:p>
    <w:p>
      <w:pPr>
        <w:ind w:right="40" w:firstLine="464"/>
        <w:spacing w:after="0" w:line="273" w:lineRule="auto"/>
        <w:tabs>
          <w:tab w:leader="none" w:pos="671"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Entire Agreement; Severability</w:t>
      </w:r>
      <w:r>
        <w:rPr>
          <w:rFonts w:ascii="Arial" w:cs="Arial" w:eastAsia="Arial" w:hAnsi="Arial"/>
          <w:sz w:val="17"/>
          <w:szCs w:val="17"/>
          <w:color w:val="auto"/>
        </w:rPr>
        <w:t>. This Agreement contains the entire agreement between the parties relating to the subject matter hereof and supersedes all oral statements and prior writings with respect thereto. If any term, provision, covenant or restriction contained in this Agreement is held by a court of competent jurisdiction to be invalid, void or unenforceable or against public policy, the remainder of the terms, provisions, covenants and restrictions contained herein shall remain in full force and effect and shall in no way be affected, impaired or invalidated. The Company, the Guarantors and the Initial Purchaser shall endeavor in good faith negotiations to replace the invalid, void or unenforceable provisions with valid provisions the economic effect of which comes as close as possible to that of the invalid, void or unenforceable provisions.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15" w:name="page216"/>
    <w:bookmarkEnd w:id="2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Bermuda exempted company</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Joshua 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22098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20980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Joshua S. Silverman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Assistant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 PLC</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 Irish public limited company</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22574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Mark M. Rothleitner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Kyle R. 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22574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Kyle R. Pounds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TANLEY</w:t>
      </w:r>
      <w:r>
        <w:rPr>
          <w:rFonts w:ascii="Arial" w:cs="Arial" w:eastAsia="Arial" w:hAnsi="Arial"/>
          <w:sz w:val="18"/>
          <w:szCs w:val="18"/>
          <w:color w:val="auto"/>
        </w:rPr>
        <w:t xml:space="preserve"> &amp; C</w:t>
      </w:r>
      <w:r>
        <w:rPr>
          <w:rFonts w:ascii="Arial" w:cs="Arial" w:eastAsia="Arial" w:hAnsi="Arial"/>
          <w:sz w:val="15"/>
          <w:szCs w:val="15"/>
          <w:color w:val="auto"/>
        </w:rPr>
        <w:t>O</w:t>
      </w:r>
      <w:r>
        <w:rPr>
          <w:rFonts w:ascii="Arial" w:cs="Arial" w:eastAsia="Arial" w:hAnsi="Arial"/>
          <w:sz w:val="18"/>
          <w:szCs w:val="18"/>
          <w:color w:val="auto"/>
        </w:rPr>
        <w: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Cody Gunsch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6764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6764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Cody Gunsch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10360"/>
          </w:cols>
          <w:pgMar w:left="240" w:top="274" w:right="1299" w:bottom="1440" w:gutter="0" w:footer="0" w:header="0"/>
        </w:sectPr>
      </w:pPr>
    </w:p>
    <w:bookmarkStart w:id="216" w:name="page217"/>
    <w:bookmarkEnd w:id="216"/>
    <w:p>
      <w:pPr>
        <w:jc w:val="center"/>
        <w:ind w:right="-2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 to Registration Rights Agreement</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undersigned hereby absolutely, unconditionally and irrevocably agrees as a Guarantor (as defined in the Registration Rights Agreement, dated November 18, 2016 by and among Weatherford International Ltd., a Bermuda exempted company, the guarantors party thereto and Morgan Stanley &amp; Co. LLC, as the Initial Purchaser) to be bound by the terms and provisions of such Registration Rights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this counterpart as of November 18, 2016.</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 PLC</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 Irish public limited company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22574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Mark M. Rothleitner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Kyle R. 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22574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Kyle R. Pounds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 and Chief Financial Officer</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Annex A to Registration Rights Agreement</w:t>
      </w:r>
    </w:p>
    <w:p>
      <w:pPr>
        <w:sectPr>
          <w:pgSz w:w="11900" w:h="16838" w:orient="portrait"/>
          <w:cols w:equalWidth="0" w:num="1">
            <w:col w:w="11120"/>
          </w:cols>
          <w:pgMar w:left="240" w:top="270" w:right="539" w:bottom="1440" w:gutter="0" w:footer="0" w:header="0"/>
        </w:sectPr>
      </w:pPr>
    </w:p>
    <w:bookmarkStart w:id="217" w:name="page218"/>
    <w:bookmarkEnd w:id="217"/>
    <w:p>
      <w:pPr>
        <w:jc w:val="right"/>
        <w:ind w:right="35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 Guarantors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LLC</w:t>
      </w:r>
    </w:p>
    <w:p>
      <w:pPr>
        <w:spacing w:after="0" w:line="21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Schedule I - 1</w:t>
      </w:r>
    </w:p>
    <w:p>
      <w:pPr>
        <w:sectPr>
          <w:pgSz w:w="11900" w:h="16838" w:orient="portrait"/>
          <w:cols w:equalWidth="0" w:num="1">
            <w:col w:w="10219"/>
          </w:cols>
          <w:pgMar w:left="240" w:top="270" w:right="1440" w:bottom="1440" w:gutter="0" w:footer="0" w:header="0"/>
        </w:sectPr>
      </w:pPr>
    </w:p>
    <w:bookmarkStart w:id="218" w:name="page219"/>
    <w:bookmarkEnd w:id="218"/>
    <w:p>
      <w:pPr>
        <w:ind w:left="10580"/>
        <w:spacing w:after="0"/>
        <w:rPr>
          <w:sz w:val="20"/>
          <w:szCs w:val="20"/>
          <w:color w:val="auto"/>
        </w:rPr>
      </w:pPr>
      <w:r>
        <w:rPr>
          <w:rFonts w:ascii="Arial" w:cs="Arial" w:eastAsia="Arial" w:hAnsi="Arial"/>
          <w:sz w:val="16"/>
          <w:szCs w:val="16"/>
          <w:b w:val="1"/>
          <w:bCs w:val="1"/>
          <w:color w:val="auto"/>
        </w:rPr>
        <w:t>Exhibit 4.3</w:t>
      </w:r>
    </w:p>
    <w:p>
      <w:pPr>
        <w:spacing w:after="0" w:line="248"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THE NUMBER OF ORDINARY SHARES ISSUABLE UPON EXERCISE OF THIS WARRANT MAY BE LESS THAN THE AMOUNTS SET FORTH ON THE FACE HEREOF PURSUANT TO SECTION 1(a) OF THIS WARRANT.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EATHERFORD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NTERNATIONAL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ORM OF</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84,500,000 O</w:t>
      </w:r>
      <w:r>
        <w:rPr>
          <w:rFonts w:ascii="Arial" w:cs="Arial" w:eastAsia="Arial" w:hAnsi="Arial"/>
          <w:sz w:val="15"/>
          <w:szCs w:val="15"/>
          <w:b w:val="1"/>
          <w:bCs w:val="1"/>
          <w:color w:val="auto"/>
        </w:rPr>
        <w:t>RDINARY</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November 21, 2016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Weatherford International plc, an Irish public limited company (the “</w:t>
      </w:r>
      <w:r>
        <w:rPr>
          <w:rFonts w:ascii="Arial" w:cs="Arial" w:eastAsia="Arial" w:hAnsi="Arial"/>
          <w:sz w:val="17"/>
          <w:szCs w:val="17"/>
          <w:b w:val="1"/>
          <w:bCs w:val="1"/>
          <w:color w:val="auto"/>
        </w:rPr>
        <w:t>Company</w:t>
      </w:r>
      <w:r>
        <w:rPr>
          <w:rFonts w:ascii="Arial" w:cs="Arial" w:eastAsia="Arial" w:hAnsi="Arial"/>
          <w:sz w:val="17"/>
          <w:szCs w:val="17"/>
          <w:color w:val="auto"/>
        </w:rPr>
        <w:t>”), hereby certifies that, for good and valuable consideration, the receipt and sufficiency of which are hereby acknowledged, [Buyer], the registered holder hereof or its permitted assigns (the “</w:t>
      </w:r>
      <w:r>
        <w:rPr>
          <w:rFonts w:ascii="Arial" w:cs="Arial" w:eastAsia="Arial" w:hAnsi="Arial"/>
          <w:sz w:val="17"/>
          <w:szCs w:val="17"/>
          <w:b w:val="1"/>
          <w:bCs w:val="1"/>
          <w:color w:val="auto"/>
        </w:rPr>
        <w:t>Holder</w:t>
      </w:r>
      <w:r>
        <w:rPr>
          <w:rFonts w:ascii="Arial" w:cs="Arial" w:eastAsia="Arial" w:hAnsi="Arial"/>
          <w:sz w:val="17"/>
          <w:szCs w:val="17"/>
          <w:color w:val="auto"/>
        </w:rPr>
        <w:t>”), is entitled, subject to the terms set forth below, to purchase from the Company, at the Exercise Price (as defined below) then in effect, upon exercise of this Warrant to Purchase Ordinary Shares (including any Warrants to Purchase Ordinary Shares issued in exchange, transfer or replacement hereof, the “</w:t>
      </w:r>
      <w:r>
        <w:rPr>
          <w:rFonts w:ascii="Arial" w:cs="Arial" w:eastAsia="Arial" w:hAnsi="Arial"/>
          <w:sz w:val="17"/>
          <w:szCs w:val="17"/>
          <w:b w:val="1"/>
          <w:bCs w:val="1"/>
          <w:color w:val="auto"/>
        </w:rPr>
        <w:t>Warrant</w:t>
      </w:r>
      <w:r>
        <w:rPr>
          <w:rFonts w:ascii="Arial" w:cs="Arial" w:eastAsia="Arial" w:hAnsi="Arial"/>
          <w:sz w:val="17"/>
          <w:szCs w:val="17"/>
          <w:color w:val="auto"/>
        </w:rPr>
        <w:t>”), at any time or times on or after the Issuance Date, but not after 11:59 p.m., New York time, on the Expiration Date (as defined below), 84,500,000 (subject to adjustment as provided herein) fully paid and non-assessable Ordinary Shares (as defined below) (the “</w:t>
      </w:r>
      <w:r>
        <w:rPr>
          <w:rFonts w:ascii="Arial" w:cs="Arial" w:eastAsia="Arial" w:hAnsi="Arial"/>
          <w:sz w:val="17"/>
          <w:szCs w:val="17"/>
          <w:b w:val="1"/>
          <w:bCs w:val="1"/>
          <w:color w:val="auto"/>
        </w:rPr>
        <w:t>Warrant Shares</w:t>
      </w:r>
      <w:r>
        <w:rPr>
          <w:rFonts w:ascii="Arial" w:cs="Arial" w:eastAsia="Arial" w:hAnsi="Arial"/>
          <w:sz w:val="17"/>
          <w:szCs w:val="17"/>
          <w:color w:val="auto"/>
        </w:rPr>
        <w:t>”). Except as otherwise defined herein, capitalized terms in this Warrant shall have the meanings set forth in Section 17. This Warrant is issued pursuant to (i) that certain Subscription Agreement, dated as of November 16, 2016 (the “</w:t>
      </w:r>
      <w:r>
        <w:rPr>
          <w:rFonts w:ascii="Arial" w:cs="Arial" w:eastAsia="Arial" w:hAnsi="Arial"/>
          <w:sz w:val="17"/>
          <w:szCs w:val="17"/>
          <w:b w:val="1"/>
          <w:bCs w:val="1"/>
          <w:color w:val="auto"/>
        </w:rPr>
        <w:t>Subscription Date</w:t>
      </w:r>
      <w:r>
        <w:rPr>
          <w:rFonts w:ascii="Arial" w:cs="Arial" w:eastAsia="Arial" w:hAnsi="Arial"/>
          <w:sz w:val="17"/>
          <w:szCs w:val="17"/>
          <w:color w:val="auto"/>
        </w:rPr>
        <w:t>”), by and among the Company and the Holder, as amended from time to time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and (ii) the Company’s Registration Statement on Form S-3, Registration No. 333-194431 (as amended, the “</w:t>
      </w:r>
      <w:r>
        <w:rPr>
          <w:rFonts w:ascii="Arial" w:cs="Arial" w:eastAsia="Arial" w:hAnsi="Arial"/>
          <w:sz w:val="17"/>
          <w:szCs w:val="17"/>
          <w:b w:val="1"/>
          <w:bCs w:val="1"/>
          <w:color w:val="auto"/>
        </w:rPr>
        <w:t>Existing Registration Statement</w:t>
      </w:r>
      <w:r>
        <w:rPr>
          <w:rFonts w:ascii="Arial" w:cs="Arial" w:eastAsia="Arial" w:hAnsi="Arial"/>
          <w:sz w:val="17"/>
          <w:szCs w:val="17"/>
          <w:color w:val="auto"/>
        </w:rPr>
        <w:t>”), including the Company’s prospectus supplement dated November 16, 2016 contained therein.</w:t>
      </w:r>
    </w:p>
    <w:p>
      <w:pPr>
        <w:spacing w:after="0" w:line="182" w:lineRule="exact"/>
        <w:rPr>
          <w:sz w:val="20"/>
          <w:szCs w:val="20"/>
          <w:color w:val="auto"/>
        </w:rPr>
      </w:pPr>
    </w:p>
    <w:p>
      <w:pPr>
        <w:ind w:left="180" w:hanging="172"/>
        <w:spacing w:after="0"/>
        <w:tabs>
          <w:tab w:leader="none" w:pos="18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p>
    <w:p>
      <w:pPr>
        <w:spacing w:after="0" w:line="225" w:lineRule="exact"/>
        <w:rPr>
          <w:rFonts w:ascii="Arial" w:cs="Arial" w:eastAsia="Arial" w:hAnsi="Arial"/>
          <w:sz w:val="18"/>
          <w:szCs w:val="18"/>
          <w:color w:val="auto"/>
        </w:rPr>
      </w:pPr>
    </w:p>
    <w:p>
      <w:pPr>
        <w:ind w:right="60" w:firstLine="464"/>
        <w:spacing w:after="0" w:line="270" w:lineRule="auto"/>
        <w:tabs>
          <w:tab w:leader="none" w:pos="701" w:val="left"/>
        </w:tabs>
        <w:numPr>
          <w:ilvl w:val="1"/>
          <w:numId w:val="216"/>
        </w:numPr>
        <w:rPr>
          <w:rFonts w:ascii="Arial" w:cs="Arial" w:eastAsia="Arial" w:hAnsi="Arial"/>
          <w:sz w:val="17"/>
          <w:szCs w:val="17"/>
          <w:color w:val="auto"/>
        </w:rPr>
      </w:pPr>
      <w:r>
        <w:rPr>
          <w:rFonts w:ascii="Arial" w:cs="Arial" w:eastAsia="Arial" w:hAnsi="Arial"/>
          <w:sz w:val="17"/>
          <w:szCs w:val="17"/>
          <w:u w:val="single" w:color="auto"/>
          <w:color w:val="auto"/>
        </w:rPr>
        <w:t>Mechanics of Exercise</w:t>
      </w:r>
      <w:r>
        <w:rPr>
          <w:rFonts w:ascii="Arial" w:cs="Arial" w:eastAsia="Arial" w:hAnsi="Arial"/>
          <w:sz w:val="17"/>
          <w:szCs w:val="17"/>
          <w:color w:val="auto"/>
        </w:rPr>
        <w:t>. Subject to the terms and conditions hereof (including, without limitation, the limitations set forth in Section 1(f), this Warrant may be exercised by the Holder on any day on or after the Issuance Date and prior to the Expiration Date (an “</w:t>
      </w:r>
      <w:r>
        <w:rPr>
          <w:rFonts w:ascii="Arial" w:cs="Arial" w:eastAsia="Arial" w:hAnsi="Arial"/>
          <w:sz w:val="17"/>
          <w:szCs w:val="17"/>
          <w:b w:val="1"/>
          <w:bCs w:val="1"/>
          <w:color w:val="auto"/>
        </w:rPr>
        <w:t>Exercise Date</w:t>
      </w:r>
      <w:r>
        <w:rPr>
          <w:rFonts w:ascii="Arial" w:cs="Arial" w:eastAsia="Arial" w:hAnsi="Arial"/>
          <w:sz w:val="17"/>
          <w:szCs w:val="17"/>
          <w:color w:val="auto"/>
        </w:rPr>
        <w:t xml:space="preserve">”), in whole or in part, by delivery (whether via electronic mail or otherwise) of a written notice, in the form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Exercise Notice</w:t>
      </w:r>
      <w:r>
        <w:rPr>
          <w:rFonts w:ascii="Arial" w:cs="Arial" w:eastAsia="Arial" w:hAnsi="Arial"/>
          <w:sz w:val="17"/>
          <w:szCs w:val="17"/>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(the “</w:t>
      </w:r>
      <w:r>
        <w:rPr>
          <w:rFonts w:ascii="Arial" w:cs="Arial" w:eastAsia="Arial" w:hAnsi="Arial"/>
          <w:sz w:val="17"/>
          <w:szCs w:val="17"/>
          <w:b w:val="1"/>
          <w:bCs w:val="1"/>
          <w:color w:val="auto"/>
        </w:rPr>
        <w:t>Aggregate Exercise Price</w:t>
      </w:r>
      <w:r>
        <w:rPr>
          <w:rFonts w:ascii="Arial" w:cs="Arial" w:eastAsia="Arial" w:hAnsi="Arial"/>
          <w:sz w:val="17"/>
          <w:szCs w:val="17"/>
          <w:color w:val="auto"/>
        </w:rPr>
        <w:t>”) in cash or via wire transfer of immediately available funds if the Holder did not notify the Company in such Exercise Notice that such exercise was made pursuant to a Cashless Exercise (as defined in Section 1(c)). The Holder shall not be required to deliver the original of this Warrant in order to effect an exercise hereunder. Execution and delivery of an Exercise Notice with respect to less than all of the Warrant Shares shall have the same effect as cancellation of the original of this</w:t>
      </w:r>
    </w:p>
    <w:p>
      <w:pPr>
        <w:sectPr>
          <w:pgSz w:w="11900" w:h="16838" w:orient="portrait"/>
          <w:cols w:equalWidth="0" w:num="1">
            <w:col w:w="11420"/>
          </w:cols>
          <w:pgMar w:left="240" w:top="121" w:right="239" w:bottom="1440" w:gutter="0" w:footer="0" w:header="0"/>
        </w:sectPr>
      </w:pPr>
    </w:p>
    <w:bookmarkStart w:id="219" w:name="page220"/>
    <w:bookmarkEnd w:id="21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or before the first (1</w:t>
      </w:r>
      <w:r>
        <w:rPr>
          <w:rFonts w:ascii="Arial" w:cs="Arial" w:eastAsia="Arial" w:hAnsi="Arial"/>
          <w:sz w:val="13"/>
          <w:szCs w:val="13"/>
          <w:color w:val="auto"/>
        </w:rPr>
        <w:t>st</w:t>
      </w:r>
      <w:r>
        <w:rPr>
          <w:rFonts w:ascii="Arial" w:cs="Arial" w:eastAsia="Arial" w:hAnsi="Arial"/>
          <w:sz w:val="16"/>
          <w:szCs w:val="16"/>
          <w:color w:val="auto"/>
        </w:rPr>
        <w:t xml:space="preserve">) Trading Day following the date on which the Company has received an Exercise Notice, the Company shall transmit by electronic mail an acknowledgment of confirmation of receipt of such Exercise Notice,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which confirmation shall constitute an instruction to the Transfer Agent</w:t>
      </w:r>
      <w:r>
        <w:rPr>
          <w:rFonts w:ascii="Arial" w:cs="Arial" w:eastAsia="Arial" w:hAnsi="Arial"/>
          <w:sz w:val="16"/>
          <w:szCs w:val="16"/>
          <w:b w:val="1"/>
          <w:bCs w:val="1"/>
          <w:color w:val="auto"/>
        </w:rPr>
        <w:t xml:space="preserve"> </w:t>
      </w:r>
      <w:r>
        <w:rPr>
          <w:rFonts w:ascii="Arial" w:cs="Arial" w:eastAsia="Arial" w:hAnsi="Arial"/>
          <w:sz w:val="16"/>
          <w:szCs w:val="16"/>
          <w:color w:val="auto"/>
        </w:rPr>
        <w:t>to process such Exercise Notice in accordance with the terms herein. On or before the third (3</w:t>
      </w:r>
      <w:r>
        <w:rPr>
          <w:rFonts w:ascii="Arial" w:cs="Arial" w:eastAsia="Arial" w:hAnsi="Arial"/>
          <w:sz w:val="13"/>
          <w:szCs w:val="13"/>
          <w:color w:val="auto"/>
        </w:rPr>
        <w:t>rd</w:t>
      </w:r>
      <w:r>
        <w:rPr>
          <w:rFonts w:ascii="Arial" w:cs="Arial" w:eastAsia="Arial" w:hAnsi="Arial"/>
          <w:sz w:val="16"/>
          <w:szCs w:val="16"/>
          <w:color w:val="auto"/>
        </w:rPr>
        <w:t>) Trading Day (or such earlier date as required pursuant to the 1934 Act or other applicable law, rule or regulation for the settlement of a trade of such Warrant Shares initiated on the applicable Exercise Date) following the date on which the Company has received such Exercise Notice (or such earlier date as required pursuant to the 1934 Act or other applicable law, rule or regulation for the settlement of a trade of such Warrant Shares initiated on the applicable Exercise Date), the Company shall (i) 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upon the request of the Holder, credit such aggregate number of Ordinary Shares to which the Holder is entitled pursuant to such exercise to the Holder’s or its designee’s balance account with DTC through its Deposit/Withdrawal at Custodian system, or (ii) if the Transfer Agent is not participating in the DTC Fast Automated Securities Transfer Program, upon the request of the Holder, issue and deliver (via reputable overnight courier) to the address as specified in the Exercise Notice, a certificate, registered in the name of the Holder or its designee, for the number of Ordinary Shares to which the Holder shall be entitled pursuant to such exercise. Upon delivery of an Exercise Notice, the Holder shall be deemed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and upon surrender of this Warrant to the Company by the Holder, then, at the request of the Holder, the Company shall as soon as practicable and in no event later than three (3) 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Ordinary Shares are to be issued upon the exercise of this Warrant, but rather the number of Ordinary Shares to be issued shall be rounded to the nearest whole number. The Company shall pay any and all transfer, stamp, issuance and similar taxes, costs and expenses (including, without limitation, fees and expenses of the Transfer Agent) that may be payable with respect to the issuance of Warrant Shares upon exercise of this Warrant (but not any subsequent transfer of Warrant Shares so issued). Notwithstanding the foregoing, except in the case where an exercise of this Warrant is validly made pursuant to a Cashless Exercise, the Company’s failure to deliver Warrant Shares to the Holder on or prior to the later of (A) three (3) Trading Days after receipt of the applicable Exercise Notice (or such earlier date as required pursuant to the 1934 Act or other applicable law, rule or regulation for the settlement of a trade of such Warrant Shares initiated on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20" w:name="page221"/>
    <w:bookmarkEnd w:id="22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Exercise Date) and (B) one (1) Trading Day after the Company’s receipt of the Aggregate Exercise Price (or valid notice of a Cashless Exercise) (such later date, the “</w:t>
      </w:r>
      <w:r>
        <w:rPr>
          <w:rFonts w:ascii="Arial" w:cs="Arial" w:eastAsia="Arial" w:hAnsi="Arial"/>
          <w:sz w:val="18"/>
          <w:szCs w:val="18"/>
          <w:b w:val="1"/>
          <w:bCs w:val="1"/>
          <w:color w:val="auto"/>
        </w:rPr>
        <w:t>Share Delivery Deadline</w:t>
      </w:r>
      <w:r>
        <w:rPr>
          <w:rFonts w:ascii="Arial" w:cs="Arial" w:eastAsia="Arial" w:hAnsi="Arial"/>
          <w:sz w:val="18"/>
          <w:szCs w:val="18"/>
          <w:color w:val="auto"/>
        </w:rPr>
        <w:t>”) shall not be deemed to be a breach of this Warrant. From the Issuance Date through and including the Expiration Date, the Company shall maintain a transfer agent that participates in the DTC’s Fast Automated Securities Transfer Program. Notwithstanding any other provision in this Agreement, the Holder may elect, at its sole discretion, to receive unregistered Warrant Shares issued in response to an Exercise Notice instead of Warrant Shares (i) registered pursuant to the Existing Registration Statement or a Replacement Registration Statement or (ii) issued pursuant to Section 1(c).</w:t>
      </w:r>
    </w:p>
    <w:p>
      <w:pPr>
        <w:spacing w:after="0" w:line="189" w:lineRule="exact"/>
        <w:rPr>
          <w:sz w:val="20"/>
          <w:szCs w:val="20"/>
          <w:color w:val="auto"/>
        </w:rPr>
      </w:pPr>
    </w:p>
    <w:p>
      <w:pPr>
        <w:ind w:left="720" w:hanging="256"/>
        <w:spacing w:after="0"/>
        <w:tabs>
          <w:tab w:leader="none" w:pos="72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$6.43, subject to adjustment as provided herein.</w:t>
      </w:r>
    </w:p>
    <w:p>
      <w:pPr>
        <w:spacing w:after="0" w:line="229" w:lineRule="exact"/>
        <w:rPr>
          <w:rFonts w:ascii="Arial" w:cs="Arial" w:eastAsia="Arial" w:hAnsi="Arial"/>
          <w:sz w:val="18"/>
          <w:szCs w:val="18"/>
          <w:color w:val="auto"/>
        </w:rPr>
      </w:pPr>
    </w:p>
    <w:p>
      <w:pPr>
        <w:ind w:right="20" w:firstLine="464"/>
        <w:spacing w:after="0" w:line="285" w:lineRule="auto"/>
        <w:tabs>
          <w:tab w:leader="none" w:pos="701"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Share Delivery Deadline, either (I) if the Transfer Agent is not participating in the DTC Fast Automated Securities Transfer Program, to issue and deliver to the Holder (or its designee) a certificate for the number of Warrant Shares to which the Holder is entitled and register such Warrant Shares on the Company’s share register or, if the Transfer Agent is participating in the DTC Fast Automated Securities Transfer Program, to credit the balance account of the Holder or the Holder’s designee with DTC for such number of Warrant Shares to which the Holder is entitled upon the Holder’s exercise of this Warrant (as the case may be) or (II) if the Registration Statement (or prospectus contained therein) covering the issuance of the Warrant Shares that are the subject of the Exercise Notice (the “</w:t>
      </w:r>
      <w:r>
        <w:rPr>
          <w:rFonts w:ascii="Arial" w:cs="Arial" w:eastAsia="Arial" w:hAnsi="Arial"/>
          <w:sz w:val="16"/>
          <w:szCs w:val="16"/>
          <w:b w:val="1"/>
          <w:bCs w:val="1"/>
          <w:color w:val="auto"/>
        </w:rPr>
        <w:t>Unavailable Warrant Shares</w:t>
      </w:r>
      <w:r>
        <w:rPr>
          <w:rFonts w:ascii="Arial" w:cs="Arial" w:eastAsia="Arial" w:hAnsi="Arial"/>
          <w:sz w:val="16"/>
          <w:szCs w:val="16"/>
          <w:color w:val="auto"/>
        </w:rPr>
        <w:t>”) is not available for the issuance of such Unavailable Warrant Shares and the Company fails to promptly (x) so notify the Holder and (y) deliver the Warrant Shares electronically without any restrictive legend by crediting such aggregate number of Warrant Shares to which the Holder is entitled pursuant to such exercise to the Holder’s or its designee’s balance account with DTC through its Deposit/Withdrawal At Custodian system (the event described in the immediately foregoing clause (II) is hereinafter referred as a “</w:t>
      </w:r>
      <w:r>
        <w:rPr>
          <w:rFonts w:ascii="Arial" w:cs="Arial" w:eastAsia="Arial" w:hAnsi="Arial"/>
          <w:sz w:val="16"/>
          <w:szCs w:val="16"/>
          <w:b w:val="1"/>
          <w:bCs w:val="1"/>
          <w:color w:val="auto"/>
        </w:rPr>
        <w:t>Notice Failure</w:t>
      </w:r>
      <w:r>
        <w:rPr>
          <w:rFonts w:ascii="Arial" w:cs="Arial" w:eastAsia="Arial" w:hAnsi="Arial"/>
          <w:sz w:val="16"/>
          <w:szCs w:val="16"/>
          <w:color w:val="auto"/>
        </w:rPr>
        <w:t>” and together with the event described in clause (I) above, a “</w:t>
      </w:r>
      <w:r>
        <w:rPr>
          <w:rFonts w:ascii="Arial" w:cs="Arial" w:eastAsia="Arial" w:hAnsi="Arial"/>
          <w:sz w:val="16"/>
          <w:szCs w:val="16"/>
          <w:b w:val="1"/>
          <w:bCs w:val="1"/>
          <w:color w:val="auto"/>
        </w:rPr>
        <w:t>Delivery Failure</w:t>
      </w:r>
      <w:r>
        <w:rPr>
          <w:rFonts w:ascii="Arial" w:cs="Arial" w:eastAsia="Arial" w:hAnsi="Arial"/>
          <w:sz w:val="16"/>
          <w:szCs w:val="16"/>
          <w:color w:val="auto"/>
        </w:rPr>
        <w:t>”), and if on or after such Share Delivery Deadline the Holder purchases (in an open market transaction or otherwise) Ordinary Shares to deliver in satisfaction of a sale by the Holder of all or any portion of the number of Ordinary Shares issuable upon such exercise that the Holder anticipated receiving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in addition to all other remedies available to the Holder, the Company shall, within three (3) Business Days after the Holder’s request and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as an indemnity for loss hereunder, pay cash to the Holder in an amount equal to the excess (if any) of the Holder’s total purchase price (including brokerage commissions and other out-of-pocket expenses, if any) for the Ordinary Shares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over the product of (A) such number of Warrant Shares multiplied by (B) the lowest Closing Sale Price of the Ordinary Shares on any Trading Day during the period commencing on the date of the applicable Exercise Notice and ending on the date of such issuance and payment under this paragraph (the “</w:t>
      </w:r>
      <w:r>
        <w:rPr>
          <w:rFonts w:ascii="Arial" w:cs="Arial" w:eastAsia="Arial" w:hAnsi="Arial"/>
          <w:sz w:val="16"/>
          <w:szCs w:val="16"/>
          <w:b w:val="1"/>
          <w:bCs w:val="1"/>
          <w:color w:val="auto"/>
        </w:rPr>
        <w:t>Buy-In Payment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21" w:name="page222"/>
    <w:bookmarkEnd w:id="221"/>
    <w:p>
      <w:pPr>
        <w:ind w:right="6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w:t>
      </w:r>
      <w:r>
        <w:rPr>
          <w:rFonts w:ascii="Arial" w:cs="Arial" w:eastAsia="Arial" w:hAnsi="Arial"/>
          <w:sz w:val="17"/>
          <w:szCs w:val="17"/>
          <w:color w:val="auto"/>
        </w:rPr>
        <w:t>”). Nothing shall limit the Holder’s right to pursue any other remedies available to it hereunder, at law or in equity, including, without limitation, a</w:t>
      </w:r>
      <w:r>
        <w:rPr>
          <w:rFonts w:ascii="Arial" w:cs="Arial" w:eastAsia="Arial" w:hAnsi="Arial"/>
          <w:sz w:val="17"/>
          <w:szCs w:val="17"/>
          <w:b w:val="1"/>
          <w:bCs w:val="1"/>
          <w:color w:val="auto"/>
        </w:rPr>
        <w:t xml:space="preserve"> </w:t>
      </w:r>
      <w:r>
        <w:rPr>
          <w:rFonts w:ascii="Arial" w:cs="Arial" w:eastAsia="Arial" w:hAnsi="Arial"/>
          <w:sz w:val="17"/>
          <w:szCs w:val="17"/>
          <w:color w:val="auto"/>
        </w:rPr>
        <w:t>decree of specific performance and/or injunctive relief with respect to the Company’s failure to timely deliver certificates representing Ordinary Shares (or to electronically deliver such Ordinary Shares) upon the exercise of this Warrant as required pursuant to the terms hereof.</w:t>
      </w:r>
    </w:p>
    <w:p>
      <w:pPr>
        <w:spacing w:after="0" w:line="162" w:lineRule="exact"/>
        <w:rPr>
          <w:sz w:val="20"/>
          <w:szCs w:val="20"/>
          <w:color w:val="auto"/>
        </w:rPr>
      </w:pPr>
    </w:p>
    <w:p>
      <w:pPr>
        <w:ind w:right="100" w:firstLine="464"/>
        <w:spacing w:after="0" w:line="273" w:lineRule="auto"/>
        <w:tabs>
          <w:tab w:leader="none" w:pos="711"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(other than Section 1(f) below), if at the time of exercise hereof the Existing Registration Statement (or such other registration statement on Form S-3 that registers the Warrant and the underlying Warrant Shares (a “</w:t>
      </w:r>
      <w:r>
        <w:rPr>
          <w:rFonts w:ascii="Arial" w:cs="Arial" w:eastAsia="Arial" w:hAnsi="Arial"/>
          <w:sz w:val="17"/>
          <w:szCs w:val="17"/>
          <w:b w:val="1"/>
          <w:bCs w:val="1"/>
          <w:color w:val="auto"/>
        </w:rPr>
        <w:t>Replacement Registration Statement</w:t>
      </w:r>
      <w:r>
        <w:rPr>
          <w:rFonts w:ascii="Arial" w:cs="Arial" w:eastAsia="Arial" w:hAnsi="Arial"/>
          <w:sz w:val="17"/>
          <w:szCs w:val="17"/>
          <w:color w:val="auto"/>
        </w:rPr>
        <w:t>”) is not effective (or the prospectus contained therein is not available for use) for the issuance of all of the Warrant Shares,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Warrant Shares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Net Number =</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 x B) - (A x C)</w:t>
            </w:r>
          </w:p>
        </w:tc>
      </w:tr>
      <w:tr>
        <w:trPr>
          <w:trHeight w:val="237"/>
        </w:trPr>
        <w:tc>
          <w:tcPr>
            <w:tcW w:w="13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B</w:t>
            </w:r>
          </w:p>
        </w:tc>
      </w:tr>
    </w:tbl>
    <w:p>
      <w:pPr>
        <w:spacing w:after="0" w:line="10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For purposes of the foregoing formula:</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17" w:lineRule="exact"/>
        <w:rPr>
          <w:sz w:val="20"/>
          <w:szCs w:val="20"/>
          <w:color w:val="auto"/>
        </w:rPr>
      </w:pPr>
    </w:p>
    <w:p>
      <w:pPr>
        <w:ind w:left="920" w:right="160"/>
        <w:spacing w:after="0" w:line="308" w:lineRule="auto"/>
        <w:rPr>
          <w:sz w:val="20"/>
          <w:szCs w:val="20"/>
          <w:color w:val="auto"/>
        </w:rPr>
      </w:pPr>
      <w:r>
        <w:rPr>
          <w:rFonts w:ascii="Arial" w:cs="Arial" w:eastAsia="Arial" w:hAnsi="Arial"/>
          <w:sz w:val="17"/>
          <w:szCs w:val="17"/>
          <w:color w:val="auto"/>
        </w:rPr>
        <w:t>B = the quotient of (x) the sum of the VWAP of the Ordinary Shares of each of the ten (10) Trading Days ending at the close of business on the Principal Market immediately prior to the time of exercise as set forth in the applicable Exercise Notice, divided by (y) ten (10).</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 = the Exercise Price then in effect for the applicable Warrant Shares at the time of such exercise.</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If the Warrant Shares are issued in a Cashless Exercise, the parties acknowledge and agree that in accordance with Section 3(a)(9) of the 1933 Act, the Warrant Shares take on the registered characteristics of the Warrants being exercised. For purposes of Rule 144(d) promulgated under the 1933 Act, as in effect on the Subscription Date, it is intended that the Warrant Shares issued in a Cashless Exercise shall be deemed to have been acquired by the Holder, and the holding period for the Warrant Shares shall be deemed to have commenced, on the date this Warrant was originally issued pursuant to the Subscription Agreement.</w:t>
      </w:r>
    </w:p>
    <w:p>
      <w:pPr>
        <w:spacing w:after="0" w:line="188" w:lineRule="exact"/>
        <w:rPr>
          <w:sz w:val="20"/>
          <w:szCs w:val="20"/>
          <w:color w:val="auto"/>
        </w:rPr>
      </w:pPr>
    </w:p>
    <w:p>
      <w:pPr>
        <w:ind w:right="220" w:firstLine="464"/>
        <w:spacing w:after="0" w:line="264" w:lineRule="auto"/>
        <w:tabs>
          <w:tab w:leader="none" w:pos="701"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222" w:name="page223"/>
    <w:bookmarkEnd w:id="222"/>
    <w:p>
      <w:pPr>
        <w:ind w:left="-40" w:firstLine="464"/>
        <w:spacing w:after="0" w:line="284" w:lineRule="auto"/>
        <w:tabs>
          <w:tab w:leader="none" w:pos="641"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Limitations on Exercises</w:t>
      </w:r>
      <w:r>
        <w:rPr>
          <w:rFonts w:ascii="Arial" w:cs="Arial" w:eastAsia="Arial" w:hAnsi="Arial"/>
          <w:sz w:val="16"/>
          <w:szCs w:val="16"/>
          <w:color w:val="auto"/>
        </w:rPr>
        <w:t>.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Ordinary Shares outstanding immediately after giving effect to such exercise. For purposes of the foregoing sentence, the aggregate number of Ordinary Shares beneficially owned by the Holder and the other Attribution Parties shall include the number of Ordinary Shares held by the Holder and all other Attribution Parties plus the number of Ordinary Shares issuable upon exercise of this Warrant with respect to which the determination of such sentence is being made, but shall exclude Ordinary Shares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shares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1934 Act. For purposes of determining the number of outstanding Ordinary Shares the Holder may acquire upon the exercise of this Warrant without exceeding the Maximum Percentage, the Holder may rely on the number of outstanding Ordinary Shares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Ordinary Shares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If the Company receives an Exercise Notice from the Holder at a time when the actual number of outstanding Ordinary Shares is less than the Reported Outstanding Share Number, the Company shall (i) notify the Holder in writing of the number of Ordinary Shares then outstanding and, to the extent that such Exercise Notice would otherwise cause the Holder’s beneficial ownership, as determined pursuant to this Section 1(f)(i), to exceed the Maximum Percentage, the Holder must notify the Company of a reduced number of Warrant Shares to be acquired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Ordinary Shares then outstanding. In any case, the number of outstanding Ordinary Shares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Ordinary Shares to the Holder upon exercise of this Warrant results in the Holder and the other Attribution Parties being deemed to beneficially own, in the aggregate, more than the Maximum Percentage of the number of outstanding Ordinary Shares (as determined under Section 13(d) of the 1934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shall be automatically and immediately, without further action on the part of the Holder or the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274" w:right="259" w:bottom="1440" w:gutter="0" w:footer="0" w:header="0"/>
        </w:sectPr>
      </w:pPr>
    </w:p>
    <w:bookmarkStart w:id="223" w:name="page224"/>
    <w:bookmarkEnd w:id="22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surrendered to the Company for no valuable consideration and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w:t>
      </w:r>
      <w:r>
        <w:rPr>
          <w:rFonts w:ascii="Arial" w:cs="Arial" w:eastAsia="Arial" w:hAnsi="Arial"/>
          <w:sz w:val="13"/>
          <w:szCs w:val="13"/>
          <w:color w:val="auto"/>
        </w:rPr>
        <w:t>st</w:t>
      </w:r>
      <w:r>
        <w:rPr>
          <w:rFonts w:ascii="Arial" w:cs="Arial" w:eastAsia="Arial" w:hAnsi="Arial"/>
          <w:sz w:val="16"/>
          <w:szCs w:val="16"/>
          <w:color w:val="auto"/>
        </w:rPr>
        <w:t>) day after delivery of such notice) or decrease the Maximum Percentage to any other percentage not in excess of 9.99% as specified in such notice; provided that (i) any such increase in the Maximum Percentage will not be effective until the sixty-first (61</w:t>
      </w:r>
      <w:r>
        <w:rPr>
          <w:rFonts w:ascii="Arial" w:cs="Arial" w:eastAsia="Arial" w:hAnsi="Arial"/>
          <w:sz w:val="13"/>
          <w:szCs w:val="13"/>
          <w:color w:val="auto"/>
        </w:rPr>
        <w:t>st</w:t>
      </w:r>
      <w:r>
        <w:rPr>
          <w:rFonts w:ascii="Arial" w:cs="Arial" w:eastAsia="Arial" w:hAnsi="Arial"/>
          <w:sz w:val="16"/>
          <w:szCs w:val="16"/>
          <w:color w:val="auto"/>
        </w:rPr>
        <w:t>) day after such notice is delivered to the Company and (ii) any such increase or decrease will apply only to the Holder and the other Attribution Parties. For purposes of clarity, the Ordinary Shares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1(f)(i) to the extent necessary to correct this paragraph or any portion of this paragraph which may be defective or inconsistent with the intended beneficial ownership limitation contained in this Section 1(f)(i) or to make changes or supplements necessary or desirable to properly give effect to such limitation. The limitation contained in this paragraph may not be waived and shall apply to a successor holder of this Warrant.</w:t>
      </w:r>
    </w:p>
    <w:p>
      <w:pPr>
        <w:spacing w:after="0" w:line="175" w:lineRule="exact"/>
        <w:rPr>
          <w:sz w:val="20"/>
          <w:szCs w:val="20"/>
          <w:color w:val="auto"/>
        </w:rPr>
      </w:pPr>
    </w:p>
    <w:p>
      <w:pPr>
        <w:ind w:left="720" w:hanging="256"/>
        <w:spacing w:after="0"/>
        <w:tabs>
          <w:tab w:leader="none" w:pos="72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00" w:firstLine="443"/>
        <w:spacing w:after="0" w:line="290" w:lineRule="auto"/>
        <w:tabs>
          <w:tab w:leader="none" w:pos="1113"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Required Reserve Amount</w:t>
      </w:r>
      <w:r>
        <w:rPr>
          <w:rFonts w:ascii="Arial" w:cs="Arial" w:eastAsia="Arial" w:hAnsi="Arial"/>
          <w:sz w:val="16"/>
          <w:szCs w:val="16"/>
          <w:color w:val="auto"/>
        </w:rPr>
        <w:t>. So long as this Warrant remains outstanding, the Company shall at all times keep reserved for issuance under this Warrant a number of Ordinary Shares at least equal to 100% of the maximum number of Ordinary Shares as shall be necessary to satisfy the Company’s obligation to issue Ordinary Shares under the Warrant (without regard to any limitations on exercise)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provided that at no time shall the number of Ordinary Shares reserved pursuant to this Section 1(g)(i) be reduced other than proportionally in connection with any exercise or redemption of Registered Warrants or such other event covered by Section 2(a) below. The Required Reserve Amount (including, without limitation, each increase in the number of shares so reserved) shall be allocated pro rata among the holders of the Registered Warrants based on number of Ordinary Shares issuable upon exercise of Registered Warrants held by each holder on the Closing Date (without regard to any limitations on exercise) or increase in the number of reserved shares, as the case may be (the “</w:t>
      </w:r>
      <w:r>
        <w:rPr>
          <w:rFonts w:ascii="Arial" w:cs="Arial" w:eastAsia="Arial" w:hAnsi="Arial"/>
          <w:sz w:val="16"/>
          <w:szCs w:val="16"/>
          <w:b w:val="1"/>
          <w:bCs w:val="1"/>
          <w:color w:val="auto"/>
        </w:rPr>
        <w:t>Authorized Share Allocation</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460" w:right="60" w:firstLine="443"/>
        <w:spacing w:after="0" w:line="259" w:lineRule="auto"/>
        <w:tabs>
          <w:tab w:leader="none" w:pos="1163"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Insufficient Authorized Shares</w:t>
      </w:r>
      <w:r>
        <w:rPr>
          <w:rFonts w:ascii="Arial" w:cs="Arial" w:eastAsia="Arial" w:hAnsi="Arial"/>
          <w:sz w:val="18"/>
          <w:szCs w:val="18"/>
          <w:color w:val="auto"/>
        </w:rPr>
        <w:t>. If, notwithstanding Section 1(g)(i) above, and not in limitation thereof, at any time while any portion of the Warrant remains outstanding, the Company does not have a sufficient number of authorized and unreserved Ordinary Shares to satisfy its obligation to reserve the Required Reserve Amount (an “</w:t>
      </w:r>
      <w:r>
        <w:rPr>
          <w:rFonts w:ascii="Arial" w:cs="Arial" w:eastAsia="Arial" w:hAnsi="Arial"/>
          <w:sz w:val="18"/>
          <w:szCs w:val="18"/>
          <w:b w:val="1"/>
          <w:bCs w:val="1"/>
          <w:color w:val="auto"/>
        </w:rPr>
        <w:t>Authorized Share Failure</w:t>
      </w:r>
      <w:r>
        <w:rPr>
          <w:rFonts w:ascii="Arial" w:cs="Arial" w:eastAsia="Arial" w:hAnsi="Arial"/>
          <w:sz w:val="18"/>
          <w:szCs w:val="18"/>
          <w:color w:val="auto"/>
        </w:rPr>
        <w:t>”), then the Company shall immediately take all action necessary to increase the Company’s authorized Ordinary Shares to an amount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24" w:name="page225"/>
    <w:bookmarkEnd w:id="224"/>
    <w:p>
      <w:pPr>
        <w:ind w:left="452"/>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sufficient to allow the Company to reserve the Required Reserve Amount for the portion of the Warrant then outstanding. Without limiting the</w:t>
      </w:r>
    </w:p>
    <w:p>
      <w:pPr>
        <w:spacing w:after="0" w:line="35" w:lineRule="exact"/>
        <w:rPr>
          <w:sz w:val="20"/>
          <w:szCs w:val="20"/>
          <w:color w:val="auto"/>
        </w:rPr>
      </w:pPr>
    </w:p>
    <w:p>
      <w:pPr>
        <w:ind w:left="452"/>
        <w:spacing w:after="0"/>
        <w:rPr>
          <w:sz w:val="20"/>
          <w:szCs w:val="20"/>
          <w:color w:val="auto"/>
        </w:rPr>
      </w:pPr>
      <w:r>
        <w:rPr>
          <w:rFonts w:ascii="Arial" w:cs="Arial" w:eastAsia="Arial" w:hAnsi="Arial"/>
          <w:sz w:val="16"/>
          <w:szCs w:val="16"/>
          <w:color w:val="auto"/>
        </w:rPr>
        <w:t>generality of the foregoing sentence, as soon as practicable after the date of the occurrence of an Authorized Share Failure, but in no event later than</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one hundred and eighty (180) days after the occurrence of such Authorized Share Failure, the Company shall hold a meeting of its shareholders for the</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approval of an increase in the number of authorized Ordinary Shares. In connection with such meeting, the Company shall provide each shareholder</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with a proxy statement and shall use its best efforts to solicit its shareholders’ approval of such increase in authorized Ordinary Shares and to cause its</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board of directors to recommend to the shareholders that they approve such proposal, subject to all applicable fiduciary duties owed by such directors.</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In the event that the Company is prohibited from issuing Ordinary Shares upon an exercise of this Warrant due to the failure by the Company to have</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7"/>
          <w:szCs w:val="17"/>
          <w:color w:val="auto"/>
        </w:rPr>
        <w:t>sufficient Ordinary Shares available out of the authorized but unissued Ordinary Shares (such unavailable number of Ordinary Shares, the</w:t>
      </w:r>
    </w:p>
    <w:p>
      <w:pPr>
        <w:spacing w:after="0" w:line="21" w:lineRule="exact"/>
        <w:rPr>
          <w:sz w:val="20"/>
          <w:szCs w:val="20"/>
          <w:color w:val="auto"/>
        </w:rPr>
      </w:pPr>
    </w:p>
    <w:p>
      <w:pPr>
        <w:ind w:left="45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in lieu of delivering such Authorization Failure Shares to the Holder, the Company shall pay cash in exchange for</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the cancellation of such portion of this Warrant exercisable into such Authorization Failure Shares at a price equal to the sum of (i) the product of (x)</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such number of Authorization Failure Shares and (y) the greatest Closing Sale Price of the Ordinary Shares on any Trading Day during the period</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commencing on the date the Holder delivers the applicable Exercise Notice with respect to such Authorization Failure Shares to the Company and</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ending on the date of such issuance and payment under this Section 1(g); and (ii) to the extent the Holder purchases (in an open market transaction or</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otherwise) Ordinary Shares to deliver in satisfaction of a sale by the Holder of Authorization Failure Shares, any Buy-In Payment Amount, brokerage</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commissions and other out-of-pocket expenses, if any, of the Holder incurred in connection therewith. Nothing contained in this Section 1(g)(ii) shall</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limit any obligations of the Company under any provision of the Subscription Agreement.</w:t>
      </w:r>
    </w:p>
    <w:p>
      <w:pPr>
        <w:spacing w:after="0" w:line="211" w:lineRule="exact"/>
        <w:rPr>
          <w:sz w:val="20"/>
          <w:szCs w:val="20"/>
          <w:color w:val="auto"/>
        </w:rPr>
      </w:pPr>
    </w:p>
    <w:p>
      <w:pPr>
        <w:ind w:left="-8" w:right="340" w:firstLine="8"/>
        <w:spacing w:after="0" w:line="277" w:lineRule="auto"/>
        <w:tabs>
          <w:tab w:leader="none" w:pos="172"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left="-8" w:firstLine="464"/>
        <w:spacing w:after="0" w:line="270" w:lineRule="auto"/>
        <w:tabs>
          <w:tab w:leader="none" w:pos="693" w:val="left"/>
        </w:tabs>
        <w:numPr>
          <w:ilvl w:val="1"/>
          <w:numId w:val="222"/>
        </w:numPr>
        <w:rPr>
          <w:rFonts w:ascii="Arial" w:cs="Arial" w:eastAsia="Arial" w:hAnsi="Arial"/>
          <w:sz w:val="17"/>
          <w:szCs w:val="17"/>
          <w:color w:val="auto"/>
        </w:rPr>
      </w:pPr>
      <w:r>
        <w:rPr>
          <w:rFonts w:ascii="Arial" w:cs="Arial" w:eastAsia="Arial" w:hAnsi="Arial"/>
          <w:sz w:val="17"/>
          <w:szCs w:val="17"/>
          <w:u w:val="single" w:color="auto"/>
          <w:color w:val="auto"/>
        </w:rPr>
        <w:t>Share Dividends and Splits</w:t>
      </w:r>
      <w:r>
        <w:rPr>
          <w:rFonts w:ascii="Arial" w:cs="Arial" w:eastAsia="Arial" w:hAnsi="Arial"/>
          <w:sz w:val="17"/>
          <w:szCs w:val="17"/>
          <w:color w:val="auto"/>
        </w:rPr>
        <w:t>. Without limiting any provision of Section 2(b), Section 3 or Section 4, if the Company, at any time on or after the Subscription Date, (i) pays a share dividend on one or more classes of its then outstanding Ordinary Shares or otherwise makes a distribution on any class of share capital that is payable in Ordinary Shares, (ii) subdivides (by any share split, share dividend, recapitalization or otherwise) one or more classes of its then outstanding Ordinary Shares into a larger number of shares or (iii) combines (by combination, reverse share split or otherwise) one or more classes of its then outstanding Ordinary Shares into a smaller number of shares, then in each such case the Exercise Price shall be multiplied by a fraction of which the numerator shall be the number of Ordinary Shares outstanding immediately before such event and of which the denominator shall be the number of Ordinary Shares outstanding immediately after such event.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w:t>
      </w:r>
    </w:p>
    <w:p>
      <w:pPr>
        <w:spacing w:after="0" w:line="11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52"/>
          </w:cols>
          <w:pgMar w:left="248" w:top="274" w:right="299" w:bottom="1440" w:gutter="0" w:footer="0" w:header="0"/>
        </w:sectPr>
      </w:pPr>
    </w:p>
    <w:bookmarkStart w:id="225" w:name="page226"/>
    <w:bookmarkEnd w:id="225"/>
    <w:p>
      <w:pPr>
        <w:ind w:right="6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47" w:lineRule="exact"/>
        <w:rPr>
          <w:sz w:val="20"/>
          <w:szCs w:val="20"/>
          <w:color w:val="auto"/>
        </w:rPr>
      </w:pPr>
    </w:p>
    <w:p>
      <w:pPr>
        <w:ind w:right="20" w:firstLine="464"/>
        <w:spacing w:after="0" w:line="291" w:lineRule="auto"/>
        <w:tabs>
          <w:tab w:leader="none" w:pos="711"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Adjustment Upon Issuance of Ordinary Shares</w:t>
      </w:r>
      <w:r>
        <w:rPr>
          <w:rFonts w:ascii="Arial" w:cs="Arial" w:eastAsia="Arial" w:hAnsi="Arial"/>
          <w:sz w:val="16"/>
          <w:szCs w:val="16"/>
          <w:color w:val="auto"/>
        </w:rPr>
        <w:t>. If and whenever on or after the Subscription Date, the Company issues or sells, or in accordance with this Section 2 is deemed to have issued or sold, any Ordinary Shares (including the issuance or sale of Ordinary Shares owned or held by or for the account of the Company, but excluding any Excluded Securities issued or sold or deemed to have been issued or sold) for a consideration per share (the “</w:t>
      </w:r>
      <w:r>
        <w:rPr>
          <w:rFonts w:ascii="Arial" w:cs="Arial" w:eastAsia="Arial" w:hAnsi="Arial"/>
          <w:sz w:val="16"/>
          <w:szCs w:val="16"/>
          <w:b w:val="1"/>
          <w:bCs w:val="1"/>
          <w:color w:val="auto"/>
        </w:rPr>
        <w:t>New</w:t>
      </w:r>
      <w:r>
        <w:rPr>
          <w:rFonts w:ascii="Arial" w:cs="Arial" w:eastAsia="Arial" w:hAnsi="Arial"/>
          <w:sz w:val="16"/>
          <w:szCs w:val="16"/>
          <w:color w:val="auto"/>
        </w:rPr>
        <w:t xml:space="preserve"> </w:t>
      </w:r>
      <w:r>
        <w:rPr>
          <w:rFonts w:ascii="Arial" w:cs="Arial" w:eastAsia="Arial" w:hAnsi="Arial"/>
          <w:sz w:val="16"/>
          <w:szCs w:val="16"/>
          <w:b w:val="1"/>
          <w:bCs w:val="1"/>
          <w:color w:val="auto"/>
        </w:rPr>
        <w:t>Issuance Price</w:t>
      </w:r>
      <w:r>
        <w:rPr>
          <w:rFonts w:ascii="Arial" w:cs="Arial" w:eastAsia="Arial" w:hAnsi="Arial"/>
          <w:sz w:val="16"/>
          <w:szCs w:val="16"/>
          <w:color w:val="auto"/>
        </w:rPr>
        <w:t>”) less than a price equal to the Exercise Price in effect immediately prior to such issuance or sale or deemed issuance or sale (such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Price then in effect is referred to herein as the “</w:t>
      </w:r>
      <w:r>
        <w:rPr>
          <w:rFonts w:ascii="Arial" w:cs="Arial" w:eastAsia="Arial" w:hAnsi="Arial"/>
          <w:sz w:val="16"/>
          <w:szCs w:val="16"/>
          <w:b w:val="1"/>
          <w:bCs w:val="1"/>
          <w:color w:val="auto"/>
        </w:rPr>
        <w:t>Applicable Price</w:t>
      </w:r>
      <w:r>
        <w:rPr>
          <w:rFonts w:ascii="Arial" w:cs="Arial" w:eastAsia="Arial" w:hAnsi="Arial"/>
          <w:sz w:val="16"/>
          <w:szCs w:val="16"/>
          <w:color w:val="auto"/>
        </w:rPr>
        <w:t>”) (the foregoing a “</w:t>
      </w:r>
      <w:r>
        <w:rPr>
          <w:rFonts w:ascii="Arial" w:cs="Arial" w:eastAsia="Arial" w:hAnsi="Arial"/>
          <w:sz w:val="16"/>
          <w:szCs w:val="16"/>
          <w:b w:val="1"/>
          <w:bCs w:val="1"/>
          <w:color w:val="auto"/>
        </w:rPr>
        <w:t>Dilutive Issuance</w:t>
      </w:r>
      <w:r>
        <w:rPr>
          <w:rFonts w:ascii="Arial" w:cs="Arial" w:eastAsia="Arial" w:hAnsi="Arial"/>
          <w:sz w:val="16"/>
          <w:szCs w:val="16"/>
          <w:color w:val="auto"/>
        </w:rPr>
        <w:t>”), then immediately after such Dilutive Issuance, the Exercise Price then in effect shall be reduced to an amount equal to the New Issuance Price. For all purposes of the foregoing (including, without limitation, determining the adjusted Exercise Price and the New Issuance Price under this Section 2(b)), the following shall be applicable:</w:t>
      </w:r>
    </w:p>
    <w:p>
      <w:pPr>
        <w:spacing w:after="0" w:line="59" w:lineRule="exact"/>
        <w:rPr>
          <w:rFonts w:ascii="Arial" w:cs="Arial" w:eastAsia="Arial" w:hAnsi="Arial"/>
          <w:sz w:val="16"/>
          <w:szCs w:val="16"/>
          <w:color w:val="auto"/>
        </w:rPr>
      </w:pPr>
    </w:p>
    <w:p>
      <w:pPr>
        <w:ind w:left="460" w:firstLine="443"/>
        <w:spacing w:after="0" w:line="267" w:lineRule="auto"/>
        <w:tabs>
          <w:tab w:leader="none" w:pos="1113" w:val="left"/>
        </w:tabs>
        <w:numPr>
          <w:ilvl w:val="1"/>
          <w:numId w:val="223"/>
        </w:numPr>
        <w:rPr>
          <w:rFonts w:ascii="Arial" w:cs="Arial" w:eastAsia="Arial" w:hAnsi="Arial"/>
          <w:sz w:val="17"/>
          <w:szCs w:val="17"/>
          <w:color w:val="auto"/>
        </w:rPr>
      </w:pPr>
      <w:r>
        <w:rPr>
          <w:rFonts w:ascii="Arial" w:cs="Arial" w:eastAsia="Arial" w:hAnsi="Arial"/>
          <w:sz w:val="17"/>
          <w:szCs w:val="17"/>
          <w:u w:val="single" w:color="auto"/>
          <w:color w:val="auto"/>
        </w:rPr>
        <w:t>Issuance of Options</w:t>
      </w:r>
      <w:r>
        <w:rPr>
          <w:rFonts w:ascii="Arial" w:cs="Arial" w:eastAsia="Arial" w:hAnsi="Arial"/>
          <w:sz w:val="17"/>
          <w:szCs w:val="17"/>
          <w:color w:val="auto"/>
        </w:rPr>
        <w:t>. If the Company in any manner grants or sells any Options and the lowest price per share for which one Ordinary Share is at any time issuable upon the exercise of any such Option or upon conversion, exercise or exchange of any Convertible Securities issuable upon exercise of any such Option or otherwise pursuant to the terms thereof is less than the Applicable Price, then such Ordinary Share shall be deemed to be outstanding and to have been issued and sold by the Company at the time of the granting or sale of such Option for such price per share. For purposes of this Section 2(b)(i), the “lowest price per share for which one Ordinary Share is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Ordinary Share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Ordinary Share is issuable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adjustment of the Exercise Price shall be made upon the actual issuance of such Ordinary Shares or of such Convertible Securities upon the exercise of such Options or otherwise pursuant to the terms of or upon the actual issuance of such Ordinary Shares upon conversion, exercise or exchange of such Convertible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26" w:name="page227"/>
    <w:bookmarkEnd w:id="226"/>
    <w:p>
      <w:pPr>
        <w:ind w:firstLine="443"/>
        <w:spacing w:after="0" w:line="286" w:lineRule="auto"/>
        <w:tabs>
          <w:tab w:leader="none" w:pos="703"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Issuance of Convertible Securities</w:t>
      </w:r>
      <w:r>
        <w:rPr>
          <w:rFonts w:ascii="Arial" w:cs="Arial" w:eastAsia="Arial" w:hAnsi="Arial"/>
          <w:sz w:val="16"/>
          <w:szCs w:val="16"/>
          <w:color w:val="auto"/>
        </w:rPr>
        <w:t>. If the Company in any manner issues or sells any Convertible Securities and the lowest price per share for which one Ordinary Share is at any time issuable upon the conversion, exercise or exchange thereof or otherwise pursuant to the terms thereof is less than the Applicable Price, then such Ordinary Share shall be deemed to be outstanding and to have been issued and sold by the Company at the time of the issuance or sale of such Convertible Securities for such price per share. For the purposes of this Section 2(b)(ii), the “lowest price per share for which one Ordinary Share is issuable upon the conversion, exercise or exchange thereof or otherwise pursuant to the terms thereof” shall be equal to (1) the lower of (x) the sum of the lowest amounts of consideration (if any) received or receivable by the Company with respect to one Ordinary Share upon the issuance or sale of the Convertible Security and upon conversion, exercise or exchange of such Convertible Security or otherwise pursuant to the terms thereof and (y) the lowest conversion price set forth in such Convertible Security for which one Ordinary Share is issuable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adjustment of the Exercise Price shall be made upon the actual issuance of such Ordinary Shares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adjustment of the Exercise Price shall be made by reason of such issuance or sale.</w:t>
      </w:r>
    </w:p>
    <w:p>
      <w:pPr>
        <w:spacing w:after="0" w:line="60" w:lineRule="exact"/>
        <w:rPr>
          <w:rFonts w:ascii="Arial" w:cs="Arial" w:eastAsia="Arial" w:hAnsi="Arial"/>
          <w:sz w:val="16"/>
          <w:szCs w:val="16"/>
          <w:color w:val="auto"/>
        </w:rPr>
      </w:pPr>
    </w:p>
    <w:p>
      <w:pPr>
        <w:ind w:firstLine="443"/>
        <w:spacing w:after="0" w:line="269" w:lineRule="auto"/>
        <w:tabs>
          <w:tab w:leader="none" w:pos="753"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Change in Option Price or Rate of Conversion</w:t>
      </w:r>
      <w:r>
        <w:rPr>
          <w:rFonts w:ascii="Arial" w:cs="Arial" w:eastAsia="Arial" w:hAnsi="Arial"/>
          <w:sz w:val="17"/>
          <w:szCs w:val="17"/>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Ordinary Shares increases or decreases at any time (other than proportional changes in conversion or exercise prices, as applicable, in connection with an event referred to in Section 2(a)),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Subscription Date are increased or decreased in the manner described in the immediately preceding sentence, then such Option or Convertible Security and the Ordinary Shares deemed issuable upon exercise, conversion or exchange thereof shall be deemed to have been issued as of the date of such increase or decrease. No adjustment pursuant to this Section 2(b) shall be made if such adjustment would result in an increase of the Exercise Price then in effect.</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227" w:name="page228"/>
    <w:bookmarkEnd w:id="227"/>
    <w:p>
      <w:pPr>
        <w:ind w:firstLine="443"/>
        <w:spacing w:after="0" w:line="284" w:lineRule="auto"/>
        <w:tabs>
          <w:tab w:leader="none" w:pos="743"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Calculation of Consideration Received</w:t>
      </w:r>
      <w:r>
        <w:rPr>
          <w:rFonts w:ascii="Arial" w:cs="Arial" w:eastAsia="Arial" w:hAnsi="Arial"/>
          <w:sz w:val="16"/>
          <w:szCs w:val="16"/>
          <w:color w:val="auto"/>
        </w:rPr>
        <w:t>. If any Option and/or Convertible Security and/or Adjustment Right is issued in connection with the issuance or sale or deemed issuance or sale of any other securities of the Company (as determined by the Holder, the “</w:t>
      </w:r>
      <w:r>
        <w:rPr>
          <w:rFonts w:ascii="Arial" w:cs="Arial" w:eastAsia="Arial" w:hAnsi="Arial"/>
          <w:sz w:val="16"/>
          <w:szCs w:val="16"/>
          <w:b w:val="1"/>
          <w:bCs w:val="1"/>
          <w:color w:val="auto"/>
        </w:rPr>
        <w:t>Primary Security</w:t>
      </w:r>
      <w:r>
        <w:rPr>
          <w:rFonts w:ascii="Arial" w:cs="Arial" w:eastAsia="Arial" w:hAnsi="Arial"/>
          <w:sz w:val="16"/>
          <w:szCs w:val="16"/>
          <w:color w:val="auto"/>
        </w:rPr>
        <w:t>”, and such Option and/or Convertible Security and/or Adjustment Right, the “</w:t>
      </w:r>
      <w:r>
        <w:rPr>
          <w:rFonts w:ascii="Arial" w:cs="Arial" w:eastAsia="Arial" w:hAnsi="Arial"/>
          <w:sz w:val="16"/>
          <w:szCs w:val="16"/>
          <w:b w:val="1"/>
          <w:bCs w:val="1"/>
          <w:color w:val="auto"/>
        </w:rPr>
        <w:t>Secondary Securities</w:t>
      </w:r>
      <w:r>
        <w:rPr>
          <w:rFonts w:ascii="Arial" w:cs="Arial" w:eastAsia="Arial" w:hAnsi="Arial"/>
          <w:sz w:val="16"/>
          <w:szCs w:val="16"/>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Ordinary Share with respect to such Primary Security shall be deemed to be equal to the difference of (x) the lowest price per share for which one Ordinary Share was issued (or was deemed to be issued pursuant to Section 2(b)(i) or 2(b)(ii) above, as applicable) in such integrated transaction solely with respect to such Primary Security, minus (y) with respect to such Secondary Securities, the sum of (I) the Option Value of each such Option, if any, (II) the fair market value (as determined by the Holder in good faith) or the Option Value, as applicable, of such Adjustment Right, if any, and (III) the fair market value (as determined by the Holder) of such Convertible Security, if any, in each case, as determined on a per share basis in accordance with this Section 2(b)(iv). If any Ordinary Shares, Options or Convertible Securities are issued or sold or deemed to have been issued or sold for cash, the consideration received therefor (for the purpose of determining the consideration paid for such Ordinary Shares, Option or Convertible Security, but not for the purpose of the calculation of the Option Value) will be deemed to be the net amount of consideration received by the Company therefor. If any Ordinary Shares, Options or Convertible Securities are issued or sold for a consideration other than cash, the amount of such consideration received by the Company (for the purpose of determining the consideration paid for such Ordinary Shares, Option or Convertible Security, but not for the purpose of the calculation of the Option Value)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Ordinary Shares, Options or Convertible Securities are issued to the owners of the non-surviving entity in connection with any merger in which the Company is the surviving entity, the amount of consideration therefor (for the purpose of determining the consideration paid for such Ordinary Shares, Option or Convertible Security, but not for the purpose of the calculation of the Option Value) will be deemed to be the fair value of such portion of the net assets and business of the non-surviving entity as is attributable to such Ordinary Shares,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Arial" w:cs="Arial" w:eastAsia="Arial" w:hAnsi="Arial"/>
          <w:sz w:val="16"/>
          <w:szCs w:val="16"/>
          <w:b w:val="1"/>
          <w:bCs w:val="1"/>
          <w:color w:val="auto"/>
        </w:rPr>
        <w:t>Valuation Event</w:t>
      </w:r>
      <w:r>
        <w:rPr>
          <w:rFonts w:ascii="Arial" w:cs="Arial" w:eastAsia="Arial" w:hAnsi="Arial"/>
          <w:sz w:val="16"/>
          <w:szCs w:val="16"/>
          <w:color w:val="auto"/>
        </w:rPr>
        <w:t>”), the fair value of such consideration will be determined within five (5) Trading Days after the tenth (10</w:t>
      </w:r>
      <w:r>
        <w:rPr>
          <w:rFonts w:ascii="Arial" w:cs="Arial" w:eastAsia="Arial" w:hAnsi="Arial"/>
          <w:sz w:val="13"/>
          <w:szCs w:val="13"/>
          <w:color w:val="auto"/>
        </w:rPr>
        <w:t>th</w:t>
      </w:r>
      <w:r>
        <w:rPr>
          <w:rFonts w:ascii="Arial" w:cs="Arial" w:eastAsia="Arial" w:hAnsi="Arial"/>
          <w:sz w:val="16"/>
          <w:szCs w:val="16"/>
          <w:color w:val="auto"/>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63" w:lineRule="exact"/>
        <w:rPr>
          <w:rFonts w:ascii="Arial" w:cs="Arial" w:eastAsia="Arial" w:hAnsi="Arial"/>
          <w:sz w:val="16"/>
          <w:szCs w:val="16"/>
          <w:color w:val="auto"/>
        </w:rPr>
      </w:pPr>
    </w:p>
    <w:p>
      <w:pPr>
        <w:ind w:firstLine="443"/>
        <w:spacing w:after="0" w:line="257" w:lineRule="auto"/>
        <w:tabs>
          <w:tab w:leader="none" w:pos="693"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If the Company takes a record of the holders of Ordinary Shares for the purpose of entitling them (A) to receive a dividend or other distribution payable in Ordinary Shares, Options or in Convertible Securities or (B) to subscribe for or purchase Ordinary Shares, Options or Convertible Securities, then such record date will be deemed to be the date of the issuance or sale of the Ordinary Shares deemed to have been issued or sold upon the declaration of such dividend or the making of such other distribution or the date of the granting of such right of subscription or purchase (as the case may be).</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228" w:name="page229"/>
    <w:bookmarkEnd w:id="228"/>
    <w:p>
      <w:pPr>
        <w:ind w:left="-8" w:firstLine="464"/>
        <w:spacing w:after="0" w:line="259" w:lineRule="auto"/>
        <w:tabs>
          <w:tab w:leader="none" w:pos="693"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of Warrant Shares</w:t>
      </w:r>
      <w:r>
        <w:rPr>
          <w:rFonts w:ascii="Arial" w:cs="Arial" w:eastAsia="Arial" w:hAnsi="Arial"/>
          <w:sz w:val="18"/>
          <w:szCs w:val="18"/>
          <w:color w:val="auto"/>
        </w:rPr>
        <w:t>. Simultaneously with any adjustment to the Exercise Price pursuant to Sections 2(a),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86" w:lineRule="exact"/>
        <w:rPr>
          <w:rFonts w:ascii="Arial" w:cs="Arial" w:eastAsia="Arial" w:hAnsi="Arial"/>
          <w:sz w:val="18"/>
          <w:szCs w:val="18"/>
          <w:color w:val="auto"/>
        </w:rPr>
      </w:pPr>
    </w:p>
    <w:p>
      <w:pPr>
        <w:ind w:left="-8" w:firstLine="464"/>
        <w:spacing w:after="0" w:line="270" w:lineRule="auto"/>
        <w:tabs>
          <w:tab w:leader="none" w:pos="703" w:val="left"/>
        </w:tabs>
        <w:numPr>
          <w:ilvl w:val="1"/>
          <w:numId w:val="226"/>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(as defined in the Subscription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share appreciation rights, phantom share rights or other rights with equity features but excluding the issuance of Excluded Securities),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2(d) will increase the Exercise Price or decrease the number of Warrant Shares as otherwise determined pursuant to this Section 2,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spacing w:after="0" w:line="177" w:lineRule="exact"/>
        <w:rPr>
          <w:rFonts w:ascii="Arial" w:cs="Arial" w:eastAsia="Arial" w:hAnsi="Arial"/>
          <w:sz w:val="17"/>
          <w:szCs w:val="17"/>
          <w:color w:val="auto"/>
        </w:rPr>
      </w:pPr>
    </w:p>
    <w:p>
      <w:pPr>
        <w:jc w:val="both"/>
        <w:ind w:left="-8" w:right="20" w:firstLine="464"/>
        <w:spacing w:after="0" w:line="264" w:lineRule="auto"/>
        <w:tabs>
          <w:tab w:leader="none" w:pos="693"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cent or the nearest 1/100</w:t>
      </w:r>
      <w:r>
        <w:rPr>
          <w:rFonts w:ascii="Arial" w:cs="Arial" w:eastAsia="Arial" w:hAnsi="Arial"/>
          <w:sz w:val="15"/>
          <w:szCs w:val="15"/>
          <w:color w:val="auto"/>
        </w:rPr>
        <w:t>th</w:t>
      </w:r>
      <w:r>
        <w:rPr>
          <w:rFonts w:ascii="Arial" w:cs="Arial" w:eastAsia="Arial" w:hAnsi="Arial"/>
          <w:sz w:val="18"/>
          <w:szCs w:val="18"/>
          <w:color w:val="auto"/>
        </w:rPr>
        <w:t xml:space="preserve"> of a share, as applicable. The number of Ordinary Shares outstanding at any given time shall not include shares owned or held by or for the account of the Company, and the disposition of any such shares shall be considered an issuance or sale of Ordinary Shares.</w:t>
      </w:r>
    </w:p>
    <w:p>
      <w:pPr>
        <w:spacing w:after="0" w:line="289" w:lineRule="exact"/>
        <w:rPr>
          <w:rFonts w:ascii="Arial" w:cs="Arial" w:eastAsia="Arial" w:hAnsi="Arial"/>
          <w:sz w:val="18"/>
          <w:szCs w:val="18"/>
          <w:color w:val="auto"/>
        </w:rPr>
      </w:pPr>
    </w:p>
    <w:p>
      <w:pPr>
        <w:ind w:left="-8" w:right="180" w:firstLine="8"/>
        <w:spacing w:after="0" w:line="297" w:lineRule="auto"/>
        <w:tabs>
          <w:tab w:leader="none" w:pos="172"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the Company shall declare or make any dividend or other distribution of its assets (or rights to acquire its assets) to holders of Ordinary Shares, by way of return of capital or otherwise (including, without limitation, any distribution of cash, shares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w:t>
      </w:r>
    </w:p>
    <w:p>
      <w:pPr>
        <w:spacing w:after="0" w:line="9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52"/>
          </w:cols>
          <w:pgMar w:left="248" w:top="274" w:right="299" w:bottom="1440" w:gutter="0" w:footer="0" w:header="0"/>
        </w:sectPr>
      </w:pPr>
    </w:p>
    <w:bookmarkStart w:id="229" w:name="page230"/>
    <w:bookmarkEnd w:id="229"/>
    <w:p>
      <w:pPr>
        <w:ind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would have participated therein if the Holder had held the number of Ordinary Shares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Ordinary Shares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Ordinary Shares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78" w:lineRule="exact"/>
        <w:rPr>
          <w:sz w:val="20"/>
          <w:szCs w:val="20"/>
          <w:color w:val="auto"/>
        </w:rPr>
      </w:pPr>
    </w:p>
    <w:p>
      <w:pPr>
        <w:ind w:left="180" w:hanging="172"/>
        <w:spacing w:after="0"/>
        <w:tabs>
          <w:tab w:leader="none" w:pos="18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p>
    <w:p>
      <w:pPr>
        <w:spacing w:after="0" w:line="225" w:lineRule="exact"/>
        <w:rPr>
          <w:rFonts w:ascii="Arial" w:cs="Arial" w:eastAsia="Arial" w:hAnsi="Arial"/>
          <w:sz w:val="18"/>
          <w:szCs w:val="18"/>
          <w:color w:val="auto"/>
        </w:rPr>
      </w:pPr>
    </w:p>
    <w:p>
      <w:pPr>
        <w:ind w:firstLine="464"/>
        <w:spacing w:after="0" w:line="286" w:lineRule="auto"/>
        <w:tabs>
          <w:tab w:leader="none" w:pos="701" w:val="left"/>
        </w:tabs>
        <w:numPr>
          <w:ilvl w:val="1"/>
          <w:numId w:val="228"/>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the Company grants, issues or sells any Options, Convertible Securities or rights to purchase shares, warrants, securities or other property pro rata to the record holders of any class of Ordinary Shares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Ordinary Shares are to be determined for the grant, issuance or sale of such Purchase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Ordinary Shares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174" w:lineRule="exact"/>
        <w:rPr>
          <w:rFonts w:ascii="Arial" w:cs="Arial" w:eastAsia="Arial" w:hAnsi="Arial"/>
          <w:sz w:val="16"/>
          <w:szCs w:val="16"/>
          <w:color w:val="auto"/>
        </w:rPr>
      </w:pPr>
    </w:p>
    <w:p>
      <w:pPr>
        <w:ind w:right="180" w:firstLine="464"/>
        <w:spacing w:after="0" w:line="264" w:lineRule="auto"/>
        <w:tabs>
          <w:tab w:leader="none" w:pos="711"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The Company shall not enter into or be party to a Fundamental Transaction unless the Successor Entity assumes in writing all of the obligations of the Company under this Warrant and the other Transaction Documents (as defined in the Securities Purchase Agreement) in accordance with the provisions of this Section 4(b) pursuant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230" w:name="page231"/>
    <w:bookmarkEnd w:id="23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written agreements in form and substance reasonably satisfactory to the Holder,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share capital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share capital (but taking into account the relative value of the Ordinary Shares pursuant to such Fundamental Transaction and the value of such shares of share capital, such adjustments to the number of shares of share capital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Ordinary Shares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ordinary shares or equivalent equity security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Ordinary Shares are entitled to receive securities or other assets with respect to or in exchange for Ordinary Shares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Ordinary Shares (or other securities, cash, assets or other property (except such items still issuable under Sections 3 and 4(a) above, which shall continue to be receivable thereafter)) issuable upon the exercise of the Warrant prior to such Fundamental Transaction, such shares, stock, securities, cash, assets or any other property whatsoever (including warrants or other purchase or subscription rights) (collectively, the “</w:t>
      </w:r>
      <w:r>
        <w:rPr>
          <w:rFonts w:ascii="Arial" w:cs="Arial" w:eastAsia="Arial" w:hAnsi="Arial"/>
          <w:sz w:val="16"/>
          <w:szCs w:val="16"/>
          <w:b w:val="1"/>
          <w:bCs w:val="1"/>
          <w:color w:val="auto"/>
        </w:rPr>
        <w:t>Corporate Event Consideration</w:t>
      </w:r>
      <w:r>
        <w:rPr>
          <w:rFonts w:ascii="Arial" w:cs="Arial" w:eastAsia="Arial" w:hAnsi="Arial"/>
          <w:sz w:val="16"/>
          <w:szCs w:val="16"/>
          <w:color w:val="auto"/>
        </w:rPr>
        <w:t>”, and such Corporate Event Consideration per each Ordinary Share, the “</w:t>
      </w:r>
      <w:r>
        <w:rPr>
          <w:rFonts w:ascii="Arial" w:cs="Arial" w:eastAsia="Arial" w:hAnsi="Arial"/>
          <w:sz w:val="16"/>
          <w:szCs w:val="16"/>
          <w:b w:val="1"/>
          <w:bCs w:val="1"/>
          <w:color w:val="auto"/>
        </w:rPr>
        <w:t>Per Share Corporate Event Consideration</w:t>
      </w:r>
      <w:r>
        <w:rPr>
          <w:rFonts w:ascii="Arial" w:cs="Arial" w:eastAsia="Arial" w:hAnsi="Arial"/>
          <w:sz w:val="16"/>
          <w:szCs w:val="16"/>
          <w:color w:val="auto"/>
        </w:rPr>
        <w:t>”)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31" w:name="page232"/>
    <w:bookmarkEnd w:id="231"/>
    <w:p>
      <w:pPr>
        <w:ind w:left="240" w:hanging="236"/>
        <w:spacing w:after="0"/>
        <w:tabs>
          <w:tab w:leader="none" w:pos="24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of Control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3"/>
        <w:spacing w:after="0" w:line="284" w:lineRule="auto"/>
        <w:tabs>
          <w:tab w:leader="none" w:pos="653" w:val="left"/>
        </w:tabs>
        <w:numPr>
          <w:ilvl w:val="1"/>
          <w:numId w:val="229"/>
        </w:numPr>
        <w:rPr>
          <w:rFonts w:ascii="Arial" w:cs="Arial" w:eastAsia="Arial" w:hAnsi="Arial"/>
          <w:sz w:val="16"/>
          <w:szCs w:val="16"/>
          <w:color w:val="auto"/>
        </w:rPr>
      </w:pPr>
      <w:r>
        <w:rPr>
          <w:rFonts w:ascii="Arial" w:cs="Arial" w:eastAsia="Arial" w:hAnsi="Arial"/>
          <w:sz w:val="16"/>
          <w:szCs w:val="16"/>
          <w:u w:val="single" w:color="auto"/>
          <w:color w:val="auto"/>
        </w:rPr>
        <w:t>Holder Optional Change of Control Provisions</w:t>
      </w:r>
      <w:r>
        <w:rPr>
          <w:rFonts w:ascii="Arial" w:cs="Arial" w:eastAsia="Arial" w:hAnsi="Arial"/>
          <w:sz w:val="16"/>
          <w:szCs w:val="16"/>
          <w:color w:val="auto"/>
        </w:rPr>
        <w:t>. Notwithstanding the foregoing and the provisions of Section 4(b) above, at the request of the Holder delivered at any time commencing on the earliest to occur of (A) the public disclosure of any Change of Control, (B) the consummation of any Change of Control and (C) the Holder first becoming aware of any Change of Control through the date that is ninety (90) days after the public disclosure of the consummation of such Change of Control by the Company pursuant to a Current Report on Form 8-K filed with the SEC, the Company or the Successor Entity (as the case may be) shall exchange this Warrant for consideration equal to the Holder Black Scholes Value of such portion of this Warrant subject to exchange (collectively, the “</w:t>
      </w:r>
      <w:r>
        <w:rPr>
          <w:rFonts w:ascii="Arial" w:cs="Arial" w:eastAsia="Arial" w:hAnsi="Arial"/>
          <w:sz w:val="16"/>
          <w:szCs w:val="16"/>
          <w:b w:val="1"/>
          <w:bCs w:val="1"/>
          <w:color w:val="auto"/>
        </w:rPr>
        <w:t>Aggregate Holder Black Scholes Value</w:t>
      </w:r>
      <w:r>
        <w:rPr>
          <w:rFonts w:ascii="Arial" w:cs="Arial" w:eastAsia="Arial" w:hAnsi="Arial"/>
          <w:sz w:val="16"/>
          <w:szCs w:val="16"/>
          <w:color w:val="auto"/>
        </w:rPr>
        <w:t>”) in the form of, at the Company’s election (such election to pay in cash or by delivery of the Rights (as defined below), a “</w:t>
      </w:r>
      <w:r>
        <w:rPr>
          <w:rFonts w:ascii="Arial" w:cs="Arial" w:eastAsia="Arial" w:hAnsi="Arial"/>
          <w:sz w:val="16"/>
          <w:szCs w:val="16"/>
          <w:b w:val="1"/>
          <w:bCs w:val="1"/>
          <w:color w:val="auto"/>
        </w:rPr>
        <w:t>Consideration Election</w:t>
      </w:r>
      <w:r>
        <w:rPr>
          <w:rFonts w:ascii="Arial" w:cs="Arial" w:eastAsia="Arial" w:hAnsi="Arial"/>
          <w:sz w:val="16"/>
          <w:szCs w:val="16"/>
          <w:color w:val="auto"/>
        </w:rPr>
        <w:t>”), either (I) rights (with a beneficial ownership limitation in the form of Section 1(f) hereof, mutatis mutandis) (collectively, the “</w:t>
      </w:r>
      <w:r>
        <w:rPr>
          <w:rFonts w:ascii="Arial" w:cs="Arial" w:eastAsia="Arial" w:hAnsi="Arial"/>
          <w:sz w:val="16"/>
          <w:szCs w:val="16"/>
          <w:b w:val="1"/>
          <w:bCs w:val="1"/>
          <w:color w:val="auto"/>
        </w:rPr>
        <w:t>Rights</w:t>
      </w:r>
      <w:r>
        <w:rPr>
          <w:rFonts w:ascii="Arial" w:cs="Arial" w:eastAsia="Arial" w:hAnsi="Arial"/>
          <w:sz w:val="16"/>
          <w:szCs w:val="16"/>
          <w:color w:val="auto"/>
        </w:rPr>
        <w:t>”), convertible in whole, or in part, at any time, without the requirement to pay any additional consideration, at the option of the Holder, into such Corporate Event Consideration applicable to such Change of Control equal in value to the Aggregate Holder Black Scholes Value (as determined in accordance with Section 2(b)(iv) above, but with the aggregate number of Successor Shares (as defined below) issuable upon conversion of the Rights to be determined in increments of 10% of the portion of the Aggregate Holder Black Scholes Value attributable to such Successor Shares (the “</w:t>
      </w:r>
      <w:r>
        <w:rPr>
          <w:rFonts w:ascii="Arial" w:cs="Arial" w:eastAsia="Arial" w:hAnsi="Arial"/>
          <w:sz w:val="16"/>
          <w:szCs w:val="16"/>
          <w:b w:val="1"/>
          <w:bCs w:val="1"/>
          <w:color w:val="auto"/>
        </w:rPr>
        <w:t>Successor Share Value Increment</w:t>
      </w:r>
      <w:r>
        <w:rPr>
          <w:rFonts w:ascii="Arial" w:cs="Arial" w:eastAsia="Arial" w:hAnsi="Arial"/>
          <w:sz w:val="16"/>
          <w:szCs w:val="16"/>
          <w:color w:val="auto"/>
        </w:rPr>
        <w:t>”), with the aggregate number of Successor Shares issuable upon exercise of the Rights with respect to the first Successor Share Value Increment determined based on 95% of the Closing Bid Price of the Successor Shares on the date the Rights are issued and on each of the nine (9) subsequent Trading Days, in each case, the aggregate number of additional Successor Shares issuable upon exercise of the Rights shall be determined based upon a Successor Share Value Increment at 95% of the Closing Bid Price of the Successor Shares in effect for such corresponding Trading Day (such ten (10) Trading Day period commencing on, and including, the date the Rights are issued, the “</w:t>
      </w:r>
      <w:r>
        <w:rPr>
          <w:rFonts w:ascii="Arial" w:cs="Arial" w:eastAsia="Arial" w:hAnsi="Arial"/>
          <w:sz w:val="16"/>
          <w:szCs w:val="16"/>
          <w:b w:val="1"/>
          <w:bCs w:val="1"/>
          <w:color w:val="auto"/>
        </w:rPr>
        <w:t>Rights Measuring Period</w:t>
      </w:r>
      <w:r>
        <w:rPr>
          <w:rFonts w:ascii="Arial" w:cs="Arial" w:eastAsia="Arial" w:hAnsi="Arial"/>
          <w:sz w:val="16"/>
          <w:szCs w:val="16"/>
          <w:color w:val="auto"/>
        </w:rPr>
        <w:t>”), or (II) in cash, subject to the last sentence of this section; provided, that the Company shall not consummate a Change of Control if (x) the Corporate Event Consideration includes share capital or other equity interest (the “</w:t>
      </w:r>
      <w:r>
        <w:rPr>
          <w:rFonts w:ascii="Arial" w:cs="Arial" w:eastAsia="Arial" w:hAnsi="Arial"/>
          <w:sz w:val="16"/>
          <w:szCs w:val="16"/>
          <w:b w:val="1"/>
          <w:bCs w:val="1"/>
          <w:color w:val="auto"/>
        </w:rPr>
        <w:t>Successor Shares</w:t>
      </w:r>
      <w:r>
        <w:rPr>
          <w:rFonts w:ascii="Arial" w:cs="Arial" w:eastAsia="Arial" w:hAnsi="Arial"/>
          <w:sz w:val="16"/>
          <w:szCs w:val="16"/>
          <w:color w:val="auto"/>
        </w:rPr>
        <w:t>”) either in an entity that is not listed on an Eligible Market or an entity in which the daily share volume for the applicable Successor Shares for each of the twenty (20) Trading Days prior to the date of consummation of such Change of Control is less than the aggregate number of Successor Shares issuable to the Holder upon conversion in full of the applicable Rights (without regard to any limitations on conversion therein, assuming the exercise in full of the Rights on the date of issuance of the Rights and assuming the Closing Bid Price of the Successor Shares for each Trading Day in the Rights Measuring Period is the Closing Bid Price on the Trading Day ended immediately prior to the time of consummation of the Change of Control) and (y) the Company shall not have properly elected in accordance with this Section 4(c) to pay</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74" w:right="239" w:bottom="1440" w:gutter="0" w:footer="0" w:header="0"/>
        </w:sectPr>
      </w:pPr>
    </w:p>
    <w:bookmarkStart w:id="232" w:name="page233"/>
    <w:bookmarkEnd w:id="232"/>
    <w:p>
      <w:pPr>
        <w:ind w:left="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applicable Holder Black Scholes Value to the Holder in cash. The Company shall give the Holder written notice of each Consideration Election at least twenty (20) Trading Days prior to the time of consummation of such Change of Control. Payment of such amounts or delivery of the Rights, as applicable, shall be made by the Company (or at the Company’s direction) to the Holder on the later of (x) the second (2nd) Trading Day after the date of such request and (y) the date of consummation of such Change of Control (or, with respect to any Right, if applicable, such later time that holders of Ordinary Shares are initially entitled to receive Corporate Event Consideration with respect to the Ordinary Shares of such holder). Any Corporate Event Consideration included in the Right, if any, pursuant to this Section 4(c)(i)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Corporate Event Consideration to be paid to holders of Ordinary Shares and the Company shall not permit a payment of any Corporate Event Consideration to the holders of Ordinary Shares without on or prior to such time delivering the Right to the Holder hereunder. The Company shall not include cash in any Corporate Event Consideration (whether payable to the holders of Ordinary Shares or pursuant to the Right, as applicable) or pursuant to clause (II) above, if the Senior Indebtedness or amounts thereunder are then outstanding, unless the Senior Indebtedness has first been satisfied (including, without limitation, by the Company’s election to repay or redeem such Senior Indebtedness and, in the case of a revolving credit facility, all commitments having been terminated or expired, and all letters of credit issued thereunder having expired or been terminated without any pending draw thereunder) or consents or waivers for such cash have been granted thereunder.</w:t>
      </w:r>
    </w:p>
    <w:p>
      <w:pPr>
        <w:spacing w:after="0" w:line="80" w:lineRule="exact"/>
        <w:rPr>
          <w:sz w:val="20"/>
          <w:szCs w:val="20"/>
          <w:color w:val="auto"/>
        </w:rPr>
      </w:pPr>
    </w:p>
    <w:p>
      <w:pPr>
        <w:ind w:left="440" w:right="60" w:firstLine="443"/>
        <w:spacing w:after="0" w:line="288" w:lineRule="auto"/>
        <w:tabs>
          <w:tab w:leader="none" w:pos="1143" w:val="left"/>
        </w:tabs>
        <w:numPr>
          <w:ilvl w:val="1"/>
          <w:numId w:val="230"/>
        </w:numPr>
        <w:rPr>
          <w:rFonts w:ascii="Arial" w:cs="Arial" w:eastAsia="Arial" w:hAnsi="Arial"/>
          <w:sz w:val="16"/>
          <w:szCs w:val="16"/>
          <w:color w:val="auto"/>
        </w:rPr>
      </w:pPr>
      <w:r>
        <w:rPr>
          <w:rFonts w:ascii="Arial" w:cs="Arial" w:eastAsia="Arial" w:hAnsi="Arial"/>
          <w:sz w:val="16"/>
          <w:szCs w:val="16"/>
          <w:u w:val="single" w:color="auto"/>
          <w:color w:val="auto"/>
        </w:rPr>
        <w:t>Company Optional Change of Control Redemption</w:t>
      </w:r>
      <w:r>
        <w:rPr>
          <w:rFonts w:ascii="Arial" w:cs="Arial" w:eastAsia="Arial" w:hAnsi="Arial"/>
          <w:sz w:val="16"/>
          <w:szCs w:val="16"/>
          <w:color w:val="auto"/>
        </w:rPr>
        <w:t>. Notwithstanding the foregoing and the provisions of Section 4(b) above, the Company shall have the right, with prior written notice delivered to the Holder, not more than twenty (20) Trading Days and not less than ten (10) Trading Days prior to the time of consummation of the Change of Control, to redeem all, but not less than all, of this Warrant at a price in cash equal to the Company Black Scholes Value for this Warrant. Payment of such amounts shall be made by the Company (or at the Company’s direction) to the Holder on the date of consummation of such Change of Control (the “</w:t>
      </w:r>
      <w:r>
        <w:rPr>
          <w:rFonts w:ascii="Arial" w:cs="Arial" w:eastAsia="Arial" w:hAnsi="Arial"/>
          <w:sz w:val="16"/>
          <w:szCs w:val="16"/>
          <w:b w:val="1"/>
          <w:bCs w:val="1"/>
          <w:color w:val="auto"/>
        </w:rPr>
        <w:t>Redemption Date</w:t>
      </w:r>
      <w:r>
        <w:rPr>
          <w:rFonts w:ascii="Arial" w:cs="Arial" w:eastAsia="Arial" w:hAnsi="Arial"/>
          <w:sz w:val="16"/>
          <w:szCs w:val="16"/>
          <w:color w:val="auto"/>
        </w:rPr>
        <w:t>”). Notwithstanding anything herein to the contrary, at any time prior to the later of (x) the time such Company Black Sholes Value has been paid in full to the Holder in cash and (y) the Redemption Date, this Warrant may be exercised, in whole or in part, by the Holder into Ordinary Shares pursuant to Section 1 and the Company Black Scholes Value to be paid on the Redemption Date shall be adjusted accordingly. For the avoidance of doubt, (A) if both the Company and the Holder elects to effect a redemption pursuant to this Section 4(c) the redemption pursuant to Section 4(c)(i) shall govern such Change of Control and (B) the Company may only elect to effect a redemption pursuant to this Section 4(c)(ii) if the Company Black Scholes Value is to be paid in cash.</w:t>
      </w:r>
    </w:p>
    <w:p>
      <w:pPr>
        <w:spacing w:after="0" w:line="169" w:lineRule="exact"/>
        <w:rPr>
          <w:rFonts w:ascii="Arial" w:cs="Arial" w:eastAsia="Arial" w:hAnsi="Arial"/>
          <w:sz w:val="16"/>
          <w:szCs w:val="16"/>
          <w:color w:val="auto"/>
        </w:rPr>
      </w:pPr>
    </w:p>
    <w:p>
      <w:pPr>
        <w:ind w:left="-20" w:right="220" w:firstLine="464"/>
        <w:spacing w:after="0" w:line="279" w:lineRule="auto"/>
        <w:tabs>
          <w:tab w:leader="none" w:pos="691"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Application</w:t>
      </w:r>
      <w:r>
        <w:rPr>
          <w:rFonts w:ascii="Arial" w:cs="Arial" w:eastAsia="Arial" w:hAnsi="Arial"/>
          <w:sz w:val="17"/>
          <w:szCs w:val="17"/>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share capital registered under the 1934 Act and thereafter receivable upon exercise of this Warrant (or any such other warrant)).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60" w:top="274" w:right="259" w:bottom="1440" w:gutter="0" w:footer="0" w:header="0"/>
        </w:sectPr>
      </w:pPr>
    </w:p>
    <w:bookmarkStart w:id="233" w:name="page234"/>
    <w:bookmarkEnd w:id="233"/>
    <w:p>
      <w:pPr>
        <w:ind w:left="-8" w:firstLine="8"/>
        <w:spacing w:after="0" w:line="269" w:lineRule="auto"/>
        <w:tabs>
          <w:tab w:leader="none" w:pos="172"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NONCIRCUMVENTION</w:t>
      </w:r>
      <w:r>
        <w:rPr>
          <w:rFonts w:ascii="Arial" w:cs="Arial" w:eastAsia="Arial" w:hAnsi="Arial"/>
          <w:sz w:val="17"/>
          <w:szCs w:val="17"/>
          <w:color w:val="auto"/>
        </w:rPr>
        <w:t>. The Company hereby covenants and agrees that the Company will not, by amendment of its Memorandum and Articles of Association or other organizational documents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(a) shall not increase the par value of any Ordinary Shares receivable upon the exercise of this Warrant above the Exercise Price then in effect and shall not effect a Dilutive Issuance that would result in the Exercise Price adjusting below the par value of the Ordinary Shares then in effect, and (b) shall take all such actions as may be necessary or appropriate in order that the Company may validly and legally issue fully paid and non-assessable Ordinary Shares upon the exercise of this Warrant.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best efforts to promptly remedy such failure, including, without limitation, obtaining such consents or approvals as necessary to permit such exercise into Ordinary Shares.</w:t>
      </w:r>
    </w:p>
    <w:p>
      <w:pPr>
        <w:spacing w:after="0" w:line="182" w:lineRule="exact"/>
        <w:rPr>
          <w:rFonts w:ascii="Arial" w:cs="Arial" w:eastAsia="Arial" w:hAnsi="Arial"/>
          <w:sz w:val="17"/>
          <w:szCs w:val="17"/>
          <w:color w:val="auto"/>
        </w:rPr>
      </w:pPr>
    </w:p>
    <w:p>
      <w:pPr>
        <w:ind w:left="-8" w:right="20" w:firstLine="8"/>
        <w:spacing w:after="0" w:line="287" w:lineRule="auto"/>
        <w:tabs>
          <w:tab w:leader="none" w:pos="172"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SHAREHOLDER</w:t>
      </w:r>
      <w:r>
        <w:rPr>
          <w:rFonts w:ascii="Arial" w:cs="Arial" w:eastAsia="Arial" w:hAnsi="Arial"/>
          <w:sz w:val="16"/>
          <w:szCs w:val="16"/>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shares, reclassification of shares,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provided, however, that the Company shall not be obligated to provide such notice or information if it is filed with the Securities and Exchange Commission through EDGAR and available to the public through the EDGAR system.</w:t>
      </w:r>
    </w:p>
    <w:p>
      <w:pPr>
        <w:spacing w:after="0" w:line="172" w:lineRule="exact"/>
        <w:rPr>
          <w:rFonts w:ascii="Arial" w:cs="Arial" w:eastAsia="Arial" w:hAnsi="Arial"/>
          <w:sz w:val="16"/>
          <w:szCs w:val="16"/>
          <w:color w:val="auto"/>
        </w:rPr>
      </w:pPr>
    </w:p>
    <w:p>
      <w:pPr>
        <w:ind w:left="172" w:hanging="172"/>
        <w:spacing w:after="0"/>
        <w:tabs>
          <w:tab w:leader="none" w:pos="172"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p>
    <w:p>
      <w:pPr>
        <w:spacing w:after="0" w:line="225" w:lineRule="exact"/>
        <w:rPr>
          <w:rFonts w:ascii="Arial" w:cs="Arial" w:eastAsia="Arial" w:hAnsi="Arial"/>
          <w:sz w:val="18"/>
          <w:szCs w:val="18"/>
          <w:color w:val="auto"/>
        </w:rPr>
      </w:pPr>
    </w:p>
    <w:p>
      <w:pPr>
        <w:ind w:left="-8" w:right="100" w:firstLine="464"/>
        <w:spacing w:after="0" w:line="264" w:lineRule="auto"/>
        <w:tabs>
          <w:tab w:leader="none" w:pos="693"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-1041400</wp:posOffset>
            </wp:positionV>
            <wp:extent cx="2857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72"/>
          </w:cols>
          <w:pgMar w:left="248" w:top="274" w:right="279" w:bottom="1440" w:gutter="0" w:footer="0" w:header="0"/>
        </w:sectPr>
      </w:pPr>
    </w:p>
    <w:bookmarkStart w:id="234" w:name="page235"/>
    <w:bookmarkEnd w:id="234"/>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70" w:lineRule="exact"/>
        <w:rPr>
          <w:sz w:val="20"/>
          <w:szCs w:val="20"/>
          <w:color w:val="auto"/>
        </w:rPr>
      </w:pPr>
    </w:p>
    <w:p>
      <w:pPr>
        <w:jc w:val="both"/>
        <w:ind w:right="140" w:firstLine="464"/>
        <w:spacing w:after="0" w:line="276" w:lineRule="auto"/>
        <w:tabs>
          <w:tab w:leader="none" w:pos="711" w:val="left"/>
        </w:tabs>
        <w:numPr>
          <w:ilvl w:val="1"/>
          <w:numId w:val="233"/>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72" w:lineRule="exact"/>
        <w:rPr>
          <w:rFonts w:ascii="Arial" w:cs="Arial" w:eastAsia="Arial" w:hAnsi="Arial"/>
          <w:sz w:val="17"/>
          <w:szCs w:val="17"/>
          <w:color w:val="auto"/>
        </w:rPr>
      </w:pPr>
    </w:p>
    <w:p>
      <w:pPr>
        <w:ind w:right="60" w:firstLine="464"/>
        <w:spacing w:after="0" w:line="279" w:lineRule="auto"/>
        <w:tabs>
          <w:tab w:leader="none" w:pos="701" w:val="left"/>
        </w:tabs>
        <w:numPr>
          <w:ilvl w:val="1"/>
          <w:numId w:val="233"/>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Ordinary Shares shall be given.</w:t>
      </w:r>
    </w:p>
    <w:p>
      <w:pPr>
        <w:spacing w:after="0" w:line="171" w:lineRule="exact"/>
        <w:rPr>
          <w:rFonts w:ascii="Arial" w:cs="Arial" w:eastAsia="Arial" w:hAnsi="Arial"/>
          <w:sz w:val="17"/>
          <w:szCs w:val="17"/>
          <w:color w:val="auto"/>
        </w:rPr>
      </w:pPr>
    </w:p>
    <w:p>
      <w:pPr>
        <w:ind w:firstLine="464"/>
        <w:spacing w:after="0" w:line="273" w:lineRule="auto"/>
        <w:tabs>
          <w:tab w:leader="none" w:pos="711" w:val="left"/>
        </w:tabs>
        <w:numPr>
          <w:ilvl w:val="1"/>
          <w:numId w:val="233"/>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Ordinary Shares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ind w:right="20" w:firstLine="8"/>
        <w:spacing w:after="0" w:line="289" w:lineRule="auto"/>
        <w:tabs>
          <w:tab w:leader="none" w:pos="180"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accordance with Section 9(f) of Annex I to the Subscription Agreement. The Company shall provide the Holder with prompt written notice of all actions taken pursuant to this Warrant (other than the issuance of Ordinary Shares upon exercise in accordance with the terms hereof),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(ii) at least ten Trading Days prior to the date on which the Company closes its books or takes a record (A) with respect to any dividend or distribution upon the Ordinary Shares, (B) with respect to any grants, issuances or sales of any Options, Convertible Securities or rights to purchase shares, warrants, securities or other property to holders of Ordinary Shares or (C) for determining rights to vote with respect to any Fundamental Transaction, dissolution or liquidation, provided in each case that such information shall be made known to the public prior to or in conjunction with such notice being provided to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35" w:name="page236"/>
    <w:bookmarkEnd w:id="235"/>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Holder and (iii) at least ten (10) Trading Days prior to the consummation of any Fundamental Transaction. To the extent that any notice provided hereunder constitutes, or contains, material, non-public information regarding the Company or any of its Subsidiaries, the Company shall simultaneously file such notice with the SEC (as defined in the Subscription Agreement) pursuant to a Current Report on Form 8-K. If the Company or any of its Subsidiaries provides material non-public information to the Holder that is not simultaneously filed in a Current Report on Form 8-K and the Holder has not agreed to receive such material non-public information, the Company hereby covenants and agrees that the Holder shall not have any duty of confidentiality to the Company, any of its Subsidiaries or any of their respective officers, directors, employees, affiliates or agents with respect to, or a duty to any of the foregoing not to trade on the basis of, such material non-public information. It is expressly understood and agreed that the time of execution specified by the Holder in each Exercise Notice shall be definitive and may not be disputed or challenged by the Company.</w:t>
      </w:r>
    </w:p>
    <w:p>
      <w:pPr>
        <w:spacing w:after="0" w:line="179" w:lineRule="exact"/>
        <w:rPr>
          <w:sz w:val="20"/>
          <w:szCs w:val="20"/>
          <w:color w:val="auto"/>
        </w:rPr>
      </w:pPr>
    </w:p>
    <w:p>
      <w:pPr>
        <w:ind w:right="280" w:firstLine="8"/>
        <w:spacing w:after="0" w:line="312" w:lineRule="auto"/>
        <w:tabs>
          <w:tab w:leader="none" w:pos="180"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spacing w:after="0" w:line="146" w:lineRule="exact"/>
        <w:rPr>
          <w:rFonts w:ascii="Arial" w:cs="Arial" w:eastAsia="Arial" w:hAnsi="Arial"/>
          <w:sz w:val="16"/>
          <w:szCs w:val="16"/>
          <w:color w:val="auto"/>
        </w:rPr>
      </w:pPr>
    </w:p>
    <w:p>
      <w:pPr>
        <w:ind w:firstLine="8"/>
        <w:spacing w:after="0" w:line="271" w:lineRule="auto"/>
        <w:tabs>
          <w:tab w:leader="none" w:pos="270" w:val="left"/>
        </w:tabs>
        <w:numPr>
          <w:ilvl w:val="0"/>
          <w:numId w:val="23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right="60" w:firstLine="8"/>
        <w:spacing w:after="0" w:line="254" w:lineRule="auto"/>
        <w:tabs>
          <w:tab w:leader="none" w:pos="263"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waives personal service of process and consents to process being served in any such suit, action or proceeding by mailing a copy thereof to the Company at the address set forth in Section 7 of Annex I to the Subscription Agreement and agrees that such service shall constitute good and sufficient service of process and notice thereof. The Company hereby irrevocably submits to the exclusive jurisdiction of the state and federal courts sitting in The City of New York, Borough of Manhattan, for the adjudication of any dispute hereunder or in connection herewith or with any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236" w:name="page237"/>
    <w:bookmarkEnd w:id="23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The Company hereby appoints CT Corporation System, with offices at 111 Eighth Avenue, New York, New York 10011 as its agent for service of process in the United States. </w:t>
      </w:r>
      <w:r>
        <w:rPr>
          <w:rFonts w:ascii="Arial" w:cs="Arial" w:eastAsia="Arial" w:hAnsi="Arial"/>
          <w:sz w:val="16"/>
          <w:szCs w:val="16"/>
          <w:b w:val="1"/>
          <w:bCs w:val="1"/>
          <w:color w:val="auto"/>
        </w:rPr>
        <w:t>THE COMPANY HEREBY IRREVOCABLY WAIVES ANY RIGHT</w:t>
      </w:r>
    </w:p>
    <w:p>
      <w:pPr>
        <w:spacing w:after="0" w:line="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color w:val="auto"/>
        </w:rPr>
        <w:t xml:space="preserve">IT MAY HAVE TO, AND AGREES NOT TO REQUEST, A JURY TRIAL FOR THE ADJUDICATION OF ANY DISPUTE HEREUNDER OR IN CONNECTION WITH OR ARISING OUT OF THIS WARRANT OR ANY TRANSACTION CONTEMPLATED HEREBY. </w:t>
      </w:r>
      <w:r>
        <w:rPr>
          <w:rFonts w:ascii="Arial" w:cs="Arial" w:eastAsia="Arial" w:hAnsi="Arial"/>
          <w:sz w:val="17"/>
          <w:szCs w:val="17"/>
          <w:color w:val="auto"/>
        </w:rPr>
        <w:t>The choice of the laws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State of New York as the governing law of this Warrant is a valid choice of law and would be recognized and given effect to in any action brought before a court of competent jurisdiction in the Republic of Ireland, except for those laws (i) which such court considers to be procedural in nature, (ii) which are revenue or penal laws or (iii) the application of which would be inconsistent with public policy, as such term is interpreted under the laws of the Republic of Ireland. The Company or any of their respective properties, assets or revenues does not have any right of immunity under Irish or New York law, from any legal action, suit or proceeding, from the giving of any relief in any such legal action, suit or proceeding, from set-off or counterclaim, from the jurisdiction of any New York or United States federal court or Irish court or governmental authority, from service of process, attachment upon or prior to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Warrant; and, to the extent that the Company, or any of its properties, assets or revenues may have or may hereafter become entitled to any such right of immunity in any such court in which proceedings may at any time be commenced, the Company hereby waives such right to the extent permitted by law and hereby consents to such relief and enforcement as provided in this Warrant and the other Transaction Documents.</w:t>
      </w:r>
    </w:p>
    <w:p>
      <w:pPr>
        <w:spacing w:after="0" w:line="184" w:lineRule="exact"/>
        <w:rPr>
          <w:sz w:val="20"/>
          <w:szCs w:val="20"/>
          <w:color w:val="auto"/>
        </w:rPr>
      </w:pPr>
    </w:p>
    <w:p>
      <w:pPr>
        <w:jc w:val="both"/>
        <w:ind w:right="180" w:firstLine="8"/>
        <w:spacing w:after="0" w:line="302" w:lineRule="auto"/>
        <w:tabs>
          <w:tab w:leader="none" w:pos="270"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Subscription Agreement) in such other Transaction Documents unless otherwise consented to in writing by the Holder.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37" w:name="page238"/>
    <w:bookmarkEnd w:id="237"/>
    <w:p>
      <w:pPr>
        <w:ind w:left="272" w:hanging="272"/>
        <w:spacing w:after="0"/>
        <w:tabs>
          <w:tab w:leader="none" w:pos="272"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DISPUTE RESOLUTION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92" w:hanging="236"/>
        <w:spacing w:after="0"/>
        <w:tabs>
          <w:tab w:leader="none" w:pos="692"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Submission to Dispute Resolution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52" w:firstLine="443"/>
        <w:spacing w:after="0" w:line="269" w:lineRule="auto"/>
        <w:tabs>
          <w:tab w:leader="none" w:pos="1105" w:val="left"/>
        </w:tabs>
        <w:numPr>
          <w:ilvl w:val="2"/>
          <w:numId w:val="237"/>
        </w:numPr>
        <w:rPr>
          <w:rFonts w:ascii="Arial" w:cs="Arial" w:eastAsia="Arial" w:hAnsi="Arial"/>
          <w:sz w:val="17"/>
          <w:szCs w:val="17"/>
          <w:color w:val="auto"/>
        </w:rPr>
      </w:pPr>
      <w:r>
        <w:rPr>
          <w:rFonts w:ascii="Arial" w:cs="Arial" w:eastAsia="Arial" w:hAnsi="Arial"/>
          <w:sz w:val="17"/>
          <w:szCs w:val="17"/>
          <w:color w:val="auto"/>
        </w:rPr>
        <w:t>In the case of a dispute relating to the Exercise Price, the Closing Sale Price, Option Value, Company Black Scholes Value, Holder Black Scholes Value, or fair market value or the arithmetic calculation of the number of Warrant Shares (as the case may be) or the determination as to whether the primary purpose of a Dilutive Issuance was to raise capital (including, without limitation, a dispute relating to the determination of any of the foregoing), the Company or the Holder (as the case may be) shall submit the dispute to the other party via facsimile or email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Exercise Price, such Closing Sale Price, such Option Value, Company Black Scholes Value, Holder Black Scholes Value, or such fair market value or such arithmetic calculation of the number of Warrant Shares (as the case may be) or the determination as to whether the primary purpose of a Dilutive Issuance was to raise capital, at any time after the second (2nd) Business Day following such initial notice by the Company or the Holder (as the case may be) of such dispute to the Company or the Holder (as the case may be), then the Holder and the Company shall mutually agree upon, and select, an independent, reputable investment bank to resolve such dispute.</w:t>
      </w:r>
    </w:p>
    <w:p>
      <w:pPr>
        <w:spacing w:after="0" w:line="74" w:lineRule="exact"/>
        <w:rPr>
          <w:rFonts w:ascii="Arial" w:cs="Arial" w:eastAsia="Arial" w:hAnsi="Arial"/>
          <w:sz w:val="17"/>
          <w:szCs w:val="17"/>
          <w:color w:val="auto"/>
        </w:rPr>
      </w:pPr>
    </w:p>
    <w:p>
      <w:pPr>
        <w:ind w:left="1152" w:hanging="257"/>
        <w:spacing w:after="0"/>
        <w:tabs>
          <w:tab w:leader="none" w:pos="1152" w:val="left"/>
        </w:tabs>
        <w:numPr>
          <w:ilvl w:val="2"/>
          <w:numId w:val="237"/>
        </w:numPr>
        <w:rPr>
          <w:rFonts w:ascii="Arial" w:cs="Arial" w:eastAsia="Arial" w:hAnsi="Arial"/>
          <w:sz w:val="17"/>
          <w:szCs w:val="17"/>
          <w:color w:val="auto"/>
        </w:rPr>
      </w:pPr>
      <w:r>
        <w:rPr>
          <w:rFonts w:ascii="Arial" w:cs="Arial" w:eastAsia="Arial" w:hAnsi="Arial"/>
          <w:sz w:val="17"/>
          <w:szCs w:val="17"/>
          <w:color w:val="auto"/>
        </w:rPr>
        <w:t>The Holder and the Company shall each deliver to such investment bank (A) a copy of the initial dispute submission so delivered in</w:t>
      </w:r>
    </w:p>
    <w:p>
      <w:pPr>
        <w:spacing w:after="0" w:line="34" w:lineRule="exact"/>
        <w:rPr>
          <w:rFonts w:ascii="Arial" w:cs="Arial" w:eastAsia="Arial" w:hAnsi="Arial"/>
          <w:sz w:val="17"/>
          <w:szCs w:val="17"/>
          <w:color w:val="auto"/>
        </w:rPr>
      </w:pPr>
    </w:p>
    <w:p>
      <w:pPr>
        <w:ind w:left="452"/>
        <w:spacing w:after="0" w:line="286" w:lineRule="auto"/>
        <w:rPr>
          <w:rFonts w:ascii="Arial" w:cs="Arial" w:eastAsia="Arial" w:hAnsi="Arial"/>
          <w:sz w:val="17"/>
          <w:szCs w:val="17"/>
          <w:color w:val="auto"/>
        </w:rPr>
      </w:pPr>
      <w:r>
        <w:rPr>
          <w:rFonts w:ascii="Arial" w:cs="Arial" w:eastAsia="Arial" w:hAnsi="Arial"/>
          <w:sz w:val="16"/>
          <w:szCs w:val="16"/>
          <w:color w:val="auto"/>
        </w:rPr>
        <w:t>accordance with the first sentence of this Section 13 and (B) written documentation supporting its position with respect to such dispute, in each case, no later than 5:00 p.m. (New York time) by the fifth (5</w:t>
      </w:r>
      <w:r>
        <w:rPr>
          <w:rFonts w:ascii="Arial" w:cs="Arial" w:eastAsia="Arial" w:hAnsi="Arial"/>
          <w:sz w:val="13"/>
          <w:szCs w:val="13"/>
          <w:color w:val="auto"/>
        </w:rPr>
        <w:t>th</w:t>
      </w:r>
      <w:r>
        <w:rPr>
          <w:rFonts w:ascii="Arial" w:cs="Arial" w:eastAsia="Arial" w:hAnsi="Arial"/>
          <w:sz w:val="16"/>
          <w:szCs w:val="16"/>
          <w:color w:val="auto"/>
        </w:rPr>
        <w:t>) Business Day immediately following the date on which the investment bank was selected by the parties hereto (the “</w:t>
      </w:r>
      <w:r>
        <w:rPr>
          <w:rFonts w:ascii="Arial" w:cs="Arial" w:eastAsia="Arial" w:hAnsi="Arial"/>
          <w:sz w:val="16"/>
          <w:szCs w:val="16"/>
          <w:b w:val="1"/>
          <w:bCs w:val="1"/>
          <w:color w:val="auto"/>
        </w:rPr>
        <w:t>Dispute Submission Deadline</w:t>
      </w:r>
      <w:r>
        <w:rPr>
          <w:rFonts w:ascii="Arial" w:cs="Arial" w:eastAsia="Arial" w:hAnsi="Arial"/>
          <w:sz w:val="16"/>
          <w:szCs w:val="16"/>
          <w:color w:val="auto"/>
        </w:rPr>
        <w:t>”) (the documents referred to in the immediately preceding clauses (A) and (B) are collectively referred to herein as the “</w:t>
      </w:r>
      <w:r>
        <w:rPr>
          <w:rFonts w:ascii="Arial" w:cs="Arial" w:eastAsia="Arial" w:hAnsi="Arial"/>
          <w:sz w:val="16"/>
          <w:szCs w:val="16"/>
          <w:b w:val="1"/>
          <w:bCs w:val="1"/>
          <w:color w:val="auto"/>
        </w:rPr>
        <w:t>Required Dispute Documentation</w:t>
      </w:r>
      <w:r>
        <w:rPr>
          <w:rFonts w:ascii="Arial" w:cs="Arial" w:eastAsia="Arial" w:hAnsi="Arial"/>
          <w:sz w:val="16"/>
          <w:szCs w:val="16"/>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spacing w:after="0" w:line="62" w:lineRule="exact"/>
        <w:rPr>
          <w:rFonts w:ascii="Arial" w:cs="Arial" w:eastAsia="Arial" w:hAnsi="Arial"/>
          <w:sz w:val="17"/>
          <w:szCs w:val="17"/>
          <w:color w:val="auto"/>
        </w:rPr>
      </w:pPr>
    </w:p>
    <w:p>
      <w:pPr>
        <w:ind w:left="452" w:firstLine="443"/>
        <w:spacing w:after="0" w:line="259" w:lineRule="auto"/>
        <w:tabs>
          <w:tab w:leader="none" w:pos="1205" w:val="left"/>
        </w:tabs>
        <w:numPr>
          <w:ilvl w:val="2"/>
          <w:numId w:val="237"/>
        </w:numPr>
        <w:rPr>
          <w:rFonts w:ascii="Arial" w:cs="Arial" w:eastAsia="Arial" w:hAnsi="Arial"/>
          <w:sz w:val="18"/>
          <w:szCs w:val="18"/>
          <w:color w:val="auto"/>
        </w:rPr>
      </w:pPr>
      <w:r>
        <w:rPr>
          <w:rFonts w:ascii="Arial" w:cs="Arial" w:eastAsia="Arial" w:hAnsi="Arial"/>
          <w:sz w:val="18"/>
          <w:szCs w:val="18"/>
          <w:color w:val="auto"/>
        </w:rPr>
        <w:t>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92"/>
          </w:cols>
          <w:pgMar w:left="248" w:top="274" w:right="259" w:bottom="1440" w:gutter="0" w:footer="0" w:header="0"/>
        </w:sectPr>
      </w:pPr>
    </w:p>
    <w:bookmarkStart w:id="238" w:name="page239"/>
    <w:bookmarkEnd w:id="238"/>
    <w:p>
      <w:pPr>
        <w:ind w:firstLine="464"/>
        <w:spacing w:after="0" w:line="285" w:lineRule="auto"/>
        <w:tabs>
          <w:tab w:leader="none" w:pos="711" w:val="left"/>
        </w:tabs>
        <w:numPr>
          <w:ilvl w:val="1"/>
          <w:numId w:val="23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r>
        <w:rPr>
          <w:rFonts w:ascii="Arial" w:cs="Arial" w:eastAsia="Arial" w:hAnsi="Arial"/>
          <w:sz w:val="16"/>
          <w:szCs w:val="16"/>
          <w:color w:val="auto"/>
        </w:rPr>
        <w:t>. The Company expressly acknowledges and agrees that (i) this Section 13 constitutes an agreement to arbitrate between the Company and the Holder (and constitutes an arbitration agreement) under the rules then in effect under § 7501, et seq. of the New York Civil Practice Law and Rules (“</w:t>
      </w:r>
      <w:r>
        <w:rPr>
          <w:rFonts w:ascii="Arial" w:cs="Arial" w:eastAsia="Arial" w:hAnsi="Arial"/>
          <w:sz w:val="16"/>
          <w:szCs w:val="16"/>
          <w:b w:val="1"/>
          <w:bCs w:val="1"/>
          <w:color w:val="auto"/>
        </w:rPr>
        <w:t>CPLR</w:t>
      </w:r>
      <w:r>
        <w:rPr>
          <w:rFonts w:ascii="Arial" w:cs="Arial" w:eastAsia="Arial" w:hAnsi="Arial"/>
          <w:sz w:val="16"/>
          <w:szCs w:val="16"/>
          <w:color w:val="auto"/>
        </w:rPr>
        <w:t>”) and that the Holder is authorized to apply for an order to compel arbitration pursuant to CPLR § 7503(a) in order to compel compliance with this Section 13, (ii) a dispute relating to the Exercise Price includes, without limitation, disputes as to (A) whether an issuance or sale or deemed issuance or sale of Ordinary Shares occurred under Section 2(b), (B) the consideration per share at which an issuance or deemed issuance of Ordinary Shares occurred,</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whether any issuance or sale or deemed issuance or sale of Ordinary Shares was an issuance or sale or deemed issuance or sale of Excluded Securities,</w:t>
      </w:r>
    </w:p>
    <w:p>
      <w:pPr>
        <w:spacing w:after="0" w:line="32" w:lineRule="exact"/>
        <w:rPr>
          <w:rFonts w:ascii="Arial" w:cs="Arial" w:eastAsia="Arial" w:hAnsi="Arial"/>
          <w:sz w:val="16"/>
          <w:szCs w:val="16"/>
          <w:color w:val="auto"/>
        </w:rPr>
      </w:pPr>
    </w:p>
    <w:p>
      <w:pPr>
        <w:ind w:right="20" w:firstLine="8"/>
        <w:spacing w:after="0" w:line="281" w:lineRule="auto"/>
        <w:tabs>
          <w:tab w:leader="none" w:pos="29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whether an agreement, instrument, security or the like constitutes and Ordinary Share Equivalents and (E) whether a Dilutive Issuance occurred, (iii) the terms of this Warrant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(including, without limitation, determining</w:t>
      </w:r>
    </w:p>
    <w:p>
      <w:pPr>
        <w:spacing w:after="0" w:line="2" w:lineRule="exact"/>
        <w:rPr>
          <w:rFonts w:ascii="Arial" w:cs="Arial" w:eastAsia="Arial" w:hAnsi="Arial"/>
          <w:sz w:val="16"/>
          <w:szCs w:val="16"/>
          <w:color w:val="auto"/>
        </w:rPr>
      </w:pPr>
    </w:p>
    <w:p>
      <w:pPr>
        <w:ind w:firstLine="8"/>
        <w:spacing w:after="0" w:line="268" w:lineRule="auto"/>
        <w:tabs>
          <w:tab w:leader="none" w:pos="295" w:val="left"/>
        </w:tabs>
        <w:numPr>
          <w:ilvl w:val="0"/>
          <w:numId w:val="240"/>
        </w:numPr>
        <w:rPr>
          <w:rFonts w:ascii="Arial" w:cs="Arial" w:eastAsia="Arial" w:hAnsi="Arial"/>
          <w:sz w:val="17"/>
          <w:szCs w:val="17"/>
          <w:color w:val="auto"/>
        </w:rPr>
      </w:pPr>
      <w:r>
        <w:rPr>
          <w:rFonts w:ascii="Arial" w:cs="Arial" w:eastAsia="Arial" w:hAnsi="Arial"/>
          <w:sz w:val="17"/>
          <w:szCs w:val="17"/>
          <w:color w:val="auto"/>
        </w:rPr>
        <w:t>whether an issuance or sale or deemed issuance or sale of Ordinary Shares occurred under Section 2(b), (B) the consideration per share at which an issuance or deemed issuance of Ordinary Shares occurred, (C) whether any issuance or sale or deemed issuance or sale of Ordinary Shares was an issuance or sale or deemed issuance or sale of Excluded Securities, (D) whether an agreement, instrument, security or the like constitutes and Ordinary Share Equivalent and (E) whether a Dilutive Issuance occurred) and in resolving such dispute such investment bank shall apply such findings, determinations and the like to the terms of this Warrant and any other applicable Transaction Documents, (iv) either the Company or the Holder shall have the right to submit any dispute described in this Section 13 to any state or federal court sitting in The City of New York, Borough of Manhattan in lieu of utilizing the procedures set forth in this Section 13 and (v) nothing in this Section 13 shall limit the Holder from obtaining any injunctive relief or other equitable remedies (including, without limitation, with respect to any matters described in this Section 13).</w:t>
      </w:r>
    </w:p>
    <w:p>
      <w:pPr>
        <w:spacing w:after="0" w:line="184" w:lineRule="exact"/>
        <w:rPr>
          <w:sz w:val="20"/>
          <w:szCs w:val="20"/>
          <w:color w:val="auto"/>
        </w:rPr>
      </w:pPr>
    </w:p>
    <w:p>
      <w:pPr>
        <w:ind w:right="80" w:firstLine="8"/>
        <w:spacing w:after="0" w:line="270" w:lineRule="auto"/>
        <w:tabs>
          <w:tab w:leader="none" w:pos="270"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and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specific performance and/or temporary, preliminary and permanent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39" w:name="page240"/>
    <w:bookmarkEnd w:id="239"/>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w:t>
      </w:r>
    </w:p>
    <w:p>
      <w:pPr>
        <w:spacing w:after="0" w:line="188" w:lineRule="exact"/>
        <w:rPr>
          <w:sz w:val="20"/>
          <w:szCs w:val="20"/>
          <w:color w:val="auto"/>
        </w:rPr>
      </w:pPr>
    </w:p>
    <w:p>
      <w:pPr>
        <w:ind w:firstLine="8"/>
        <w:spacing w:after="0" w:line="255" w:lineRule="auto"/>
        <w:tabs>
          <w:tab w:leader="none" w:pos="27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PAYMENT OF COLLECTION, ENFORCEMENT AND OTHER COSTS</w:t>
      </w:r>
      <w:r>
        <w:rPr>
          <w:rFonts w:ascii="Arial" w:cs="Arial" w:eastAsia="Arial" w:hAnsi="Arial"/>
          <w:sz w:val="18"/>
          <w:szCs w:val="18"/>
          <w:color w:val="auto"/>
        </w:rPr>
        <w:t>. If (a) this Warrant is placed in the hands of an attorney for collection or enforcement or is collected or enforced through any legal proceeding or the holder otherwise takes action to collect amounts due under this Warrant or to enforce the provisions of this Warrant or (b) there occurs any bankruptcy, reorganization, receivership of the company or other proceedings affecting company creditors’ rights and involving a claim under this Warrant, then the Company shall pay the costs incurred by the Holder for such collection, enforcement or action or in connection with such bankruptcy, reorganization, receivership or other proceeding, including, without limitation, attorneys’ fees and disbursements.</w:t>
      </w:r>
    </w:p>
    <w:p>
      <w:pPr>
        <w:spacing w:after="0" w:line="301" w:lineRule="exact"/>
        <w:rPr>
          <w:rFonts w:ascii="Arial" w:cs="Arial" w:eastAsia="Arial" w:hAnsi="Arial"/>
          <w:sz w:val="18"/>
          <w:szCs w:val="18"/>
          <w:color w:val="auto"/>
        </w:rPr>
      </w:pPr>
    </w:p>
    <w:p>
      <w:pPr>
        <w:ind w:left="280" w:hanging="272"/>
        <w:spacing w:after="0"/>
        <w:tabs>
          <w:tab w:leader="none" w:pos="28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333" w:lineRule="exact"/>
        <w:rPr>
          <w:rFonts w:ascii="Arial" w:cs="Arial" w:eastAsia="Arial" w:hAnsi="Arial"/>
          <w:sz w:val="18"/>
          <w:szCs w:val="18"/>
          <w:color w:val="auto"/>
        </w:rPr>
      </w:pPr>
    </w:p>
    <w:p>
      <w:pPr>
        <w:ind w:left="280" w:hanging="272"/>
        <w:spacing w:after="0"/>
        <w:tabs>
          <w:tab w:leader="none" w:pos="28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left="700" w:hanging="236"/>
        <w:spacing w:after="0"/>
        <w:tabs>
          <w:tab w:leader="none" w:pos="70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 as amended, and the rules and regulations thereunder.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1934 Act</w:t>
      </w:r>
      <w:r>
        <w:rPr>
          <w:rFonts w:ascii="Arial" w:cs="Arial" w:eastAsia="Arial" w:hAnsi="Arial"/>
          <w:sz w:val="18"/>
          <w:szCs w:val="18"/>
          <w:color w:val="auto"/>
        </w:rPr>
        <w:t>” means the Securities Exchange Act of 1934, as amended, and the rules and regulations thereunder.</w:t>
      </w:r>
    </w:p>
    <w:p>
      <w:pPr>
        <w:spacing w:after="0" w:line="225" w:lineRule="exact"/>
        <w:rPr>
          <w:rFonts w:ascii="Arial" w:cs="Arial" w:eastAsia="Arial" w:hAnsi="Arial"/>
          <w:sz w:val="18"/>
          <w:szCs w:val="18"/>
          <w:color w:val="auto"/>
        </w:rPr>
      </w:pPr>
    </w:p>
    <w:p>
      <w:pPr>
        <w:ind w:right="100" w:firstLine="464"/>
        <w:spacing w:after="0" w:line="261" w:lineRule="auto"/>
        <w:tabs>
          <w:tab w:leader="none" w:pos="701" w:val="left"/>
        </w:tabs>
        <w:numPr>
          <w:ilvl w:val="1"/>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Right</w:t>
      </w:r>
      <w:r>
        <w:rPr>
          <w:rFonts w:ascii="Arial" w:cs="Arial" w:eastAsia="Arial" w:hAnsi="Arial"/>
          <w:sz w:val="18"/>
          <w:szCs w:val="18"/>
          <w:color w:val="auto"/>
        </w:rPr>
        <w:t>” means any right granted with respect to any securities issued in connection with, or with respect to, any issuance or sale (or deemed issuance or sale in accordance with Section 2) of Ordinary Shares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80" w:lineRule="exact"/>
        <w:rPr>
          <w:rFonts w:ascii="Arial" w:cs="Arial" w:eastAsia="Arial" w:hAnsi="Arial"/>
          <w:sz w:val="18"/>
          <w:szCs w:val="18"/>
          <w:color w:val="auto"/>
        </w:rPr>
      </w:pPr>
    </w:p>
    <w:p>
      <w:pPr>
        <w:ind w:right="20" w:firstLine="464"/>
        <w:spacing w:after="0" w:line="261" w:lineRule="auto"/>
        <w:tabs>
          <w:tab w:leader="none" w:pos="711" w:val="left"/>
        </w:tabs>
        <w:numPr>
          <w:ilvl w:val="1"/>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shares having ordinary voting power for the election of directors of such Person or direct or cause the direction of the management and policies of such Person whether by contract or otherwise.</w:t>
      </w:r>
    </w:p>
    <w:p>
      <w:pPr>
        <w:spacing w:after="0" w:line="180" w:lineRule="exact"/>
        <w:rPr>
          <w:rFonts w:ascii="Arial" w:cs="Arial" w:eastAsia="Arial" w:hAnsi="Arial"/>
          <w:sz w:val="18"/>
          <w:szCs w:val="18"/>
          <w:color w:val="auto"/>
        </w:rPr>
      </w:pPr>
    </w:p>
    <w:p>
      <w:pPr>
        <w:ind w:firstLine="464"/>
        <w:spacing w:after="0" w:line="266" w:lineRule="auto"/>
        <w:tabs>
          <w:tab w:leader="none" w:pos="701" w:val="left"/>
        </w:tabs>
        <w:numPr>
          <w:ilvl w:val="1"/>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Share Plan</w:t>
      </w:r>
      <w:r>
        <w:rPr>
          <w:rFonts w:ascii="Arial" w:cs="Arial" w:eastAsia="Arial" w:hAnsi="Arial"/>
          <w:sz w:val="18"/>
          <w:szCs w:val="18"/>
          <w:color w:val="auto"/>
        </w:rPr>
        <w:t>” means any employee benefit plan which has been approved by the board of directors of the Company pursuant to which Ordinary Shares and standard options to purchase Ordinary Shares may be issued to any employee, officer or director for services provided to the Company in their capacity as such.</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40" w:name="page241"/>
    <w:bookmarkEnd w:id="240"/>
    <w:p>
      <w:pPr>
        <w:ind w:firstLine="464"/>
        <w:spacing w:after="0" w:line="274" w:lineRule="auto"/>
        <w:tabs>
          <w:tab w:leader="none" w:pos="681" w:val="left"/>
        </w:tabs>
        <w:numPr>
          <w:ilvl w:val="0"/>
          <w:numId w:val="2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Attribution Parties</w:t>
      </w:r>
      <w:r>
        <w:rPr>
          <w:rFonts w:ascii="Arial" w:cs="Arial" w:eastAsia="Arial" w:hAnsi="Arial"/>
          <w:sz w:val="17"/>
          <w:szCs w:val="17"/>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Ordinary Shares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73" w:lineRule="exact"/>
        <w:rPr>
          <w:rFonts w:ascii="Arial" w:cs="Arial" w:eastAsia="Arial" w:hAnsi="Arial"/>
          <w:sz w:val="17"/>
          <w:szCs w:val="17"/>
          <w:color w:val="auto"/>
        </w:rPr>
      </w:pPr>
    </w:p>
    <w:p>
      <w:pPr>
        <w:ind w:left="720" w:hanging="256"/>
        <w:spacing w:after="0"/>
        <w:tabs>
          <w:tab w:leader="none" w:pos="7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right="260" w:firstLine="464"/>
        <w:spacing w:after="0" w:line="282" w:lineRule="auto"/>
        <w:tabs>
          <w:tab w:leader="none" w:pos="71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right="100" w:firstLine="464"/>
        <w:spacing w:after="0" w:line="273" w:lineRule="auto"/>
        <w:tabs>
          <w:tab w:leader="none" w:pos="671" w:val="left"/>
        </w:tabs>
        <w:numPr>
          <w:ilvl w:val="0"/>
          <w:numId w:val="2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any Fundamental Transaction other than (i) any merger of the Company or any of its, direct or indirect, wholly-owned Subsidiaries with or into any of the foregoing Persons, (ii) any reorganization, recapitalization or reclassification of the Ordinary Shares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(iii) pursuant to a migratory merger effected solely for the purpose of changing the jurisdiction of incorporation of the Company or any of its Subsidiaries.</w:t>
      </w:r>
    </w:p>
    <w:p>
      <w:pPr>
        <w:spacing w:after="0" w:line="172" w:lineRule="exact"/>
        <w:rPr>
          <w:rFonts w:ascii="Arial" w:cs="Arial" w:eastAsia="Arial" w:hAnsi="Arial"/>
          <w:sz w:val="17"/>
          <w:szCs w:val="17"/>
          <w:color w:val="auto"/>
        </w:rPr>
      </w:pPr>
    </w:p>
    <w:p>
      <w:pPr>
        <w:ind w:left="680" w:hanging="216"/>
        <w:spacing w:after="0"/>
        <w:tabs>
          <w:tab w:leader="none" w:pos="68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means, for any security as of any date, the last closing bid price and last closing trade price,</w:t>
      </w:r>
    </w:p>
    <w:p>
      <w:pPr>
        <w:spacing w:after="0" w:line="38" w:lineRule="exact"/>
        <w:rPr>
          <w:rFonts w:ascii="Arial" w:cs="Arial" w:eastAsia="Arial" w:hAnsi="Arial"/>
          <w:sz w:val="17"/>
          <w:szCs w:val="17"/>
          <w:color w:val="auto"/>
        </w:rPr>
      </w:pPr>
    </w:p>
    <w:p>
      <w:pPr>
        <w:ind w:right="20"/>
        <w:spacing w:after="0" w:line="268" w:lineRule="auto"/>
        <w:rPr>
          <w:rFonts w:ascii="Arial" w:cs="Arial" w:eastAsia="Arial" w:hAnsi="Arial"/>
          <w:sz w:val="17"/>
          <w:szCs w:val="17"/>
          <w:color w:val="auto"/>
        </w:rPr>
      </w:pPr>
      <w:r>
        <w:rPr>
          <w:rFonts w:ascii="Arial" w:cs="Arial" w:eastAsia="Arial" w:hAnsi="Arial"/>
          <w:sz w:val="17"/>
          <w:szCs w:val="17"/>
          <w:color w:val="auto"/>
        </w:rPr>
        <w:t>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sheets” by OTC Markets Group Inc. (formerly Pink Sheets LLC). If the Closing Bid Price or the Closing Sale Price cannot be calculated for a security on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0" w:right="239" w:bottom="1440" w:gutter="0" w:footer="0" w:header="0"/>
        </w:sectPr>
      </w:pPr>
    </w:p>
    <w:bookmarkStart w:id="241" w:name="page242"/>
    <w:bookmarkEnd w:id="241"/>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share splits, share dividends, share combinations, recapitalizations or other similar transactions during such period.</w:t>
      </w:r>
    </w:p>
    <w:p>
      <w:pPr>
        <w:spacing w:after="0" w:line="167" w:lineRule="exact"/>
        <w:rPr>
          <w:sz w:val="20"/>
          <w:szCs w:val="20"/>
          <w:color w:val="auto"/>
        </w:rPr>
      </w:pPr>
    </w:p>
    <w:p>
      <w:pPr>
        <w:ind w:firstLine="464"/>
        <w:spacing w:after="0" w:line="285" w:lineRule="auto"/>
        <w:tabs>
          <w:tab w:leader="none" w:pos="711" w:val="left"/>
        </w:tabs>
        <w:numPr>
          <w:ilvl w:val="1"/>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Black Scholes Value</w:t>
      </w:r>
      <w:r>
        <w:rPr>
          <w:rFonts w:ascii="Arial" w:cs="Arial" w:eastAsia="Arial" w:hAnsi="Arial"/>
          <w:sz w:val="16"/>
          <w:szCs w:val="16"/>
          <w:color w:val="auto"/>
        </w:rPr>
        <w:t>” means the value of the unexercised portion of this Warrant remaining on the applicable Redemption Date, which value is calculated using the Black Scholes Option Pricing Model obtained from the “OV” function on Bloomberg utilizing (i) an underlying price per share equal to the greater of (1) the highest Closing Sale Price of the Ordinary Shares during the period beginning on the Trading Day immediately preceding the announcement of the applicable Change of Control (or the consummation of the applicable Change of Control, if earlier) and ending on such Redemption Date and (2) the sum of the price per share being offered in cash in the applicable Change of Control (if any) plus the value of the non-cash consideration being offered in the applicable Change of Control (if any), (ii) a strike price equal to the Exercise Price in effect on the Redemption Date, (iii) a risk-free interest rate corresponding to the U.S. Treasury rate for a period equal to the greater of (1) the remaining term of this Warrant as of the Redemption Date and</w:t>
      </w:r>
    </w:p>
    <w:p>
      <w:pPr>
        <w:spacing w:after="0" w:line="1" w:lineRule="exact"/>
        <w:rPr>
          <w:rFonts w:ascii="Arial" w:cs="Arial" w:eastAsia="Arial" w:hAnsi="Arial"/>
          <w:sz w:val="16"/>
          <w:szCs w:val="16"/>
          <w:color w:val="auto"/>
        </w:rPr>
      </w:pPr>
    </w:p>
    <w:p>
      <w:pPr>
        <w:ind w:right="20" w:firstLine="8"/>
        <w:spacing w:after="0" w:line="254" w:lineRule="auto"/>
        <w:tabs>
          <w:tab w:leader="none" w:pos="25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remaining term of this Warrant as of the Redemption Date, (iv) a zero cost of borrow and (v) an expected volatility equal to the 30 day volatility obtained from the “HVT” function on Bloomberg (determined utilizing a 365 day annualization factor) as of the Trading Day immediately following the earliest to occur of (A) the public disclosure of the applicable Change of Control, (B) the consummation of the applicable Change of Control and (C) the date on which the Holder first became aware of the applicable Change of Control.</w:t>
      </w:r>
    </w:p>
    <w:p>
      <w:pPr>
        <w:spacing w:after="0" w:line="185" w:lineRule="exact"/>
        <w:rPr>
          <w:rFonts w:ascii="Arial" w:cs="Arial" w:eastAsia="Arial" w:hAnsi="Arial"/>
          <w:sz w:val="18"/>
          <w:szCs w:val="18"/>
          <w:color w:val="auto"/>
        </w:rPr>
      </w:pPr>
    </w:p>
    <w:p>
      <w:pPr>
        <w:ind w:right="500" w:firstLine="464"/>
        <w:spacing w:after="0" w:line="347" w:lineRule="auto"/>
        <w:tabs>
          <w:tab w:leader="none" w:pos="671" w:val="left"/>
        </w:tabs>
        <w:numPr>
          <w:ilvl w:val="1"/>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shares or other security (other than Options) that is at any time and under any circumstances, directly or indirectly, convertible into, exercisable or exchangeable for, or which otherwise entitles the holder thereof to acquire, any Ordinary Shares.</w:t>
      </w:r>
    </w:p>
    <w:p>
      <w:pPr>
        <w:spacing w:after="0" w:line="116" w:lineRule="exact"/>
        <w:rPr>
          <w:rFonts w:ascii="Arial" w:cs="Arial" w:eastAsia="Arial" w:hAnsi="Arial"/>
          <w:sz w:val="16"/>
          <w:szCs w:val="16"/>
          <w:color w:val="auto"/>
        </w:rPr>
      </w:pPr>
    </w:p>
    <w:p>
      <w:pPr>
        <w:ind w:right="20" w:firstLine="464"/>
        <w:spacing w:after="0" w:line="258" w:lineRule="auto"/>
        <w:tabs>
          <w:tab w:leader="none" w:pos="761" w:val="left"/>
        </w:tabs>
        <w:numPr>
          <w:ilvl w:val="1"/>
          <w:numId w:val="245"/>
        </w:numPr>
        <w:rPr>
          <w:rFonts w:ascii="Arial" w:cs="Arial" w:eastAsia="Arial" w:hAnsi="Arial"/>
          <w:sz w:val="18"/>
          <w:szCs w:val="18"/>
          <w:color w:val="auto"/>
        </w:rPr>
      </w:pPr>
      <w:r>
        <w:rPr>
          <w:rFonts w:ascii="Arial" w:cs="Arial" w:eastAsia="Arial" w:hAnsi="Arial"/>
          <w:sz w:val="18"/>
          <w:szCs w:val="18"/>
          <w:b w:val="1"/>
          <w:bCs w:val="1"/>
          <w:color w:val="auto"/>
        </w:rPr>
        <w:t>“Credit Agreements</w:t>
      </w:r>
      <w:r>
        <w:rPr>
          <w:rFonts w:ascii="Arial" w:cs="Arial" w:eastAsia="Arial" w:hAnsi="Arial"/>
          <w:sz w:val="18"/>
          <w:szCs w:val="18"/>
          <w:color w:val="auto"/>
        </w:rPr>
        <w:t>” means collectively (a) the Term Loan Agreement, dated as of May 4, 2016, by and among Weatherford Bermuda,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from time to time party thereto and JPMorgan Chase Bank, N.A., as administrative agent and (b) the Amended and Restated Credit Agreement dated as of May 9, 2016, by and among the Company, Weatherford Bermuda, the other borrowers identified therein, the lenders from time to time party thereto and JPMorgan Chase Bank, N.A., as administrative agent, in each case of (a) and (b), as such agreement may be amended, restated, supplemented, modified, refinanced or replaced from time to time.</w:t>
      </w:r>
    </w:p>
    <w:p>
      <w:pPr>
        <w:spacing w:after="0" w:line="183" w:lineRule="exact"/>
        <w:rPr>
          <w:rFonts w:ascii="Arial" w:cs="Arial" w:eastAsia="Arial" w:hAnsi="Arial"/>
          <w:sz w:val="18"/>
          <w:szCs w:val="18"/>
          <w:color w:val="auto"/>
        </w:rPr>
      </w:pPr>
    </w:p>
    <w:p>
      <w:pPr>
        <w:ind w:right="600" w:firstLine="464"/>
        <w:spacing w:after="0" w:line="282" w:lineRule="auto"/>
        <w:tabs>
          <w:tab w:leader="none" w:pos="711" w:val="left"/>
        </w:tabs>
        <w:numPr>
          <w:ilvl w:val="1"/>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NYSE MKT,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ind w:right="60" w:firstLine="464"/>
        <w:spacing w:after="0" w:line="282" w:lineRule="auto"/>
        <w:tabs>
          <w:tab w:leader="none" w:pos="711" w:val="left"/>
        </w:tabs>
        <w:numPr>
          <w:ilvl w:val="1"/>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Securities</w:t>
      </w:r>
      <w:r>
        <w:rPr>
          <w:rFonts w:ascii="Arial" w:cs="Arial" w:eastAsia="Arial" w:hAnsi="Arial"/>
          <w:sz w:val="18"/>
          <w:szCs w:val="18"/>
          <w:color w:val="auto"/>
        </w:rPr>
        <w:t>” means (i) Ordinary Shares or standard options to purchase Ordinary Shares issued to directors, officers or employees of the Company for services rendered to the Company in their capacity as such pursuant to an Approved Share Plan (as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242" w:name="page243"/>
    <w:bookmarkEnd w:id="242"/>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defined above),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the Holder;</w:t>
      </w:r>
    </w:p>
    <w:p>
      <w:pPr>
        <w:ind w:right="40" w:firstLine="8"/>
        <w:spacing w:after="0" w:line="284" w:lineRule="auto"/>
        <w:tabs>
          <w:tab w:leader="none" w:pos="265" w:val="left"/>
        </w:tabs>
        <w:numPr>
          <w:ilvl w:val="0"/>
          <w:numId w:val="246"/>
        </w:numPr>
        <w:rPr>
          <w:rFonts w:ascii="Arial" w:cs="Arial" w:eastAsia="Arial" w:hAnsi="Arial"/>
          <w:sz w:val="16"/>
          <w:szCs w:val="16"/>
          <w:color w:val="auto"/>
        </w:rPr>
      </w:pPr>
      <w:r>
        <w:rPr>
          <w:rFonts w:ascii="Arial" w:cs="Arial" w:eastAsia="Arial" w:hAnsi="Arial"/>
          <w:sz w:val="16"/>
          <w:szCs w:val="16"/>
          <w:color w:val="auto"/>
        </w:rPr>
        <w:t>Ordinary Shares issued upon the conversion or exercise of Convertible Securities (other than standard options to purchase Ordinary Shares issued pursuant to an Approved Share Plan that are covered by clause (i) above) issued prior to the Subscription Date, provided that the conversion price of any such Convertible Securities (other than standard options to purchase Ordinary Shares issued pursuant to an Approved Share Plan that are covered by clause (i) above) is not lowered, none of such Convertible Securities (other than standard options to purchase Ordinary Shares issued pursuant to an Approved Share Plan that are covered by clause (i) above) are amended to increase the number of shares issuable thereunder and none of the terms or conditions of any such Convertible Securities (other than standard options to purchase Ordinary Shares issued pursuant to an Approved Share Plan that are covered by clause (i) above) are otherwise materially changed in any manner that adversely affects the Holder; (iii) the Ordinary Shares issuable upon exercise of the Registered Warrants; provided that the terms of the Registered Warrant are not amended, modified or changed on or after the Subscription Date (other than antidilution adjustments pursuant to the terms thereof in effect as of the Subscription Date); (v) Ordinary Shares, Options and Convertible Securities issued pursuant to strategic mergers or acquisitions of other assets or businesses; provided that (x) the primary purpose of such issuance is not to raise capital, (y) the purchaser or acquirer of such Ordinary Shares in such issuance solely consists of either (1) the actual owners of such assets or securities acquired in such merger or acquisition or (2) the shareholders, partners or members of the foregoing Persons, and (z) the number or amount (as the case may be) of such Ordinary Shares issued to such Person by the Company shall not be disproportionate to such Person’s actual ownership of such assets or securities to be acquired by the Company (as applicable) and (vi) up to $27 million in gross proceeds from the Company’s sale of Ordinary Shares, Options and/or Convertible Securities, as applicable, issued to Persons in one or more non-strategic transactions by the Company after the Issuance Date.</w:t>
      </w:r>
    </w:p>
    <w:p>
      <w:pPr>
        <w:spacing w:after="0" w:line="173" w:lineRule="exact"/>
        <w:rPr>
          <w:rFonts w:ascii="Arial" w:cs="Arial" w:eastAsia="Arial" w:hAnsi="Arial"/>
          <w:sz w:val="16"/>
          <w:szCs w:val="16"/>
          <w:color w:val="auto"/>
        </w:rPr>
      </w:pPr>
    </w:p>
    <w:p>
      <w:pPr>
        <w:ind w:right="140" w:firstLine="464"/>
        <w:spacing w:after="0" w:line="282" w:lineRule="auto"/>
        <w:tabs>
          <w:tab w:leader="none" w:pos="711" w:val="left"/>
        </w:tabs>
        <w:numPr>
          <w:ilvl w:val="1"/>
          <w:numId w:val="2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thirty month anniversary of the Issuance Date or, if such date falls on a day other than a Trading Day or on which trading does not take place on the Principal Market (a “</w:t>
      </w:r>
      <w:r>
        <w:rPr>
          <w:rFonts w:ascii="Arial" w:cs="Arial" w:eastAsia="Arial" w:hAnsi="Arial"/>
          <w:sz w:val="18"/>
          <w:szCs w:val="18"/>
          <w:b w:val="1"/>
          <w:bCs w:val="1"/>
          <w:color w:val="auto"/>
        </w:rPr>
        <w:t>Holiday</w:t>
      </w:r>
      <w:r>
        <w:rPr>
          <w:rFonts w:ascii="Arial" w:cs="Arial" w:eastAsia="Arial" w:hAnsi="Arial"/>
          <w:sz w:val="18"/>
          <w:szCs w:val="18"/>
          <w:color w:val="auto"/>
        </w:rPr>
        <w:t>”), the next date that is not a Holiday.</w:t>
      </w:r>
    </w:p>
    <w:p>
      <w:pPr>
        <w:spacing w:after="0" w:line="161" w:lineRule="exact"/>
        <w:rPr>
          <w:rFonts w:ascii="Arial" w:cs="Arial" w:eastAsia="Arial" w:hAnsi="Arial"/>
          <w:sz w:val="18"/>
          <w:szCs w:val="18"/>
          <w:color w:val="auto"/>
        </w:rPr>
      </w:pPr>
    </w:p>
    <w:p>
      <w:pPr>
        <w:ind w:firstLine="464"/>
        <w:spacing w:after="0" w:line="291" w:lineRule="auto"/>
        <w:tabs>
          <w:tab w:leader="none" w:pos="711" w:val="left"/>
        </w:tabs>
        <w:numPr>
          <w:ilvl w:val="1"/>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Ordinary Shares be subject to or party to one or more Subject Entities making, a purchase, tender or exchange offer that is accepted by the holders of at least either (x) 50% of the outstanding Ordinary Shares, (y) 50% of the outstanding Ordinary Shares calculated as if any Ordinary Shares held by all Subject Entities making or party to, or Affiliated with any Subject Entities making or party to, such purchase, tender or exchange offer were not outstanding; or (z) such number of Ordinary Shares such that all Subject Entities making or party to, or Affiliated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43" w:name="page244"/>
    <w:bookmarkEnd w:id="24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any Subject Entity making or party to, such purchase, tender or exchange offer, become collectively the beneficial owners (as defined in Rule 13d-3 under the 1934 Act) of at least 50% of the outstanding Ordinary Shares,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Ordinary Shares, (y) at least 50% of the outstanding Ordinary Shares calculated as if any Ordinary Shares held by all the Subject Entities making or party to, or Affiliated with any Subject Entity making or party to, such stock or share purchase agreement or other business combination were not outstanding; or (z) such number of Ordinary Shares such that the Subject Entities become collectively the beneficial owners (as defined in Rule 13d-3 under the 1934 Act) of at least 50% of the outstanding Ordinary Shares, or (v) reorganize, recapitalize or reclassify its Ordinary Shares,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Ordinary Shares,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Ordinary Shares, (y) at least 50% of the aggregate ordinary voting power represented by issued and outstanding Ordinary Shares not held by all such Subject Entities as of the date of this Warrant calculated as if any Ordinary Shares held by all such Subject Entities were not outstanding, or (z) a percentage of the aggregate ordinary voting power represented by issued and outstanding Ordinary Shares or other equity securities of the Company sufficient to allow such Subject Entities to effect a statutory short form merger or other transaction requiring other shareholders of the Company to surrender their Ordinary Shares without approval of the shareholders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78" w:lineRule="exact"/>
        <w:rPr>
          <w:sz w:val="20"/>
          <w:szCs w:val="20"/>
          <w:color w:val="auto"/>
        </w:rPr>
      </w:pPr>
    </w:p>
    <w:p>
      <w:pPr>
        <w:ind w:left="680" w:hanging="216"/>
        <w:spacing w:after="0"/>
        <w:tabs>
          <w:tab w:leader="none" w:pos="6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a “group” as that term is used in Section 13(d) of the 1934 Act and as defined in Rule 13d-5 thereunder.</w:t>
      </w:r>
    </w:p>
    <w:p>
      <w:pPr>
        <w:spacing w:after="0" w:line="225" w:lineRule="exact"/>
        <w:rPr>
          <w:rFonts w:ascii="Arial" w:cs="Arial" w:eastAsia="Arial" w:hAnsi="Arial"/>
          <w:sz w:val="18"/>
          <w:szCs w:val="18"/>
          <w:color w:val="auto"/>
        </w:rPr>
      </w:pPr>
    </w:p>
    <w:p>
      <w:pPr>
        <w:ind w:right="200" w:firstLine="464"/>
        <w:spacing w:after="0" w:line="298" w:lineRule="auto"/>
        <w:tabs>
          <w:tab w:leader="none" w:pos="691" w:val="left"/>
        </w:tabs>
        <w:numPr>
          <w:ilvl w:val="0"/>
          <w:numId w:val="2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High Yield Indentures</w:t>
      </w:r>
      <w:r>
        <w:rPr>
          <w:rFonts w:ascii="Arial" w:cs="Arial" w:eastAsia="Arial" w:hAnsi="Arial"/>
          <w:sz w:val="16"/>
          <w:szCs w:val="16"/>
          <w:color w:val="auto"/>
        </w:rPr>
        <w:t>” means (i) that certain Indenture, dated as of October 1, 2003, as amended and supplemented (the “</w:t>
      </w:r>
      <w:r>
        <w:rPr>
          <w:rFonts w:ascii="Arial" w:cs="Arial" w:eastAsia="Arial" w:hAnsi="Arial"/>
          <w:sz w:val="16"/>
          <w:szCs w:val="16"/>
          <w:b w:val="1"/>
          <w:bCs w:val="1"/>
          <w:color w:val="auto"/>
        </w:rPr>
        <w:t>Base Indenture</w:t>
      </w:r>
      <w:r>
        <w:rPr>
          <w:rFonts w:ascii="Arial" w:cs="Arial" w:eastAsia="Arial" w:hAnsi="Arial"/>
          <w:sz w:val="16"/>
          <w:szCs w:val="16"/>
          <w:color w:val="auto"/>
        </w:rPr>
        <w:t>”), among Weatherford International Ltd., a Bermuda exempted company (“</w:t>
      </w:r>
      <w:r>
        <w:rPr>
          <w:rFonts w:ascii="Arial" w:cs="Arial" w:eastAsia="Arial" w:hAnsi="Arial"/>
          <w:sz w:val="16"/>
          <w:szCs w:val="16"/>
          <w:b w:val="1"/>
          <w:bCs w:val="1"/>
          <w:color w:val="auto"/>
        </w:rPr>
        <w:t>Weatherford Bermuda</w:t>
      </w:r>
      <w:r>
        <w:rPr>
          <w:rFonts w:ascii="Arial" w:cs="Arial" w:eastAsia="Arial" w:hAnsi="Arial"/>
          <w:sz w:val="16"/>
          <w:szCs w:val="16"/>
          <w:color w:val="auto"/>
        </w:rPr>
        <w:t>”), as issuer, the Company and Weatherford International, LLC, a Delaware limited liability company (“</w:t>
      </w:r>
      <w:r>
        <w:rPr>
          <w:rFonts w:ascii="Arial" w:cs="Arial" w:eastAsia="Arial" w:hAnsi="Arial"/>
          <w:sz w:val="16"/>
          <w:szCs w:val="16"/>
          <w:b w:val="1"/>
          <w:bCs w:val="1"/>
          <w:color w:val="auto"/>
        </w:rPr>
        <w:t>Weatherford Delaware</w:t>
      </w:r>
      <w:r>
        <w:rPr>
          <w:rFonts w:ascii="Arial" w:cs="Arial" w:eastAsia="Arial" w:hAnsi="Arial"/>
          <w:sz w:val="16"/>
          <w:szCs w:val="16"/>
          <w:color w:val="auto"/>
        </w:rPr>
        <w:t>” and, together with the Company, the “</w:t>
      </w:r>
      <w:r>
        <w:rPr>
          <w:rFonts w:ascii="Arial" w:cs="Arial" w:eastAsia="Arial" w:hAnsi="Arial"/>
          <w:sz w:val="16"/>
          <w:szCs w:val="16"/>
          <w:b w:val="1"/>
          <w:bCs w:val="1"/>
          <w:color w:val="auto"/>
        </w:rPr>
        <w:t>Guarantors</w:t>
      </w:r>
      <w:r>
        <w:rPr>
          <w:rFonts w:ascii="Arial" w:cs="Arial" w:eastAsia="Arial" w:hAnsi="Arial"/>
          <w:sz w:val="16"/>
          <w:szCs w:val="16"/>
          <w:color w:val="auto"/>
        </w:rPr>
        <w:t>”), as guarantors, and Deutsche Bank Trust Company Americas,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and amended by previous supplemental indentures and by the Tenth Supplemental Indenture, dated as of June 17, 2016, among Weatherford Bermuda, the Guarantors and the Trustee and (ii) the Base Indenture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74" w:right="299" w:bottom="1440" w:gutter="0" w:footer="0" w:header="0"/>
        </w:sectPr>
      </w:pPr>
    </w:p>
    <w:bookmarkStart w:id="244" w:name="page245"/>
    <w:bookmarkEnd w:id="244"/>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supplemented and amended by previous supplemental indentures and by the Eleventh Supplemental Indenture, dated as of November 18, 2016, among Weatherford Bermuda, the Guarantors and the Trustee.</w:t>
      </w:r>
    </w:p>
    <w:p>
      <w:pPr>
        <w:spacing w:after="0" w:line="166" w:lineRule="exact"/>
        <w:rPr>
          <w:sz w:val="20"/>
          <w:szCs w:val="20"/>
          <w:color w:val="auto"/>
        </w:rPr>
      </w:pPr>
    </w:p>
    <w:p>
      <w:pPr>
        <w:ind w:firstLine="464"/>
        <w:spacing w:after="0" w:line="287" w:lineRule="auto"/>
        <w:tabs>
          <w:tab w:leader="none" w:pos="671"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Holder Black Scholes Value</w:t>
      </w:r>
      <w:r>
        <w:rPr>
          <w:rFonts w:ascii="Arial" w:cs="Arial" w:eastAsia="Arial" w:hAnsi="Arial"/>
          <w:sz w:val="16"/>
          <w:szCs w:val="16"/>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Ordinary Shares during the period beginning on the Trading Day immediately preceding the announcement of the applicable Change of Control (or the consummation of the applicable Change of Control, if earlier) and ending on the Trading Day of the Holder’s request pursuant to Section 4(c) and (2) the sum of the price per share being offered in cash in the applicable Change of Control (if any) plus the value of the non-cash consideration being offered in the applicable Change of Control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Change of Control or as of the date of the Holder’s request pursuant to Section 4(c) if such request is prior to the date of the consummation of the applicable Change of Control, (iv) a zero cost of borrow and (v) an expected volatility equal to the 30 day volatility obtained from the “HVT” function on Bloomberg (determined utilizing a 365 day annualization factor) as of the Trading Day immediately following the earliest to occur of (A) the public disclosure of the applicable Change of Control, (B) the consummation of the applicable Change of Control and (C) the date on which the Holder first became aware of the applicable Change of Control.</w:t>
      </w:r>
    </w:p>
    <w:p>
      <w:pPr>
        <w:spacing w:after="0" w:line="164" w:lineRule="exact"/>
        <w:rPr>
          <w:rFonts w:ascii="Arial" w:cs="Arial" w:eastAsia="Arial" w:hAnsi="Arial"/>
          <w:sz w:val="16"/>
          <w:szCs w:val="16"/>
          <w:color w:val="auto"/>
        </w:rPr>
      </w:pPr>
    </w:p>
    <w:p>
      <w:pPr>
        <w:ind w:right="60" w:firstLine="464"/>
        <w:spacing w:after="0" w:line="291" w:lineRule="auto"/>
        <w:tabs>
          <w:tab w:leader="none" w:pos="711"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Value</w:t>
      </w:r>
      <w:r>
        <w:rPr>
          <w:rFonts w:ascii="Arial" w:cs="Arial" w:eastAsia="Arial" w:hAnsi="Arial"/>
          <w:sz w:val="16"/>
          <w:szCs w:val="16"/>
          <w:color w:val="auto"/>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Ordinary Shares on the Trading Day immediately preceding the public announcement of the execution of definitive documents with respect to the issuance of such Option or Convertible Security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70% and the 30 day volatility obtained from the “HVT” function on Bloomberg (determined utilizing a 365 day annualization factor) as of the Trading Day immediately following the date of issuance of such Option, Convertible Security or Adjustment Right (as the case may be).</w:t>
      </w:r>
    </w:p>
    <w:p>
      <w:pPr>
        <w:spacing w:after="0" w:line="160" w:lineRule="exact"/>
        <w:rPr>
          <w:rFonts w:ascii="Arial" w:cs="Arial" w:eastAsia="Arial" w:hAnsi="Arial"/>
          <w:sz w:val="16"/>
          <w:szCs w:val="16"/>
          <w:color w:val="auto"/>
        </w:rPr>
      </w:pPr>
    </w:p>
    <w:p>
      <w:pPr>
        <w:ind w:left="720" w:hanging="256"/>
        <w:spacing w:after="0"/>
        <w:tabs>
          <w:tab w:leader="none" w:pos="7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Ordinary Shares or Convertible Securities.</w:t>
      </w:r>
    </w:p>
    <w:p>
      <w:pPr>
        <w:spacing w:after="0" w:line="225" w:lineRule="exact"/>
        <w:rPr>
          <w:rFonts w:ascii="Arial" w:cs="Arial" w:eastAsia="Arial" w:hAnsi="Arial"/>
          <w:sz w:val="18"/>
          <w:szCs w:val="18"/>
          <w:color w:val="auto"/>
        </w:rPr>
      </w:pPr>
    </w:p>
    <w:p>
      <w:pPr>
        <w:ind w:right="20" w:firstLine="464"/>
        <w:spacing w:after="0" w:line="282" w:lineRule="auto"/>
        <w:tabs>
          <w:tab w:leader="none" w:pos="75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(i) the Company’s ordinary shares, $0.001 par value per share, and (ii) any share capital into which such ordinary shares shall have been changed or any share capital resulting from a reclassification of such ordinary shares.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45" w:name="page246"/>
    <w:bookmarkEnd w:id="245"/>
    <w:p>
      <w:pPr>
        <w:jc w:val="both"/>
        <w:ind w:right="40" w:firstLine="464"/>
        <w:spacing w:after="0" w:line="289" w:lineRule="auto"/>
        <w:tabs>
          <w:tab w:leader="none" w:pos="711" w:val="left"/>
        </w:tabs>
        <w:numPr>
          <w:ilvl w:val="0"/>
          <w:numId w:val="2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Parent Entity</w:t>
      </w:r>
      <w:r>
        <w:rPr>
          <w:rFonts w:ascii="Arial" w:cs="Arial" w:eastAsia="Arial" w:hAnsi="Arial"/>
          <w:sz w:val="17"/>
          <w:szCs w:val="17"/>
          <w:color w:val="auto"/>
        </w:rPr>
        <w:t>” of a Person means an entity that, directly or indirectly, controls the applicable Person and whose common stock, ordinary shares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58" w:lineRule="exact"/>
        <w:rPr>
          <w:rFonts w:ascii="Arial" w:cs="Arial" w:eastAsia="Arial" w:hAnsi="Arial"/>
          <w:sz w:val="17"/>
          <w:szCs w:val="17"/>
          <w:color w:val="auto"/>
        </w:rPr>
      </w:pPr>
    </w:p>
    <w:p>
      <w:pPr>
        <w:ind w:right="80" w:firstLine="464"/>
        <w:spacing w:after="0" w:line="282" w:lineRule="auto"/>
        <w:tabs>
          <w:tab w:leader="none" w:pos="71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700" w:hanging="236"/>
        <w:spacing w:after="0"/>
        <w:tabs>
          <w:tab w:leader="none" w:pos="7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left="780" w:hanging="316"/>
        <w:spacing w:after="0"/>
        <w:tabs>
          <w:tab w:leader="none" w:pos="78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means the United States Securities and Exchange Commission or the successor thereto.</w:t>
      </w:r>
    </w:p>
    <w:p>
      <w:pPr>
        <w:spacing w:after="0" w:line="236" w:lineRule="exact"/>
        <w:rPr>
          <w:rFonts w:ascii="Arial" w:cs="Arial" w:eastAsia="Arial" w:hAnsi="Arial"/>
          <w:sz w:val="17"/>
          <w:szCs w:val="17"/>
          <w:color w:val="auto"/>
        </w:rPr>
      </w:pPr>
    </w:p>
    <w:p>
      <w:pPr>
        <w:ind w:left="800" w:hanging="336"/>
        <w:spacing w:after="0"/>
        <w:tabs>
          <w:tab w:leader="none" w:pos="8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Indebtedness</w:t>
      </w:r>
      <w:r>
        <w:rPr>
          <w:rFonts w:ascii="Arial" w:cs="Arial" w:eastAsia="Arial" w:hAnsi="Arial"/>
          <w:sz w:val="18"/>
          <w:szCs w:val="18"/>
          <w:color w:val="auto"/>
        </w:rPr>
        <w:t>” means, collectively, the High-Yield Indentures and the Credit Agreements.</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Subject Entity</w:t>
      </w:r>
      <w:r>
        <w:rPr>
          <w:rFonts w:ascii="Arial" w:cs="Arial" w:eastAsia="Arial" w:hAnsi="Arial"/>
          <w:sz w:val="18"/>
          <w:szCs w:val="18"/>
          <w:color w:val="auto"/>
        </w:rPr>
        <w:t>” means any Person, Persons or Group or any Affiliate or associate of any such Person, Persons or Group.</w:t>
      </w:r>
    </w:p>
    <w:p>
      <w:pPr>
        <w:spacing w:after="0" w:line="225" w:lineRule="exact"/>
        <w:rPr>
          <w:rFonts w:ascii="Arial" w:cs="Arial" w:eastAsia="Arial" w:hAnsi="Arial"/>
          <w:sz w:val="18"/>
          <w:szCs w:val="18"/>
          <w:color w:val="auto"/>
        </w:rPr>
      </w:pPr>
    </w:p>
    <w:p>
      <w:pPr>
        <w:ind w:right="180" w:firstLine="464"/>
        <w:spacing w:after="0" w:line="347" w:lineRule="auto"/>
        <w:tabs>
          <w:tab w:leader="none" w:pos="801" w:val="left"/>
        </w:tabs>
        <w:numPr>
          <w:ilvl w:val="0"/>
          <w:numId w:val="2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16" w:lineRule="exact"/>
        <w:rPr>
          <w:rFonts w:ascii="Arial" w:cs="Arial" w:eastAsia="Arial" w:hAnsi="Arial"/>
          <w:sz w:val="16"/>
          <w:szCs w:val="16"/>
          <w:color w:val="auto"/>
        </w:rPr>
      </w:pPr>
    </w:p>
    <w:p>
      <w:pPr>
        <w:ind w:firstLine="464"/>
        <w:spacing w:after="0" w:line="272" w:lineRule="auto"/>
        <w:tabs>
          <w:tab w:leader="none" w:pos="781" w:val="left"/>
        </w:tabs>
        <w:numPr>
          <w:ilvl w:val="0"/>
          <w:numId w:val="2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as applicable, (x) with respect to all price or trading volume determinations relating to the Ordinary Shares, any day on which the Ordinary Shares is traded on the Principal Market, or, if the Principal Market is not the principal trading market for the Ordinary Shares, then on the principal securities exchange or securities market on which the Ordinary Shares is then traded, provided that “Trading Day” shall not include any day on which the Ordinary Shares is scheduled to trade on such exchange or market for less than 4.5 hours or any day that the Ordinary Shares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Ordinary Shares, any day on which The New York Stock Exchange (or any successor thereto) is open for trading of securities.</w:t>
      </w:r>
    </w:p>
    <w:p>
      <w:pPr>
        <w:spacing w:after="0" w:line="172" w:lineRule="exact"/>
        <w:rPr>
          <w:rFonts w:ascii="Arial" w:cs="Arial" w:eastAsia="Arial" w:hAnsi="Arial"/>
          <w:sz w:val="17"/>
          <w:szCs w:val="17"/>
          <w:color w:val="auto"/>
        </w:rPr>
      </w:pPr>
    </w:p>
    <w:p>
      <w:pPr>
        <w:ind w:right="80" w:firstLine="464"/>
        <w:spacing w:after="0" w:line="258" w:lineRule="auto"/>
        <w:tabs>
          <w:tab w:leader="none" w:pos="73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VWAP</w:t>
      </w:r>
      <w:r>
        <w:rPr>
          <w:rFonts w:ascii="Arial" w:cs="Arial" w:eastAsia="Arial" w:hAnsi="Arial"/>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“HP” function (set to weighted average) or, if the foregoing does not apply, the dollar volume-weighted average price of such security in the over-the-counter market on the electronic bulletin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0" w:right="239" w:bottom="1440" w:gutter="0" w:footer="0" w:header="0"/>
        </w:sectPr>
      </w:pPr>
    </w:p>
    <w:bookmarkStart w:id="246" w:name="page247"/>
    <w:bookmarkEnd w:id="24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share dividend, share split, share combination, recapitalization or other similar transaction during such period.</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274" w:right="319" w:bottom="1440" w:gutter="0" w:footer="0" w:header="0"/>
        </w:sectPr>
      </w:pPr>
    </w:p>
    <w:bookmarkStart w:id="247" w:name="page248"/>
    <w:bookmarkEnd w:id="247"/>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the Company has caused this Warrant to Purchase Ordinary Shares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Christina M. Ibrahim</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Executive Vice President, General</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Counsel and Corporate Secretary</w:t>
      </w:r>
    </w:p>
    <w:p>
      <w:pPr>
        <w:sectPr>
          <w:pgSz w:w="11900" w:h="16838" w:orient="portrait"/>
          <w:cols w:equalWidth="0" w:num="1">
            <w:col w:w="11080"/>
          </w:cols>
          <w:pgMar w:left="240" w:top="270" w:right="579" w:bottom="1440" w:gutter="0" w:footer="0" w:header="0"/>
        </w:sectPr>
      </w:pPr>
    </w:p>
    <w:bookmarkStart w:id="248" w:name="page249"/>
    <w:bookmarkEnd w:id="248"/>
    <w:p>
      <w:pPr>
        <w:ind w:left="10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ORDINARY SHARES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25" w:lineRule="exact"/>
        <w:rPr>
          <w:sz w:val="20"/>
          <w:szCs w:val="20"/>
          <w:color w:val="auto"/>
        </w:rPr>
      </w:pPr>
    </w:p>
    <w:p>
      <w:pPr>
        <w:ind w:left="460"/>
        <w:spacing w:after="0"/>
        <w:tabs>
          <w:tab w:leader="none" w:pos="9020" w:val="left"/>
        </w:tabs>
        <w:rPr>
          <w:sz w:val="20"/>
          <w:szCs w:val="20"/>
          <w:color w:val="auto"/>
        </w:rPr>
      </w:pPr>
      <w:r>
        <w:rPr>
          <w:rFonts w:ascii="Arial" w:cs="Arial" w:eastAsia="Arial" w:hAnsi="Arial"/>
          <w:sz w:val="18"/>
          <w:szCs w:val="18"/>
          <w:color w:val="auto"/>
        </w:rPr>
        <w:t>The undersigned holder (the “</w:t>
      </w:r>
      <w:r>
        <w:rPr>
          <w:rFonts w:ascii="Arial" w:cs="Arial" w:eastAsia="Arial" w:hAnsi="Arial"/>
          <w:sz w:val="18"/>
          <w:szCs w:val="18"/>
          <w:b w:val="1"/>
          <w:bCs w:val="1"/>
          <w:color w:val="auto"/>
        </w:rPr>
        <w:t>Holder</w:t>
      </w:r>
      <w:r>
        <w:rPr>
          <w:rFonts w:ascii="Arial" w:cs="Arial" w:eastAsia="Arial" w:hAnsi="Arial"/>
          <w:sz w:val="18"/>
          <w:szCs w:val="18"/>
          <w:color w:val="auto"/>
        </w:rPr>
        <w:t>”) hereby elects to exercise the Warrant to Purchase Ordinary Shares No.</w:t>
      </w:r>
      <w:r>
        <w:rPr>
          <w:sz w:val="20"/>
          <w:szCs w:val="20"/>
          <w:color w:val="auto"/>
        </w:rPr>
        <w:tab/>
      </w:r>
      <w:r>
        <w:rPr>
          <w:rFonts w:ascii="Arial" w:cs="Arial" w:eastAsia="Arial" w:hAnsi="Arial"/>
          <w:sz w:val="17"/>
          <w:szCs w:val="17"/>
          <w:color w:val="auto"/>
        </w:rPr>
        <w:t>(the “</w:t>
      </w:r>
      <w:r>
        <w:rPr>
          <w:rFonts w:ascii="Arial" w:cs="Arial" w:eastAsia="Arial" w:hAnsi="Arial"/>
          <w:sz w:val="17"/>
          <w:szCs w:val="17"/>
          <w:b w:val="1"/>
          <w:bCs w:val="1"/>
          <w:color w:val="auto"/>
        </w:rPr>
        <w:t>Warrant</w:t>
      </w:r>
      <w:r>
        <w:rPr>
          <w:rFonts w:ascii="Arial" w:cs="Arial" w:eastAsia="Arial" w:hAnsi="Arial"/>
          <w:sz w:val="17"/>
          <w:szCs w:val="17"/>
          <w:color w:val="auto"/>
        </w:rPr>
        <w:t>”) of Weatherford</w:t>
      </w:r>
    </w:p>
    <w:p>
      <w:pPr>
        <w:spacing w:after="0" w:line="2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International plc, an Irish public limited company (the “</w:t>
      </w:r>
      <w:r>
        <w:rPr>
          <w:rFonts w:ascii="Arial" w:cs="Arial" w:eastAsia="Arial" w:hAnsi="Arial"/>
          <w:sz w:val="18"/>
          <w:szCs w:val="18"/>
          <w:b w:val="1"/>
          <w:bCs w:val="1"/>
          <w:color w:val="auto"/>
        </w:rPr>
        <w:t>Company</w:t>
      </w:r>
      <w:r>
        <w:rPr>
          <w:rFonts w:ascii="Arial" w:cs="Arial" w:eastAsia="Arial" w:hAnsi="Arial"/>
          <w:sz w:val="18"/>
          <w:szCs w:val="18"/>
          <w:color w:val="auto"/>
        </w:rPr>
        <w:t>”) as specified below. Capitalized terms used herein and not otherwise defined shall have the respective meanings set forth in the Warrant.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Aggregate Exercise Price shall be made as:</w:t>
      </w:r>
    </w:p>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gridSpan w:val="4"/>
          </w:tcPr>
          <w:p>
            <w:pPr>
              <w:ind w:left="140"/>
              <w:spacing w:after="0"/>
              <w:rPr>
                <w:sz w:val="20"/>
                <w:szCs w:val="20"/>
                <w:color w:val="auto"/>
              </w:rPr>
            </w:pPr>
            <w:r>
              <w:rPr>
                <w:rFonts w:ascii="Arial" w:cs="Arial" w:eastAsia="Arial" w:hAnsi="Arial"/>
                <w:sz w:val="18"/>
                <w:szCs w:val="18"/>
                <w:color w:val="auto"/>
              </w:rPr>
              <w:t>a “Cash Exercise” with respect to</w:t>
            </w:r>
          </w:p>
        </w:tc>
        <w:tc>
          <w:tcPr>
            <w:tcW w:w="2000" w:type="dxa"/>
            <w:vAlign w:val="bottom"/>
          </w:tcPr>
          <w:p>
            <w:pPr>
              <w:jc w:val="center"/>
              <w:ind w:left="270"/>
              <w:spacing w:after="0"/>
              <w:rPr>
                <w:sz w:val="20"/>
                <w:szCs w:val="20"/>
                <w:color w:val="auto"/>
              </w:rPr>
            </w:pPr>
            <w:r>
              <w:rPr>
                <w:rFonts w:ascii="Arial" w:cs="Arial" w:eastAsia="Arial" w:hAnsi="Arial"/>
                <w:sz w:val="18"/>
                <w:szCs w:val="18"/>
                <w:color w:val="auto"/>
                <w:w w:val="87"/>
              </w:rPr>
              <w:t>Warrant Shares; and/or</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vMerge w:val="continue"/>
          </w:tcPr>
          <w:p>
            <w:pPr>
              <w:spacing w:after="0"/>
              <w:rPr>
                <w:sz w:val="24"/>
                <w:szCs w:val="24"/>
                <w:color w:val="auto"/>
              </w:rPr>
            </w:pPr>
          </w:p>
        </w:tc>
        <w:tc>
          <w:tcPr>
            <w:tcW w:w="3200" w:type="dxa"/>
            <w:vAlign w:val="bottom"/>
            <w:gridSpan w:val="4"/>
          </w:tcPr>
          <w:p>
            <w:pPr>
              <w:ind w:left="140"/>
              <w:spacing w:after="0"/>
              <w:rPr>
                <w:sz w:val="20"/>
                <w:szCs w:val="20"/>
                <w:color w:val="auto"/>
              </w:rPr>
            </w:pPr>
            <w:r>
              <w:rPr>
                <w:rFonts w:ascii="Arial" w:cs="Arial" w:eastAsia="Arial" w:hAnsi="Arial"/>
                <w:sz w:val="18"/>
                <w:szCs w:val="18"/>
                <w:color w:val="auto"/>
              </w:rPr>
              <w:t>a “Cashless Exercise” with respect to</w:t>
            </w:r>
          </w:p>
        </w:tc>
        <w:tc>
          <w:tcPr>
            <w:tcW w:w="2000" w:type="dxa"/>
            <w:vAlign w:val="bottom"/>
          </w:tcPr>
          <w:p>
            <w:pPr>
              <w:jc w:val="center"/>
              <w:ind w:left="290"/>
              <w:spacing w:after="0"/>
              <w:rPr>
                <w:sz w:val="20"/>
                <w:szCs w:val="20"/>
                <w:color w:val="auto"/>
              </w:rPr>
            </w:pPr>
            <w:r>
              <w:rPr>
                <w:rFonts w:ascii="Arial" w:cs="Arial" w:eastAsia="Arial" w:hAnsi="Arial"/>
                <w:sz w:val="18"/>
                <w:szCs w:val="18"/>
                <w:color w:val="auto"/>
                <w:w w:val="86"/>
              </w:rPr>
              <w:t>Warrant Shares.</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that the Holder has elected a Cashless Exercise with respect to some or all of the Warrant Shares to be issued pursuant hereto, the Holder</w:t>
      </w:r>
    </w:p>
    <w:p>
      <w:pPr>
        <w:spacing w:after="0" w:line="46" w:lineRule="exact"/>
        <w:rPr>
          <w:sz w:val="20"/>
          <w:szCs w:val="20"/>
          <w:color w:val="auto"/>
        </w:rPr>
      </w:pPr>
    </w:p>
    <w:p>
      <w:pPr>
        <w:spacing w:after="0"/>
        <w:tabs>
          <w:tab w:leader="none" w:pos="6880" w:val="left"/>
        </w:tabs>
        <w:rPr>
          <w:sz w:val="20"/>
          <w:szCs w:val="20"/>
          <w:color w:val="auto"/>
        </w:rPr>
      </w:pPr>
      <w:r>
        <w:rPr>
          <w:rFonts w:ascii="Arial" w:cs="Arial" w:eastAsia="Arial" w:hAnsi="Arial"/>
          <w:sz w:val="18"/>
          <w:szCs w:val="18"/>
          <w:color w:val="auto"/>
        </w:rPr>
        <w:t>hereby represents and warrants that this Exercise Notice was executed by the Holder at</w:t>
      </w:r>
      <w:r>
        <w:rPr>
          <w:sz w:val="20"/>
          <w:szCs w:val="20"/>
          <w:color w:val="auto"/>
        </w:rPr>
        <w:tab/>
      </w:r>
      <w:r>
        <w:rPr>
          <w:rFonts w:ascii="Arial" w:cs="Arial" w:eastAsia="Arial" w:hAnsi="Arial"/>
          <w:sz w:val="16"/>
          <w:szCs w:val="16"/>
          <w:color w:val="auto"/>
        </w:rPr>
        <w:t>[a.m.][p.m.] on the date set forth below.</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to be issued</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pursuant hereto, the Holder hereby unconditionally and irrevocably undertakes to pay the Aggregate Exercise Price in the sum of $ to the Company in accordance with the terms of the Warrant.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gridSpan w:val="5"/>
          </w:tcPr>
          <w:p>
            <w:pPr>
              <w:ind w:left="460"/>
              <w:spacing w:after="0"/>
              <w:rPr>
                <w:sz w:val="20"/>
                <w:szCs w:val="20"/>
                <w:color w:val="auto"/>
              </w:rPr>
            </w:pPr>
            <w:r>
              <w:rPr>
                <w:rFonts w:ascii="Arial" w:cs="Arial" w:eastAsia="Arial" w:hAnsi="Arial"/>
                <w:sz w:val="18"/>
                <w:szCs w:val="18"/>
                <w:color w:val="auto"/>
                <w:w w:val="93"/>
              </w:rPr>
              <w:t>3. Delivery of Warrant Shares. The Company shall deliver to Holder, or its designee or agent as specified below,</w:t>
            </w:r>
          </w:p>
        </w:tc>
        <w:tc>
          <w:tcPr>
            <w:tcW w:w="2560" w:type="dxa"/>
            <w:vAlign w:val="bottom"/>
          </w:tcPr>
          <w:p>
            <w:pPr>
              <w:ind w:left="320"/>
              <w:spacing w:after="0"/>
              <w:rPr>
                <w:sz w:val="20"/>
                <w:szCs w:val="20"/>
                <w:color w:val="auto"/>
              </w:rPr>
            </w:pPr>
            <w:r>
              <w:rPr>
                <w:rFonts w:ascii="Arial" w:cs="Arial" w:eastAsia="Arial" w:hAnsi="Arial"/>
                <w:sz w:val="18"/>
                <w:szCs w:val="18"/>
                <w:color w:val="auto"/>
                <w:w w:val="91"/>
              </w:rPr>
              <w:t>Warrant Shares in accordance</w:t>
            </w:r>
          </w:p>
        </w:tc>
      </w:tr>
      <w:tr>
        <w:trPr>
          <w:trHeight w:val="20"/>
        </w:trPr>
        <w:tc>
          <w:tcPr>
            <w:tcW w:w="640" w:type="dxa"/>
            <w:vAlign w:val="bottom"/>
          </w:tcPr>
          <w:p>
            <w:pPr>
              <w:spacing w:after="0" w:line="20" w:lineRule="exact"/>
              <w:rPr>
                <w:sz w:val="1"/>
                <w:szCs w:val="1"/>
                <w:color w:val="auto"/>
              </w:rPr>
            </w:pPr>
          </w:p>
        </w:tc>
        <w:tc>
          <w:tcPr>
            <w:tcW w:w="1980" w:type="dxa"/>
            <w:vAlign w:val="bottom"/>
            <w:gridSpan w:val="3"/>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37"/>
        </w:trPr>
        <w:tc>
          <w:tcPr>
            <w:tcW w:w="8860" w:type="dxa"/>
            <w:vAlign w:val="bottom"/>
            <w:gridSpan w:val="5"/>
          </w:tcPr>
          <w:p>
            <w:pPr>
              <w:spacing w:after="0"/>
              <w:rPr>
                <w:sz w:val="20"/>
                <w:szCs w:val="20"/>
                <w:color w:val="auto"/>
              </w:rPr>
            </w:pPr>
            <w:r>
              <w:rPr>
                <w:rFonts w:ascii="Arial" w:cs="Arial" w:eastAsia="Arial" w:hAnsi="Arial"/>
                <w:sz w:val="18"/>
                <w:szCs w:val="18"/>
                <w:color w:val="auto"/>
              </w:rPr>
              <w:t>with the terms of the Warrant. Delivery shall be made to Holder, or for its benefit, as follows:</w:t>
            </w:r>
          </w:p>
        </w:tc>
        <w:tc>
          <w:tcPr>
            <w:tcW w:w="2560" w:type="dxa"/>
            <w:vAlign w:val="bottom"/>
          </w:tcPr>
          <w:p>
            <w:pPr>
              <w:spacing w:after="0"/>
              <w:rPr>
                <w:sz w:val="20"/>
                <w:szCs w:val="20"/>
                <w:color w:val="auto"/>
              </w:rPr>
            </w:pPr>
          </w:p>
        </w:tc>
      </w:tr>
      <w:tr>
        <w:trPr>
          <w:trHeight w:val="452"/>
        </w:trPr>
        <w:tc>
          <w:tcPr>
            <w:tcW w:w="8860" w:type="dxa"/>
            <w:vAlign w:val="bottom"/>
            <w:gridSpan w:val="5"/>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here if requesting delivery as a certificate to the following name and to the following address:</w:t>
            </w:r>
          </w:p>
        </w:tc>
        <w:tc>
          <w:tcPr>
            <w:tcW w:w="2560" w:type="dxa"/>
            <w:vAlign w:val="bottom"/>
          </w:tcPr>
          <w:p>
            <w:pPr>
              <w:spacing w:after="0"/>
              <w:rPr>
                <w:sz w:val="24"/>
                <w:szCs w:val="24"/>
                <w:color w:val="auto"/>
              </w:rPr>
            </w:pPr>
          </w:p>
        </w:tc>
      </w:tr>
      <w:tr>
        <w:trPr>
          <w:trHeight w:val="439"/>
        </w:trPr>
        <w:tc>
          <w:tcPr>
            <w:tcW w:w="1240" w:type="dxa"/>
            <w:vAlign w:val="bottom"/>
            <w:gridSpan w:val="2"/>
          </w:tcPr>
          <w:p>
            <w:pPr>
              <w:ind w:left="460"/>
              <w:spacing w:after="0"/>
              <w:rPr>
                <w:sz w:val="20"/>
                <w:szCs w:val="20"/>
                <w:color w:val="auto"/>
              </w:rPr>
            </w:pPr>
            <w:r>
              <w:rPr>
                <w:rFonts w:ascii="Arial" w:cs="Arial" w:eastAsia="Arial" w:hAnsi="Arial"/>
                <w:sz w:val="18"/>
                <w:szCs w:val="18"/>
                <w:color w:val="auto"/>
              </w:rPr>
              <w:t>Issue to:</w:t>
            </w:r>
          </w:p>
        </w:tc>
        <w:tc>
          <w:tcPr>
            <w:tcW w:w="7620" w:type="dxa"/>
            <w:vAlign w:val="bottom"/>
            <w:tcBorders>
              <w:bottom w:val="single" w:sz="8" w:color="auto"/>
            </w:tcBorders>
            <w:gridSpan w:val="3"/>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r>
        <w:trPr>
          <w:trHeight w:val="223"/>
        </w:trPr>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2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2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r>
      <w:tr>
        <w:trPr>
          <w:trHeight w:val="459"/>
        </w:trPr>
        <w:tc>
          <w:tcPr>
            <w:tcW w:w="8860" w:type="dxa"/>
            <w:vAlign w:val="bottom"/>
            <w:gridSpan w:val="5"/>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here if requesting delivery by Deposit/Withdrawal at Custodian as follows:</w:t>
            </w:r>
          </w:p>
        </w:tc>
        <w:tc>
          <w:tcPr>
            <w:tcW w:w="2560" w:type="dxa"/>
            <w:vAlign w:val="bottom"/>
          </w:tcPr>
          <w:p>
            <w:pPr>
              <w:spacing w:after="0"/>
              <w:rPr>
                <w:sz w:val="24"/>
                <w:szCs w:val="24"/>
                <w:color w:val="auto"/>
              </w:rPr>
            </w:pPr>
          </w:p>
        </w:tc>
      </w:tr>
      <w:tr>
        <w:trPr>
          <w:trHeight w:val="439"/>
        </w:trPr>
        <w:tc>
          <w:tcPr>
            <w:tcW w:w="1900" w:type="dxa"/>
            <w:vAlign w:val="bottom"/>
            <w:gridSpan w:val="3"/>
          </w:tcPr>
          <w:p>
            <w:pPr>
              <w:ind w:left="460"/>
              <w:spacing w:after="0"/>
              <w:rPr>
                <w:sz w:val="20"/>
                <w:szCs w:val="20"/>
                <w:color w:val="auto"/>
              </w:rPr>
            </w:pPr>
            <w:r>
              <w:rPr>
                <w:rFonts w:ascii="Arial" w:cs="Arial" w:eastAsia="Arial" w:hAnsi="Arial"/>
                <w:sz w:val="18"/>
                <w:szCs w:val="18"/>
                <w:color w:val="auto"/>
              </w:rPr>
              <w:t>DTC Participant:</w:t>
            </w:r>
          </w:p>
        </w:tc>
        <w:tc>
          <w:tcPr>
            <w:tcW w:w="6960" w:type="dxa"/>
            <w:vAlign w:val="bottom"/>
            <w:tcBorders>
              <w:bottom w:val="single" w:sz="8" w:color="auto"/>
            </w:tcBorders>
            <w:gridSpan w:val="2"/>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49" w:name="page250"/>
    <w:bookmarkEnd w:id="24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14605</wp:posOffset>
            </wp:positionV>
            <wp:extent cx="59772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77255" cy="889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14605</wp:posOffset>
            </wp:positionV>
            <wp:extent cx="597725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77255" cy="8890"/>
                    </a:xfrm>
                    <a:prstGeom prst="rect">
                      <a:avLst/>
                    </a:prstGeom>
                    <a:noFill/>
                  </pic:spPr>
                </pic:pic>
              </a:graphicData>
            </a:graphic>
          </wp:anchor>
        </w:drawing>
      </w:r>
    </w:p>
    <w:p>
      <w:pPr>
        <w:spacing w:after="0" w:line="259" w:lineRule="exact"/>
        <w:rPr>
          <w:sz w:val="20"/>
          <w:szCs w:val="20"/>
          <w:color w:val="auto"/>
        </w:rPr>
      </w:pPr>
    </w:p>
    <w:p>
      <w:pPr>
        <w:spacing w:after="0"/>
        <w:tabs>
          <w:tab w:leader="none" w:pos="382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43815</wp:posOffset>
            </wp:positionV>
            <wp:extent cx="259016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5901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267335</wp:posOffset>
            </wp:positionV>
            <wp:extent cx="28987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63271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Tax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16979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14605</wp:posOffset>
            </wp:positionV>
            <wp:extent cx="202374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14605</wp:posOffset>
            </wp:positionV>
            <wp:extent cx="168084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250" w:name="page251"/>
    <w:bookmarkEnd w:id="250"/>
    <w:p>
      <w:pPr>
        <w:ind w:left="10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to issue the above indicated number of Ordinary Shares in accordance with the Transfer Agent Instructions dated , 201 , from the Company and acknowledged and agreed to by .</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0" w:right="2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566420</wp:posOffset>
            </wp:positionV>
            <wp:extent cx="2735580" cy="9861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73558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Banhofstrasse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6340 Baar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Our Ref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Your Ref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21 November 2016</w:t>
      </w:r>
    </w:p>
    <w:p>
      <w:pPr>
        <w:spacing w:after="0" w:line="46" w:lineRule="exact"/>
        <w:rPr>
          <w:sz w:val="20"/>
          <w:szCs w:val="20"/>
          <w:color w:val="auto"/>
        </w:rPr>
      </w:pPr>
    </w:p>
    <w:p>
      <w:pPr>
        <w:sectPr>
          <w:pgSz w:w="11900" w:h="16838" w:orient="portrait"/>
          <w:cols w:equalWidth="0" w:num="3">
            <w:col w:w="3400" w:space="720"/>
            <w:col w:w="5200" w:space="720"/>
            <w:col w:w="13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FBO 661725.22</w:t>
      </w:r>
    </w:p>
    <w:p>
      <w:pPr>
        <w:sectPr>
          <w:pgSz w:w="11900" w:h="16838" w:orient="portrait"/>
          <w:cols w:equalWidth="0" w:num="1">
            <w:col w:w="11420"/>
          </w:cols>
          <w:pgMar w:left="240" w:top="121" w:right="239"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have acted on behalf of Weatherford International public limited company, a public limited company incorporated under the laws of Ireland with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number 540406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proposed offering by the Company of up to 84,500,000 ordinary shares (nominal value of US$0.001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 share) in the capital of the Company (the “</w:t>
      </w:r>
      <w:r>
        <w:rPr>
          <w:rFonts w:ascii="Arial" w:cs="Arial" w:eastAsia="Arial" w:hAnsi="Arial"/>
          <w:sz w:val="16"/>
          <w:szCs w:val="16"/>
          <w:b w:val="1"/>
          <w:bCs w:val="1"/>
          <w:color w:val="auto"/>
        </w:rPr>
        <w:t>Shares</w:t>
      </w:r>
      <w:r>
        <w:rPr>
          <w:rFonts w:ascii="Arial" w:cs="Arial" w:eastAsia="Arial" w:hAnsi="Arial"/>
          <w:sz w:val="16"/>
          <w:szCs w:val="16"/>
          <w:color w:val="auto"/>
        </w:rPr>
        <w:t>”) and a warrant (the “</w:t>
      </w:r>
      <w:r>
        <w:rPr>
          <w:rFonts w:ascii="Arial" w:cs="Arial" w:eastAsia="Arial" w:hAnsi="Arial"/>
          <w:sz w:val="16"/>
          <w:szCs w:val="16"/>
          <w:b w:val="1"/>
          <w:bCs w:val="1"/>
          <w:color w:val="auto"/>
        </w:rPr>
        <w:t>Warrant</w:t>
      </w:r>
      <w:r>
        <w:rPr>
          <w:rFonts w:ascii="Arial" w:cs="Arial" w:eastAsia="Arial" w:hAnsi="Arial"/>
          <w:sz w:val="16"/>
          <w:szCs w:val="16"/>
          <w:color w:val="auto"/>
        </w:rPr>
        <w:t>”) to purchase up to an additional 84,500,000 ordinary shares (nominal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US$0.001 per share) in the capital of the Company, pursuant to a post-effective amendment No. 2 to the registration statement on Form S-3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by the Company pursuant to the Securities Act of 1933 of the United States of America,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Securities and Exchange Commission of the United States of America (the “</w:t>
      </w:r>
      <w:r>
        <w:rPr>
          <w:rFonts w:ascii="Arial" w:cs="Arial" w:eastAsia="Arial" w:hAnsi="Arial"/>
          <w:sz w:val="16"/>
          <w:szCs w:val="16"/>
          <w:b w:val="1"/>
          <w:bCs w:val="1"/>
          <w:color w:val="auto"/>
        </w:rPr>
        <w:t>SEC</w:t>
      </w:r>
      <w:r>
        <w:rPr>
          <w:rFonts w:ascii="Arial" w:cs="Arial" w:eastAsia="Arial" w:hAnsi="Arial"/>
          <w:sz w:val="16"/>
          <w:szCs w:val="16"/>
          <w:color w:val="auto"/>
        </w:rPr>
        <w:t>”), the related prospectus dated 16 November 2016 included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(the “</w:t>
      </w:r>
      <w:r>
        <w:rPr>
          <w:rFonts w:ascii="Arial" w:cs="Arial" w:eastAsia="Arial" w:hAnsi="Arial"/>
          <w:sz w:val="16"/>
          <w:szCs w:val="16"/>
          <w:b w:val="1"/>
          <w:bCs w:val="1"/>
          <w:color w:val="auto"/>
        </w:rPr>
        <w:t>Base Prospectus</w:t>
      </w:r>
      <w:r>
        <w:rPr>
          <w:rFonts w:ascii="Arial" w:cs="Arial" w:eastAsia="Arial" w:hAnsi="Arial"/>
          <w:sz w:val="16"/>
          <w:szCs w:val="16"/>
          <w:color w:val="auto"/>
        </w:rPr>
        <w:t>”), the prospectus supplement relating to the Shares and the Warrant filed with the SEC on 18 November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xml:space="preserve">” and, together with the </w:t>
      </w:r>
      <w:r>
        <w:rPr>
          <w:rFonts w:ascii="Arial" w:cs="Arial" w:eastAsia="Arial" w:hAnsi="Arial"/>
          <w:sz w:val="16"/>
          <w:szCs w:val="16"/>
          <w:b w:val="1"/>
          <w:bCs w:val="1"/>
          <w:color w:val="auto"/>
        </w:rPr>
        <w:t>Base Prospectus</w:t>
      </w:r>
      <w:r>
        <w:rPr>
          <w:rFonts w:ascii="Arial" w:cs="Arial" w:eastAsia="Arial" w:hAnsi="Arial"/>
          <w:sz w:val="16"/>
          <w:szCs w:val="16"/>
          <w:color w:val="auto"/>
        </w:rPr>
        <w:t>, the “</w:t>
      </w:r>
      <w:r>
        <w:rPr>
          <w:rFonts w:ascii="Arial" w:cs="Arial" w:eastAsia="Arial" w:hAnsi="Arial"/>
          <w:sz w:val="16"/>
          <w:szCs w:val="16"/>
          <w:b w:val="1"/>
          <w:bCs w:val="1"/>
          <w:color w:val="auto"/>
        </w:rPr>
        <w:t>Prospectus</w:t>
      </w:r>
      <w:r>
        <w:rPr>
          <w:rFonts w:ascii="Arial" w:cs="Arial" w:eastAsia="Arial" w:hAnsi="Arial"/>
          <w:sz w:val="16"/>
          <w:szCs w:val="16"/>
          <w:color w:val="auto"/>
        </w:rPr>
        <w:t>”) and a subscription agreement dated 16 November 2016 between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the investor (as defined therein)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w:t>
      </w:r>
    </w:p>
    <w:p>
      <w:pPr>
        <w:spacing w:after="0" w:line="234" w:lineRule="exact"/>
        <w:rPr>
          <w:sz w:val="20"/>
          <w:szCs w:val="20"/>
          <w:color w:val="auto"/>
        </w:rPr>
      </w:pPr>
    </w:p>
    <w:p>
      <w:pPr>
        <w:ind w:left="460" w:hanging="452"/>
        <w:spacing w:after="0"/>
        <w:tabs>
          <w:tab w:leader="none" w:pos="460" w:val="left"/>
        </w:tabs>
        <w:numPr>
          <w:ilvl w:val="0"/>
          <w:numId w:val="251"/>
        </w:numPr>
        <w:rPr>
          <w:rFonts w:ascii="Arial" w:cs="Arial" w:eastAsia="Arial" w:hAnsi="Arial"/>
          <w:sz w:val="18"/>
          <w:szCs w:val="18"/>
          <w:color w:val="auto"/>
        </w:rPr>
      </w:pPr>
      <w:r>
        <w:rPr>
          <w:rFonts w:ascii="Arial" w:cs="Arial" w:eastAsia="Arial" w:hAnsi="Arial"/>
          <w:sz w:val="18"/>
          <w:szCs w:val="18"/>
          <w:b w:val="1"/>
          <w:bCs w:val="1"/>
          <w:color w:val="auto"/>
        </w:rPr>
        <w:t>Scope of appointment and basis of opinion</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We have been requested by the Company to provide this opinion.</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For the purpose of giving this opinion, we have examined:</w:t>
      </w:r>
    </w:p>
    <w:p>
      <w:pPr>
        <w:spacing w:after="0" w:line="252" w:lineRule="exact"/>
        <w:rPr>
          <w:sz w:val="20"/>
          <w:szCs w:val="20"/>
          <w:color w:val="auto"/>
        </w:rPr>
      </w:pPr>
    </w:p>
    <w:p>
      <w:pPr>
        <w:ind w:left="900" w:hanging="446"/>
        <w:spacing w:after="0"/>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final form of the Prospectus and a copy of the Subscription Agreement, sent to us in a pdf attachment to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5188585" cy="8318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88585" cy="8318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52" w:name="page253"/>
    <w:bookmarkEnd w:id="252"/>
    <w:p>
      <w:pPr>
        <w:ind w:left="880" w:right="80" w:hanging="446"/>
        <w:spacing w:after="0" w:line="277" w:lineRule="auto"/>
        <w:tabs>
          <w:tab w:leader="none" w:pos="8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6109335</wp:posOffset>
            </wp:positionH>
            <wp:positionV relativeFrom="page">
              <wp:posOffset>183515</wp:posOffset>
            </wp:positionV>
            <wp:extent cx="1294765" cy="1974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clrChange>
                        <a:clrFrom>
                          <a:srgbClr val="FFFFFF"/>
                        </a:clrFrom>
                        <a:clrTo>
                          <a:srgbClr val="FFFFFF">
                            <a:alpha val="0"/>
                          </a:srgbClr>
                        </a:clrTo>
                      </a:clrChange>
                      <a:extLst>
                        <a:ext uri="{28A0092B-C50C-407E-A947-70E740481C1C}"/>
                      </a:extLst>
                    </a:blip>
                    <a:srcRect/>
                    <a:stretch>
                      <a:fillRect/>
                    </a:stretch>
                  </pic:blipFill>
                  <pic:spPr bwMode="auto">
                    <a:xfrm>
                      <a:off x="0" y="0"/>
                      <a:ext cx="1294765" cy="197485"/>
                    </a:xfrm>
                    <a:prstGeom prst="rect">
                      <a:avLst/>
                    </a:prstGeom>
                    <a:noFill/>
                  </pic:spPr>
                </pic:pic>
              </a:graphicData>
            </a:graphic>
          </wp:anchor>
        </w:drawing>
        <w:t>a copy of the Memorandum and Articles of Association of the Company (as set out in Exhibit 3.1 to the Company’s Current Report on Form 8-K filed with the SEC on 17 June 2014);</w:t>
      </w:r>
    </w:p>
    <w:p>
      <w:pPr>
        <w:spacing w:after="0" w:line="197" w:lineRule="exact"/>
        <w:rPr>
          <w:rFonts w:ascii="Arial" w:cs="Arial" w:eastAsia="Arial" w:hAnsi="Arial"/>
          <w:sz w:val="18"/>
          <w:szCs w:val="18"/>
          <w:color w:val="auto"/>
        </w:rPr>
      </w:pPr>
    </w:p>
    <w:p>
      <w:pPr>
        <w:ind w:left="880" w:right="120" w:hanging="446"/>
        <w:spacing w:after="0" w:line="264" w:lineRule="auto"/>
        <w:tabs>
          <w:tab w:leader="none" w:pos="8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copy of resolutions of the board of directors’ of the Company passed on 7 November 2016, certified by an assistant secretary of the Company to be a true and complete copy of those resolutions of the board and that the resolutions contained therein have not since been amended or rescinded;</w:t>
      </w:r>
    </w:p>
    <w:p>
      <w:pPr>
        <w:spacing w:after="0" w:line="208" w:lineRule="exact"/>
        <w:rPr>
          <w:rFonts w:ascii="Arial" w:cs="Arial" w:eastAsia="Arial" w:hAnsi="Arial"/>
          <w:sz w:val="18"/>
          <w:szCs w:val="18"/>
          <w:color w:val="auto"/>
        </w:rPr>
      </w:pPr>
    </w:p>
    <w:p>
      <w:pPr>
        <w:ind w:left="880" w:right="260" w:hanging="446"/>
        <w:spacing w:after="0" w:line="277" w:lineRule="auto"/>
        <w:tabs>
          <w:tab w:leader="none" w:pos="8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copy of written resolutions of the shareholders of Company passed on 16 June 2014, certified by an assistant secretary of the Company to be a true and complete copy of those shareholders’ resolutions which have not since been amended or rescinded;</w:t>
      </w:r>
    </w:p>
    <w:p>
      <w:pPr>
        <w:spacing w:after="0" w:line="193" w:lineRule="exact"/>
        <w:rPr>
          <w:rFonts w:ascii="Arial" w:cs="Arial" w:eastAsia="Arial" w:hAnsi="Arial"/>
          <w:sz w:val="18"/>
          <w:szCs w:val="18"/>
          <w:color w:val="auto"/>
        </w:rPr>
      </w:pPr>
    </w:p>
    <w:p>
      <w:pPr>
        <w:ind w:left="880" w:hanging="446"/>
        <w:spacing w:after="0"/>
        <w:tabs>
          <w:tab w:leader="none" w:pos="88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 certificate of an assistant secretary of the Company (the “</w:t>
      </w:r>
      <w:r>
        <w:rPr>
          <w:rFonts w:ascii="Arial" w:cs="Arial" w:eastAsia="Arial" w:hAnsi="Arial"/>
          <w:sz w:val="17"/>
          <w:szCs w:val="17"/>
          <w:b w:val="1"/>
          <w:bCs w:val="1"/>
          <w:color w:val="auto"/>
        </w:rPr>
        <w:t>Certificate</w:t>
      </w:r>
      <w:r>
        <w:rPr>
          <w:rFonts w:ascii="Arial" w:cs="Arial" w:eastAsia="Arial" w:hAnsi="Arial"/>
          <w:sz w:val="17"/>
          <w:szCs w:val="17"/>
          <w:color w:val="auto"/>
        </w:rPr>
        <w:t>”), certifying the matters referred to in the preceding sub-paragraphs</w:t>
      </w:r>
    </w:p>
    <w:p>
      <w:pPr>
        <w:spacing w:after="0" w:line="38"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(c) and (d);</w:t>
      </w:r>
    </w:p>
    <w:p>
      <w:pPr>
        <w:spacing w:after="0" w:line="237" w:lineRule="exact"/>
        <w:rPr>
          <w:rFonts w:ascii="Arial" w:cs="Arial" w:eastAsia="Arial" w:hAnsi="Arial"/>
          <w:sz w:val="17"/>
          <w:szCs w:val="17"/>
          <w:color w:val="auto"/>
        </w:rPr>
      </w:pPr>
    </w:p>
    <w:p>
      <w:pPr>
        <w:jc w:val="both"/>
        <w:ind w:left="880" w:right="200" w:hanging="446"/>
        <w:spacing w:after="0" w:line="264" w:lineRule="auto"/>
        <w:tabs>
          <w:tab w:leader="none" w:pos="8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 email transmission copy of the results of searches made on 21 November 2016 at the Irish Companies Registration Office, in the Register of Winding Up Petitions at the Central Office of the High Court of Ireland and at the Judgments’ Office in the Central Office of the High Court of Ireland against the Company (together the “</w:t>
      </w:r>
      <w:r>
        <w:rPr>
          <w:rFonts w:ascii="Arial" w:cs="Arial" w:eastAsia="Arial" w:hAnsi="Arial"/>
          <w:sz w:val="18"/>
          <w:szCs w:val="18"/>
          <w:b w:val="1"/>
          <w:bCs w:val="1"/>
          <w:color w:val="auto"/>
        </w:rPr>
        <w:t>Searches</w:t>
      </w:r>
      <w:r>
        <w:rPr>
          <w:rFonts w:ascii="Arial" w:cs="Arial" w:eastAsia="Arial" w:hAnsi="Arial"/>
          <w:sz w:val="18"/>
          <w:szCs w:val="18"/>
          <w:color w:val="auto"/>
        </w:rPr>
        <w:t>”); and</w:t>
      </w:r>
    </w:p>
    <w:p>
      <w:pPr>
        <w:spacing w:after="0" w:line="208" w:lineRule="exact"/>
        <w:rPr>
          <w:rFonts w:ascii="Arial" w:cs="Arial" w:eastAsia="Arial" w:hAnsi="Arial"/>
          <w:sz w:val="18"/>
          <w:szCs w:val="18"/>
          <w:color w:val="auto"/>
        </w:rPr>
      </w:pPr>
    </w:p>
    <w:p>
      <w:pPr>
        <w:ind w:left="880" w:hanging="446"/>
        <w:spacing w:after="0"/>
        <w:tabs>
          <w:tab w:leader="none" w:pos="8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such other documents as we deemed necessary to give the opinions set forth herein.</w:t>
      </w:r>
    </w:p>
    <w:p>
      <w:pPr>
        <w:spacing w:after="0" w:line="252" w:lineRule="exact"/>
        <w:rPr>
          <w:sz w:val="20"/>
          <w:szCs w:val="20"/>
          <w:color w:val="auto"/>
        </w:rPr>
      </w:pPr>
    </w:p>
    <w:p>
      <w:pPr>
        <w:ind w:left="440" w:right="60" w:hanging="445"/>
        <w:spacing w:after="0" w:line="264" w:lineRule="auto"/>
        <w:tabs>
          <w:tab w:leader="none" w:pos="420" w:val="left"/>
        </w:tabs>
        <w:rPr>
          <w:sz w:val="20"/>
          <w:szCs w:val="20"/>
          <w:color w:val="auto"/>
        </w:rPr>
      </w:pPr>
      <w:r>
        <w:rPr>
          <w:rFonts w:ascii="Arial" w:cs="Arial" w:eastAsia="Arial" w:hAnsi="Arial"/>
          <w:sz w:val="18"/>
          <w:szCs w:val="18"/>
          <w:color w:val="auto"/>
        </w:rPr>
        <w:t>1.3</w:t>
        <w:tab/>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spacing w:after="0" w:line="208" w:lineRule="exact"/>
        <w:rPr>
          <w:sz w:val="20"/>
          <w:szCs w:val="20"/>
          <w:color w:val="auto"/>
        </w:rPr>
      </w:pPr>
    </w:p>
    <w:p>
      <w:pPr>
        <w:ind w:left="440" w:right="20" w:hanging="445"/>
        <w:spacing w:after="0" w:line="259" w:lineRule="auto"/>
        <w:tabs>
          <w:tab w:leader="none" w:pos="420" w:val="left"/>
        </w:tabs>
        <w:rPr>
          <w:sz w:val="20"/>
          <w:szCs w:val="20"/>
          <w:color w:val="auto"/>
        </w:rPr>
      </w:pPr>
      <w:r>
        <w:rPr>
          <w:rFonts w:ascii="Arial" w:cs="Arial" w:eastAsia="Arial" w:hAnsi="Arial"/>
          <w:sz w:val="18"/>
          <w:szCs w:val="18"/>
          <w:color w:val="auto"/>
        </w:rPr>
        <w:t>1.4</w:t>
        <w:tab/>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the Prospectus, the Subscription Agreement or the Registration Statement nor have we attempted to determine whether any material facts have been omitted therefrom.</w:t>
      </w:r>
    </w:p>
    <w:p>
      <w:pPr>
        <w:spacing w:after="0" w:line="214" w:lineRule="exact"/>
        <w:rPr>
          <w:sz w:val="20"/>
          <w:szCs w:val="20"/>
          <w:color w:val="auto"/>
        </w:rPr>
      </w:pPr>
    </w:p>
    <w:p>
      <w:pPr>
        <w:ind w:left="440" w:hanging="445"/>
        <w:spacing w:after="0" w:line="264" w:lineRule="auto"/>
        <w:tabs>
          <w:tab w:leader="none" w:pos="420" w:val="left"/>
        </w:tabs>
        <w:rPr>
          <w:sz w:val="20"/>
          <w:szCs w:val="20"/>
          <w:color w:val="auto"/>
        </w:rPr>
      </w:pPr>
      <w:r>
        <w:rPr>
          <w:rFonts w:ascii="Arial" w:cs="Arial" w:eastAsia="Arial" w:hAnsi="Arial"/>
          <w:sz w:val="18"/>
          <w:szCs w:val="18"/>
          <w:color w:val="auto"/>
        </w:rPr>
        <w:t>1.5</w:t>
        <w:tab/>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spacing w:after="0" w:line="208" w:lineRule="exact"/>
        <w:rPr>
          <w:sz w:val="20"/>
          <w:szCs w:val="20"/>
          <w:color w:val="auto"/>
        </w:rPr>
      </w:pPr>
    </w:p>
    <w:p>
      <w:pPr>
        <w:ind w:left="440" w:right="580" w:hanging="445"/>
        <w:spacing w:after="0" w:line="264" w:lineRule="auto"/>
        <w:tabs>
          <w:tab w:leader="none" w:pos="420" w:val="left"/>
        </w:tabs>
        <w:rPr>
          <w:sz w:val="20"/>
          <w:szCs w:val="20"/>
          <w:color w:val="auto"/>
        </w:rPr>
      </w:pPr>
      <w:r>
        <w:rPr>
          <w:rFonts w:ascii="Arial" w:cs="Arial" w:eastAsia="Arial" w:hAnsi="Arial"/>
          <w:sz w:val="18"/>
          <w:szCs w:val="18"/>
          <w:color w:val="auto"/>
        </w:rPr>
        <w:t>1.6</w:t>
        <w:tab/>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spacing w:after="0" w:line="208" w:lineRule="exact"/>
        <w:rPr>
          <w:sz w:val="20"/>
          <w:szCs w:val="20"/>
          <w:color w:val="auto"/>
        </w:rPr>
      </w:pPr>
    </w:p>
    <w:p>
      <w:pPr>
        <w:ind w:left="440" w:right="40" w:hanging="445"/>
        <w:spacing w:after="0" w:line="279" w:lineRule="auto"/>
        <w:tabs>
          <w:tab w:leader="none" w:pos="4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This opinion is delivered in connection with the filing of the Prospectus Supplement with the SEC and is strictly limited to the matters stated herein and does not extend to, and is not to be read as extending by implication to, any other matter. We hereby consent to the filing of this opinion as an exhibit to the Prospectus Supplement and to the use of our name therein. In giving this consent, we do not hereby admit that we come within the category of persons whose consent is required under section 7 of the Securities Act or the rules and regulations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733" w:right="239" w:bottom="1440" w:gutter="0" w:footer="0" w:header="0"/>
        </w:sectPr>
      </w:pPr>
    </w:p>
    <w:bookmarkStart w:id="253" w:name="page254"/>
    <w:bookmarkEnd w:id="253"/>
    <w:p>
      <w:pPr>
        <w:ind w:left="4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6109335</wp:posOffset>
            </wp:positionH>
            <wp:positionV relativeFrom="page">
              <wp:posOffset>183515</wp:posOffset>
            </wp:positionV>
            <wp:extent cx="1294765" cy="1974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1294765" cy="197485"/>
                    </a:xfrm>
                    <a:prstGeom prst="rect">
                      <a:avLst/>
                    </a:prstGeom>
                    <a:noFill/>
                  </pic:spPr>
                </pic:pic>
              </a:graphicData>
            </a:graphic>
          </wp:anchor>
        </w:drawing>
        <w:t>the SEC promulgated thereunder. This opinion is furnished to you and the persons entitled to rely upon it pursuant to the applicable provisions of the Securities Act for use in connection with the filing of the Prospectus Supplement and is not to be use, circulated, quoted or otherwise referred to for any other purpose without our express written consent.</w:t>
      </w:r>
    </w:p>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We assume no obligation to update the opinions set forth in this letter.</w:t>
      </w:r>
    </w:p>
    <w:p>
      <w:pPr>
        <w:spacing w:after="0" w:line="248" w:lineRule="exact"/>
        <w:rPr>
          <w:sz w:val="20"/>
          <w:szCs w:val="20"/>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22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the purpose of giving this opinion we have assumed: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252" w:lineRule="exact"/>
        <w:rPr>
          <w:rFonts w:ascii="Arial" w:cs="Arial" w:eastAsia="Arial" w:hAnsi="Arial"/>
          <w:sz w:val="18"/>
          <w:szCs w:val="18"/>
          <w:color w:val="auto"/>
        </w:rPr>
      </w:pPr>
    </w:p>
    <w:p>
      <w:pPr>
        <w:ind w:left="900" w:right="220" w:hanging="446"/>
        <w:spacing w:after="0" w:line="277" w:lineRule="auto"/>
        <w:tabs>
          <w:tab w:leader="none" w:pos="9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 completeness and conformity to originals of all documents supplied to us as certified, conformed or photostatic copies or received by us by facsimile or email transmission and the authenticity and completeness of the originals of such documents;</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 genuineness of the signatures and seals on all original and copy documents which we have examined;</w:t>
      </w:r>
    </w:p>
    <w:p>
      <w:pPr>
        <w:spacing w:after="0" w:line="252" w:lineRule="exact"/>
        <w:rPr>
          <w:rFonts w:ascii="Arial" w:cs="Arial" w:eastAsia="Arial" w:hAnsi="Arial"/>
          <w:sz w:val="18"/>
          <w:szCs w:val="18"/>
          <w:color w:val="auto"/>
        </w:rPr>
      </w:pPr>
    </w:p>
    <w:p>
      <w:pPr>
        <w:ind w:left="900" w:right="20" w:hanging="446"/>
        <w:spacing w:after="0" w:line="264" w:lineRule="auto"/>
        <w:tabs>
          <w:tab w:leader="none" w:pos="9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that the resolutions passed by the board of directors of the Company described in the extracts referred to above, and examined for the purposes of this opinion, were duly passed and adopted at meetings of the said board of directors, those meetings were properly convened, constituted and held and that the said resolutions have not since been amended or rescinded;</w:t>
      </w:r>
    </w:p>
    <w:p>
      <w:pPr>
        <w:spacing w:after="0" w:line="208" w:lineRule="exact"/>
        <w:rPr>
          <w:rFonts w:ascii="Arial" w:cs="Arial" w:eastAsia="Arial" w:hAnsi="Arial"/>
          <w:sz w:val="18"/>
          <w:szCs w:val="18"/>
          <w:color w:val="auto"/>
        </w:rPr>
      </w:pPr>
    </w:p>
    <w:p>
      <w:pPr>
        <w:jc w:val="both"/>
        <w:ind w:left="900" w:right="160" w:hanging="446"/>
        <w:spacing w:after="0" w:line="264" w:lineRule="auto"/>
        <w:tabs>
          <w:tab w:leader="none" w:pos="9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that the resolutions passed by the shareholders of the Company described in the extract referred to above, and examined for the purposes of this opinion, was duly and adopted at meetings of the said shareholders, that meeting was properly convened, constituted and held and that the said resolutions have not since been amended or rescinded;</w:t>
      </w:r>
    </w:p>
    <w:p>
      <w:pPr>
        <w:spacing w:after="0" w:line="208" w:lineRule="exact"/>
        <w:rPr>
          <w:rFonts w:ascii="Arial" w:cs="Arial" w:eastAsia="Arial" w:hAnsi="Arial"/>
          <w:sz w:val="18"/>
          <w:szCs w:val="18"/>
          <w:color w:val="auto"/>
        </w:rPr>
      </w:pPr>
    </w:p>
    <w:p>
      <w:pPr>
        <w:ind w:left="900" w:right="120" w:hanging="446"/>
        <w:spacing w:after="0" w:line="277" w:lineRule="auto"/>
        <w:tabs>
          <w:tab w:leader="none" w:pos="9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that, at the time of the allotment and issuance of any Shares and the Warrant, the Prospectus and the Registration Statement will be effective and continue to be effective;</w:t>
      </w:r>
    </w:p>
    <w:p>
      <w:pPr>
        <w:spacing w:after="0" w:line="197" w:lineRule="exact"/>
        <w:rPr>
          <w:rFonts w:ascii="Arial" w:cs="Arial" w:eastAsia="Arial" w:hAnsi="Arial"/>
          <w:sz w:val="18"/>
          <w:szCs w:val="18"/>
          <w:color w:val="auto"/>
        </w:rPr>
      </w:pPr>
    </w:p>
    <w:p>
      <w:pPr>
        <w:ind w:left="900" w:right="20" w:hanging="446"/>
        <w:spacing w:after="0" w:line="302" w:lineRule="auto"/>
        <w:tabs>
          <w:tab w:leader="none" w:pos="900" w:val="left"/>
        </w:tabs>
        <w:numPr>
          <w:ilvl w:val="1"/>
          <w:numId w:val="254"/>
        </w:numPr>
        <w:rPr>
          <w:rFonts w:ascii="Arial" w:cs="Arial" w:eastAsia="Arial" w:hAnsi="Arial"/>
          <w:sz w:val="16"/>
          <w:szCs w:val="16"/>
          <w:color w:val="auto"/>
        </w:rPr>
      </w:pPr>
      <w:r>
        <w:rPr>
          <w:rFonts w:ascii="Arial" w:cs="Arial" w:eastAsia="Arial" w:hAnsi="Arial"/>
          <w:sz w:val="16"/>
          <w:szCs w:val="16"/>
          <w:color w:val="auto"/>
        </w:rPr>
        <w:t>that any Shares allotted and issued in accordance with the Prospectus, the Registration Statement and the Subscription Agreement will be paid-up in consideration of the receipt by the Company from the party to whom the Shares are to be issued, prior to, or simultaneously with the issue of such Shares, of cash and other consideration at least equal to the nominal value of such Shares and, to the extent that any of the consideration for such Shares is payable otherwise than in cash, that the provisions of sections 1028 to 1035 of the Companies Act 2014 have been complied with;</w:t>
      </w:r>
    </w:p>
    <w:p>
      <w:pPr>
        <w:spacing w:after="0" w:line="181" w:lineRule="exact"/>
        <w:rPr>
          <w:rFonts w:ascii="Arial" w:cs="Arial" w:eastAsia="Arial" w:hAnsi="Arial"/>
          <w:sz w:val="16"/>
          <w:szCs w:val="16"/>
          <w:color w:val="auto"/>
        </w:rPr>
      </w:pPr>
    </w:p>
    <w:p>
      <w:pPr>
        <w:ind w:left="900" w:right="40" w:hanging="446"/>
        <w:spacing w:after="0" w:line="259" w:lineRule="auto"/>
        <w:tabs>
          <w:tab w:leader="none" w:pos="9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that no Shares will be allotted and issued: (i) for consideration of an undertaking from an person that he or another will do work or perform services for the Company or for any other person; (ii) for consideration otherwise than in cash that includes an undertaking which is to be or may be performed more than five years after the date of allotment; or (iii) for other consideration which, from time to time, is not considered good or adequate consideration;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33" w:right="259" w:bottom="1440" w:gutter="0" w:footer="0" w:header="0"/>
        </w:sectPr>
      </w:pPr>
    </w:p>
    <w:bookmarkStart w:id="254" w:name="page255"/>
    <w:bookmarkEnd w:id="254"/>
    <w:p>
      <w:pPr>
        <w:ind w:left="446" w:right="260" w:hanging="446"/>
        <w:spacing w:after="0" w:line="264" w:lineRule="auto"/>
        <w:tabs>
          <w:tab w:leader="none" w:pos="446" w:val="left"/>
        </w:tabs>
        <w:numPr>
          <w:ilvl w:val="0"/>
          <w:numId w:val="2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6109335</wp:posOffset>
            </wp:positionH>
            <wp:positionV relativeFrom="page">
              <wp:posOffset>183515</wp:posOffset>
            </wp:positionV>
            <wp:extent cx="1294765" cy="1974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1294765" cy="197485"/>
                    </a:xfrm>
                    <a:prstGeom prst="rect">
                      <a:avLst/>
                    </a:prstGeom>
                    <a:noFill/>
                  </pic:spPr>
                </pic:pic>
              </a:graphicData>
            </a:graphic>
          </wp:anchor>
        </w:drawing>
        <w:t>that no Shares nor the Warrant will be allotted and issued other than pursuant to a resolution of the board of directors of the Company (or duly authorised committee thereof) that has been validly and sufficiently proposed and passed in accordance with the articles of association of the Company;</w:t>
      </w:r>
    </w:p>
    <w:p>
      <w:pPr>
        <w:spacing w:after="0" w:line="208" w:lineRule="exact"/>
        <w:rPr>
          <w:rFonts w:ascii="Arial" w:cs="Arial" w:eastAsia="Arial" w:hAnsi="Arial"/>
          <w:sz w:val="18"/>
          <w:szCs w:val="18"/>
          <w:color w:val="auto"/>
        </w:rPr>
      </w:pPr>
    </w:p>
    <w:p>
      <w:pPr>
        <w:ind w:left="446" w:hanging="446"/>
        <w:spacing w:after="0" w:line="291" w:lineRule="auto"/>
        <w:tabs>
          <w:tab w:leader="none" w:pos="446"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that the offering or sale (including the marketing) of any Shares or the Warrant will be made, effected and conducted in accordance with and will not violate: (i) the memorandum or articles of association,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any shares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194" w:lineRule="exact"/>
        <w:rPr>
          <w:rFonts w:ascii="Arial" w:cs="Arial" w:eastAsia="Arial" w:hAnsi="Arial"/>
          <w:sz w:val="16"/>
          <w:szCs w:val="16"/>
          <w:color w:val="auto"/>
        </w:rPr>
      </w:pPr>
    </w:p>
    <w:p>
      <w:pPr>
        <w:ind w:left="446" w:hanging="446"/>
        <w:spacing w:after="0" w:line="255" w:lineRule="auto"/>
        <w:tabs>
          <w:tab w:leader="none" w:pos="44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that, at the time of the issuance and sale of any Shares and the Warrant: (i) the sale of and payment for any Shares and the Warrant will be in accordance with the Registration Statement, Prospectus and the Subscription Agreement (including the prospectus set forth in the Registration Statement and any applicable supplements and amendments thereto); and (ii) the issuance and sale (including the marketing) of any Shares or the Warrant will not violate the Company’s memorandum and articles of association, any applicable law or any requirement or restriction imposed by any court or governmental body having jurisdiction over the Company or result in a default under or breach of any agreement or instrument binding on the Company;</w:t>
      </w:r>
    </w:p>
    <w:p>
      <w:pPr>
        <w:spacing w:after="0" w:line="220" w:lineRule="exact"/>
        <w:rPr>
          <w:rFonts w:ascii="Arial" w:cs="Arial" w:eastAsia="Arial" w:hAnsi="Arial"/>
          <w:sz w:val="18"/>
          <w:szCs w:val="18"/>
          <w:color w:val="auto"/>
        </w:rPr>
      </w:pPr>
    </w:p>
    <w:p>
      <w:pPr>
        <w:ind w:left="446" w:right="300" w:hanging="446"/>
        <w:spacing w:after="0" w:line="277" w:lineRule="auto"/>
        <w:tabs>
          <w:tab w:leader="none" w:pos="44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that Shares will be issued by the entry of the name of the registered owner thereof in the register of members of the Company confirming that such Shares have been issued credited as fully paid;</w:t>
      </w:r>
    </w:p>
    <w:p>
      <w:pPr>
        <w:spacing w:after="0" w:line="197" w:lineRule="exact"/>
        <w:rPr>
          <w:rFonts w:ascii="Arial" w:cs="Arial" w:eastAsia="Arial" w:hAnsi="Arial"/>
          <w:sz w:val="18"/>
          <w:szCs w:val="18"/>
          <w:color w:val="auto"/>
        </w:rPr>
      </w:pPr>
    </w:p>
    <w:p>
      <w:pPr>
        <w:ind w:left="446" w:right="80" w:hanging="446"/>
        <w:spacing w:after="0" w:line="259" w:lineRule="auto"/>
        <w:tabs>
          <w:tab w:leader="none" w:pos="44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that the Company has not given, nor shall it give, directly or indirectly, and whether by means of a loan, guarantee, the provision of security or otherwise, any financial assistance, as contemplated by section 82 of the Companies Act 2014, for the purpose of, or in connection with, the purchase or subscription by any person of or for any Shares or shares to be issued on exercise of the Warrant save as permitted by, or pursuant to an exemption to, the said section 82;</w:t>
      </w:r>
    </w:p>
    <w:p>
      <w:pPr>
        <w:spacing w:after="0" w:line="213" w:lineRule="exact"/>
        <w:rPr>
          <w:rFonts w:ascii="Arial" w:cs="Arial" w:eastAsia="Arial" w:hAnsi="Arial"/>
          <w:sz w:val="18"/>
          <w:szCs w:val="18"/>
          <w:color w:val="auto"/>
        </w:rPr>
      </w:pPr>
    </w:p>
    <w:p>
      <w:pPr>
        <w:ind w:left="446" w:right="80" w:hanging="446"/>
        <w:spacing w:after="0" w:line="277" w:lineRule="auto"/>
        <w:tabs>
          <w:tab w:leader="none" w:pos="44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that there is or are no factual information or documents possessed or discoverable by persons other than ourselves of which we are not aware but of which we should be aware for the purposes of this opinion;</w:t>
      </w:r>
    </w:p>
    <w:p>
      <w:pPr>
        <w:spacing w:after="0" w:line="197" w:lineRule="exact"/>
        <w:rPr>
          <w:rFonts w:ascii="Arial" w:cs="Arial" w:eastAsia="Arial" w:hAnsi="Arial"/>
          <w:sz w:val="18"/>
          <w:szCs w:val="18"/>
          <w:color w:val="auto"/>
        </w:rPr>
      </w:pPr>
    </w:p>
    <w:p>
      <w:pPr>
        <w:ind w:left="446" w:right="560" w:hanging="446"/>
        <w:spacing w:after="0" w:line="277" w:lineRule="auto"/>
        <w:tabs>
          <w:tab w:leader="none" w:pos="44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accuracy and completeness as to factual matters of the representations and warranties of the Company contained in the Prospectus, the Registration Statement and the Subscription Agreement and the accuracy of the Certificate;</w:t>
      </w:r>
    </w:p>
    <w:p>
      <w:pPr>
        <w:spacing w:after="0" w:line="197" w:lineRule="exact"/>
        <w:rPr>
          <w:rFonts w:ascii="Arial" w:cs="Arial" w:eastAsia="Arial" w:hAnsi="Arial"/>
          <w:sz w:val="18"/>
          <w:szCs w:val="18"/>
          <w:color w:val="auto"/>
        </w:rPr>
      </w:pPr>
    </w:p>
    <w:p>
      <w:pPr>
        <w:ind w:left="446" w:right="180" w:hanging="446"/>
        <w:spacing w:after="0" w:line="342" w:lineRule="auto"/>
        <w:tabs>
          <w:tab w:leader="none" w:pos="446"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that there are no agreements or arrangements in existence which in any way amend or vary or are inconsistent with the terms of the Prospectus, the Registration Statement and the Subscription Agreement or in any way bear upon, or are inconsistent with, the contents of this opinion;</w:t>
      </w:r>
    </w:p>
    <w:p>
      <w:pPr>
        <w:spacing w:after="0" w:line="56"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6"/>
          </w:cols>
          <w:pgMar w:left="694" w:top="733" w:right="259" w:bottom="1440" w:gutter="0" w:footer="0" w:header="0"/>
        </w:sectPr>
      </w:pPr>
    </w:p>
    <w:bookmarkStart w:id="255" w:name="page256"/>
    <w:bookmarkEnd w:id="255"/>
    <w:p>
      <w:pPr>
        <w:ind w:left="892" w:right="40" w:hanging="446"/>
        <w:spacing w:after="0" w:line="259" w:lineRule="auto"/>
        <w:tabs>
          <w:tab w:leader="none" w:pos="892" w:val="left"/>
        </w:tabs>
        <w:numPr>
          <w:ilvl w:val="0"/>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6109335</wp:posOffset>
            </wp:positionH>
            <wp:positionV relativeFrom="page">
              <wp:posOffset>183515</wp:posOffset>
            </wp:positionV>
            <wp:extent cx="1294765" cy="1974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1294765" cy="197485"/>
                    </a:xfrm>
                    <a:prstGeom prst="rect">
                      <a:avLst/>
                    </a:prstGeom>
                    <a:noFill/>
                  </pic:spPr>
                </pic:pic>
              </a:graphicData>
            </a:graphic>
          </wp:anchor>
        </w:drawing>
        <w:t>that, in approving the filing by the Company of the Prospectus and the Registration Statement and the execution and delivery by the Company of the Subscription Agreement, the directors of the Company have acted in a manner they consider, in good faith, to be in the best interests of the Company for its legitimate business purposes and would be most likely to promote the success of the Company for the benefit of its members as a whole;</w:t>
      </w:r>
    </w:p>
    <w:p>
      <w:pPr>
        <w:spacing w:after="0" w:line="213" w:lineRule="exact"/>
        <w:rPr>
          <w:rFonts w:ascii="Arial" w:cs="Arial" w:eastAsia="Arial" w:hAnsi="Arial"/>
          <w:sz w:val="18"/>
          <w:szCs w:val="18"/>
          <w:color w:val="auto"/>
        </w:rPr>
      </w:pPr>
    </w:p>
    <w:p>
      <w:pPr>
        <w:ind w:left="892" w:right="700" w:hanging="446"/>
        <w:spacing w:after="0" w:line="277" w:lineRule="auto"/>
        <w:tabs>
          <w:tab w:leader="none" w:pos="89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absence of fraud and the presence of good faith on the part of all parties to the Subscription Agreement and their respective officers, employees, agents and advisers;</w:t>
      </w:r>
    </w:p>
    <w:p>
      <w:pPr>
        <w:spacing w:after="0" w:line="197" w:lineRule="exact"/>
        <w:rPr>
          <w:rFonts w:ascii="Arial" w:cs="Arial" w:eastAsia="Arial" w:hAnsi="Arial"/>
          <w:sz w:val="18"/>
          <w:szCs w:val="18"/>
          <w:color w:val="auto"/>
        </w:rPr>
      </w:pPr>
    </w:p>
    <w:p>
      <w:pPr>
        <w:ind w:left="892" w:hanging="446"/>
        <w:spacing w:after="0" w:line="259" w:lineRule="auto"/>
        <w:tabs>
          <w:tab w:leader="none" w:pos="89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 delivered for registration at that time but had not been so delivered and that no additional matters would have been disclosed by searches carried out since that time;</w:t>
      </w:r>
    </w:p>
    <w:p>
      <w:pPr>
        <w:spacing w:after="0" w:line="213" w:lineRule="exact"/>
        <w:rPr>
          <w:rFonts w:ascii="Arial" w:cs="Arial" w:eastAsia="Arial" w:hAnsi="Arial"/>
          <w:sz w:val="18"/>
          <w:szCs w:val="18"/>
          <w:color w:val="auto"/>
        </w:rPr>
      </w:pPr>
    </w:p>
    <w:p>
      <w:pPr>
        <w:ind w:left="892" w:right="20" w:hanging="446"/>
        <w:spacing w:after="0" w:line="293" w:lineRule="auto"/>
        <w:tabs>
          <w:tab w:leader="none" w:pos="892"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that: (i) the Company was, and will be, fully solvent (A) at the time of, and immediately after, the filing of the Prospectus and the Registration Statement, (B) at the time of, and immediately after, the execution and delivery of the Subscription Agreement and (C) at the date hereof; (ii) the Company would not, as a consequence of doing any act or thing which the Prospectus, the Registration Statement or the Subscription Agreement contemplates, permits or requires the Company to do, be insolvent; and (iii) no steps have been taken or, to the best of the knowledge, information and belief of the directors of the Company, are being taken to appoint a receiver, liquidator or an examiner over the Company or any part of its undertaking or assets, or to strike the Company off the Register of Companies or to otherwise dissolve or wind up the Company; and</w:t>
      </w:r>
    </w:p>
    <w:p>
      <w:pPr>
        <w:spacing w:after="0" w:line="191" w:lineRule="exact"/>
        <w:rPr>
          <w:rFonts w:ascii="Arial" w:cs="Arial" w:eastAsia="Arial" w:hAnsi="Arial"/>
          <w:sz w:val="16"/>
          <w:szCs w:val="16"/>
          <w:color w:val="auto"/>
        </w:rPr>
      </w:pPr>
    </w:p>
    <w:p>
      <w:pPr>
        <w:ind w:left="892" w:right="340" w:hanging="446"/>
        <w:spacing w:after="0" w:line="277" w:lineRule="auto"/>
        <w:tabs>
          <w:tab w:leader="none" w:pos="89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truth of all representations and information given to us in reply to any queries we have made which we have considered necessary for the purposes of giving this opinion.</w:t>
      </w:r>
    </w:p>
    <w:p>
      <w:pPr>
        <w:spacing w:after="0" w:line="193" w:lineRule="exact"/>
        <w:rPr>
          <w:sz w:val="20"/>
          <w:szCs w:val="20"/>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Opinion</w:t>
      </w:r>
    </w:p>
    <w:p>
      <w:pPr>
        <w:spacing w:after="0" w:line="229" w:lineRule="exact"/>
        <w:rPr>
          <w:rFonts w:ascii="Arial" w:cs="Arial" w:eastAsia="Arial" w:hAnsi="Arial"/>
          <w:sz w:val="18"/>
          <w:szCs w:val="18"/>
          <w:color w:val="auto"/>
        </w:rPr>
      </w:pPr>
    </w:p>
    <w:p>
      <w:pPr>
        <w:ind w:left="452" w:right="60"/>
        <w:spacing w:after="0" w:line="255" w:lineRule="auto"/>
        <w:rPr>
          <w:rFonts w:ascii="Arial" w:cs="Arial" w:eastAsia="Arial" w:hAnsi="Arial"/>
          <w:sz w:val="18"/>
          <w:szCs w:val="18"/>
          <w:color w:val="auto"/>
        </w:rPr>
      </w:pPr>
      <w:r>
        <w:rPr>
          <w:rFonts w:ascii="Arial" w:cs="Arial" w:eastAsia="Arial" w:hAnsi="Arial"/>
          <w:sz w:val="18"/>
          <w:szCs w:val="18"/>
          <w:color w:val="auto"/>
        </w:rPr>
        <w:t>Based upon, and subject to, the foregoing and subject to the qualifications set out in this letter and any matter not disclosed to us, we are of the opinion that, so far as the laws of Ireland are concerned, upon the issuance of Shares and the Warrant in accordance with, and subject to any conditions contained in, the terms of the Registration Statement, the Prospectus and the Subscription Agreement, subject to receipt by the Company of the full consideration payable in respect thereof: (i) such Shares will be validly issued, fully-paid and non-assessable (which term means that no shareholder shall be obliged to pay or contribute further amounts to the capital of the Company in connection with the issue of such shares); and (ii) the Warrant will be validly issued.</w:t>
      </w:r>
    </w:p>
    <w:p>
      <w:pPr>
        <w:spacing w:after="0" w:line="12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733" w:right="279" w:bottom="1440" w:gutter="0" w:footer="0" w:header="0"/>
        </w:sectPr>
      </w:pPr>
    </w:p>
    <w:bookmarkStart w:id="256" w:name="page257"/>
    <w:bookmarkEnd w:id="256"/>
    <w:p>
      <w:pPr>
        <w:ind w:left="460" w:hanging="452"/>
        <w:spacing w:after="0"/>
        <w:tabs>
          <w:tab w:leader="none" w:pos="460"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6109335</wp:posOffset>
            </wp:positionH>
            <wp:positionV relativeFrom="page">
              <wp:posOffset>183515</wp:posOffset>
            </wp:positionV>
            <wp:extent cx="1294765" cy="1974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clrChange>
                        <a:clrFrom>
                          <a:srgbClr val="FFFFFF"/>
                        </a:clrFrom>
                        <a:clrTo>
                          <a:srgbClr val="FFFFFF">
                            <a:alpha val="0"/>
                          </a:srgbClr>
                        </a:clrTo>
                      </a:clrChange>
                      <a:extLst>
                        <a:ext uri="{28A0092B-C50C-407E-A947-70E740481C1C}"/>
                      </a:extLst>
                    </a:blip>
                    <a:srcRect/>
                    <a:stretch>
                      <a:fillRect/>
                    </a:stretch>
                  </pic:blipFill>
                  <pic:spPr bwMode="auto">
                    <a:xfrm>
                      <a:off x="0" y="0"/>
                      <a:ext cx="1294765" cy="197485"/>
                    </a:xfrm>
                    <a:prstGeom prst="rect">
                      <a:avLst/>
                    </a:prstGeom>
                    <a:noFill/>
                  </pic:spPr>
                </pic:pic>
              </a:graphicData>
            </a:graphic>
          </wp:anchor>
        </w:drawing>
        <w:t>Qualifications</w:t>
      </w:r>
    </w:p>
    <w:p>
      <w:pPr>
        <w:spacing w:after="0" w:line="22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opinions set forth in this opinion letter are given subject to the following qualifications:</w:t>
      </w:r>
    </w:p>
    <w:p>
      <w:pPr>
        <w:spacing w:after="0" w:line="252"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 search at the Companies Registration Office is not capable of revealing whether or not a winding up petition or a petition for the appointment of an examiner has been presented; and</w:t>
      </w:r>
    </w:p>
    <w:p>
      <w:pPr>
        <w:spacing w:after="0" w:line="197"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 search at the Registry of Winding up Petitions at the Central Office of the High Court is not capable of revealing whether or not a receiver has been appointed.</w:t>
      </w:r>
    </w:p>
    <w:p>
      <w:pPr>
        <w:spacing w:after="0" w:line="170"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MATHESON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MATHESON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sectPr>
      <w:pgSz w:w="11900" w:h="16838" w:orient="portrait"/>
      <w:cols w:equalWidth="0" w:num="1">
        <w:col w:w="11400"/>
      </w:cols>
      <w:pgMar w:left="240" w:top="72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C6AFD4"/>
    <w:multiLevelType w:val="hybridMultilevel"/>
    <w:lvl w:ilvl="0">
      <w:lvlJc w:val="left"/>
      <w:lvlText w:val="☐"/>
      <w:numFmt w:val="bullet"/>
      <w:start w:val="1"/>
    </w:lvl>
  </w:abstractNum>
  <w:abstractNum w:abstractNumId="1">
    <w:nsid w:val="19E21BB2"/>
    <w:multiLevelType w:val="hybridMultilevel"/>
    <w:lvl w:ilvl="0">
      <w:lvlJc w:val="left"/>
      <w:lvlText w:val="%1."/>
      <w:numFmt w:val="decimal"/>
      <w:start w:val="1"/>
    </w:lvl>
  </w:abstractNum>
  <w:abstractNum w:abstractNumId="2">
    <w:nsid w:val="75E0858A"/>
    <w:multiLevelType w:val="hybridMultilevel"/>
    <w:lvl w:ilvl="0">
      <w:lvlJc w:val="left"/>
      <w:lvlText w:val="(%1)"/>
      <w:numFmt w:val="lowerLetter"/>
      <w:start w:val="1"/>
    </w:lvl>
  </w:abstractNum>
  <w:abstractNum w:abstractNumId="3">
    <w:nsid w:val="57A61A29"/>
    <w:multiLevelType w:val="hybridMultilevel"/>
    <w:lvl w:ilvl="0">
      <w:lvlJc w:val="left"/>
      <w:lvlText w:val="%1"/>
      <w:numFmt w:val="lowerLetter"/>
      <w:start w:val="1"/>
    </w:lvl>
    <w:lvl w:ilvl="1">
      <w:lvlJc w:val="left"/>
      <w:lvlText w:val="(%2)"/>
      <w:numFmt w:val="lowerLetter"/>
      <w:start w:val="3"/>
    </w:lvl>
  </w:abstractNum>
  <w:abstractNum w:abstractNumId="4">
    <w:nsid w:val="5399C654"/>
    <w:multiLevelType w:val="hybridMultilevel"/>
    <w:lvl w:ilvl="0">
      <w:lvlJc w:val="left"/>
      <w:lvlText w:val="(%1)"/>
      <w:numFmt w:val="lowerLetter"/>
      <w:start w:val="9"/>
    </w:lvl>
    <w:lvl w:ilvl="1">
      <w:lvlJc w:val="left"/>
      <w:lvlText w:val="%2"/>
      <w:numFmt w:val="lowerLetter"/>
      <w:start w:val="1"/>
    </w:lvl>
  </w:abstractNum>
  <w:abstractNum w:abstractNumId="5">
    <w:nsid w:val="20EE1348"/>
    <w:multiLevelType w:val="hybridMultilevel"/>
    <w:lvl w:ilvl="0">
      <w:lvlJc w:val="left"/>
      <w:lvlText w:val="(%1)"/>
      <w:numFmt w:val="lowerLetter"/>
      <w:start w:val="6"/>
    </w:lvl>
  </w:abstractNum>
  <w:abstractNum w:abstractNumId="6">
    <w:nsid w:val="4427069A"/>
    <w:multiLevelType w:val="hybridMultilevel"/>
    <w:lvl w:ilvl="0">
      <w:lvlJc w:val="left"/>
      <w:lvlText w:val="(%1)"/>
      <w:numFmt w:val="lowerLetter"/>
      <w:start w:val="11"/>
    </w:lvl>
  </w:abstractNum>
  <w:abstractNum w:abstractNumId="7">
    <w:nsid w:val="B37E80A"/>
    <w:multiLevelType w:val="hybridMultilevel"/>
    <w:lvl w:ilvl="0">
      <w:lvlJc w:val="left"/>
      <w:lvlText w:val="(%1)"/>
      <w:numFmt w:val="lowerLetter"/>
      <w:start w:val="13"/>
    </w:lvl>
  </w:abstractNum>
  <w:abstractNum w:abstractNumId="8">
    <w:nsid w:val="2157F6BC"/>
    <w:multiLevelType w:val="hybridMultilevel"/>
    <w:lvl w:ilvl="0">
      <w:lvlJc w:val="left"/>
      <w:lvlText w:val="%1"/>
      <w:numFmt w:val="lowerLetter"/>
      <w:start w:val="1"/>
    </w:lvl>
    <w:lvl w:ilvl="1">
      <w:lvlJc w:val="left"/>
      <w:lvlText w:val="(%2)"/>
      <w:numFmt w:val="lowerLetter"/>
      <w:start w:val="18"/>
    </w:lvl>
  </w:abstractNum>
  <w:abstractNum w:abstractNumId="9">
    <w:nsid w:val="704E1DD5"/>
    <w:multiLevelType w:val="hybridMultilevel"/>
    <w:lvl w:ilvl="0">
      <w:lvlJc w:val="left"/>
      <w:lvlText w:val="(%1)"/>
      <w:numFmt w:val="lowerLetter"/>
      <w:start w:val="35"/>
    </w:lvl>
    <w:lvl w:ilvl="1">
      <w:lvlJc w:val="left"/>
      <w:lvlText w:val="%2"/>
      <w:numFmt w:val="lowerLetter"/>
      <w:start w:val="1"/>
    </w:lvl>
  </w:abstractNum>
  <w:abstractNum w:abstractNumId="10">
    <w:nsid w:val="57D2F10E"/>
    <w:multiLevelType w:val="hybridMultilevel"/>
    <w:lvl w:ilvl="0">
      <w:lvlJc w:val="left"/>
      <w:lvlText w:val="(%1)"/>
      <w:numFmt w:val="lowerLetter"/>
      <w:start w:val="21"/>
    </w:lvl>
  </w:abstractNum>
  <w:abstractNum w:abstractNumId="11">
    <w:nsid w:val="BFFAE18"/>
    <w:multiLevelType w:val="hybridMultilevel"/>
    <w:lvl w:ilvl="0">
      <w:lvlJc w:val="left"/>
      <w:lvlText w:val="(%1)"/>
      <w:numFmt w:val="lowerLetter"/>
      <w:start w:val="24"/>
    </w:lvl>
  </w:abstractNum>
  <w:abstractNum w:abstractNumId="12">
    <w:nsid w:val="E3E47A8"/>
    <w:multiLevelType w:val="hybridMultilevel"/>
    <w:lvl w:ilvl="0">
      <w:lvlJc w:val="left"/>
      <w:lvlText w:val="(%1)"/>
      <w:numFmt w:val="lowerLetter"/>
      <w:start w:val="27"/>
    </w:lvl>
  </w:abstractNum>
  <w:abstractNum w:abstractNumId="13">
    <w:nsid w:val="2E48F044"/>
    <w:multiLevelType w:val="hybridMultilevel"/>
    <w:lvl w:ilvl="0">
      <w:lvlJc w:val="left"/>
      <w:lvlText w:val="%1"/>
      <w:numFmt w:val="lowerLetter"/>
      <w:start w:val="1"/>
    </w:lvl>
    <w:lvl w:ilvl="1">
      <w:lvlJc w:val="left"/>
      <w:lvlText w:val="(%2)"/>
      <w:numFmt w:val="lowerLetter"/>
      <w:start w:val="28"/>
    </w:lvl>
  </w:abstractNum>
  <w:abstractNum w:abstractNumId="14">
    <w:nsid w:val="49D0FEAC"/>
    <w:multiLevelType w:val="hybridMultilevel"/>
    <w:lvl w:ilvl="0">
      <w:lvlJc w:val="left"/>
      <w:lvlText w:val="(%1)"/>
      <w:numFmt w:val="lowerLetter"/>
      <w:start w:val="9"/>
    </w:lvl>
    <w:lvl w:ilvl="1">
      <w:lvlJc w:val="left"/>
      <w:lvlText w:val="%2"/>
      <w:numFmt w:val="lowerLetter"/>
      <w:start w:val="1"/>
    </w:lvl>
  </w:abstractNum>
  <w:abstractNum w:abstractNumId="15">
    <w:nsid w:val="4BEE5A5B"/>
    <w:multiLevelType w:val="hybridMultilevel"/>
    <w:lvl w:ilvl="0">
      <w:lvlJc w:val="left"/>
      <w:lvlText w:val="(%1)"/>
      <w:numFmt w:val="lowerLetter"/>
      <w:start w:val="32"/>
    </w:lvl>
  </w:abstractNum>
  <w:abstractNum w:abstractNumId="16">
    <w:nsid w:val="5551B9F3"/>
    <w:multiLevelType w:val="hybridMultilevel"/>
    <w:lvl w:ilvl="0">
      <w:lvlJc w:val="left"/>
      <w:lvlText w:val="(%1)"/>
      <w:numFmt w:val="lowerLetter"/>
      <w:start w:val="35"/>
    </w:lvl>
  </w:abstractNum>
  <w:abstractNum w:abstractNumId="17">
    <w:nsid w:val="24F6AB8E"/>
    <w:multiLevelType w:val="hybridMultilevel"/>
    <w:lvl w:ilvl="0">
      <w:lvlJc w:val="left"/>
      <w:lvlText w:val="(%1)"/>
      <w:numFmt w:val="lowerLetter"/>
      <w:start w:val="39"/>
    </w:lvl>
  </w:abstractNum>
  <w:abstractNum w:abstractNumId="18">
    <w:nsid w:val="634C574C"/>
    <w:multiLevelType w:val="hybridMultilevel"/>
    <w:lvl w:ilvl="0">
      <w:lvlJc w:val="left"/>
      <w:lvlText w:val="%1"/>
      <w:numFmt w:val="upperLetter"/>
      <w:start w:val="1"/>
    </w:lvl>
    <w:lvl w:ilvl="1">
      <w:lvlJc w:val="left"/>
      <w:lvlText w:val="(%2)"/>
      <w:numFmt w:val="lowerLetter"/>
      <w:start w:val="43"/>
    </w:lvl>
  </w:abstractNum>
  <w:abstractNum w:abstractNumId="19">
    <w:nsid w:val="24E99DD7"/>
    <w:multiLevelType w:val="hybridMultilevel"/>
    <w:lvl w:ilvl="0">
      <w:lvlJc w:val="left"/>
      <w:lvlText w:val="(%1)"/>
      <w:numFmt w:val="upperLetter"/>
      <w:start w:val="3"/>
    </w:lvl>
    <w:lvl w:ilvl="1">
      <w:lvlJc w:val="left"/>
      <w:lvlText w:val="(%2)"/>
      <w:numFmt w:val="lowerLetter"/>
      <w:start w:val="44"/>
    </w:lvl>
  </w:abstractNum>
  <w:abstractNum w:abstractNumId="20">
    <w:nsid w:val="2A31B62D"/>
    <w:multiLevelType w:val="hybridMultilevel"/>
    <w:lvl w:ilvl="0">
      <w:lvlJc w:val="left"/>
      <w:lvlText w:val="%1."/>
      <w:numFmt w:val="decimal"/>
      <w:start w:val="2"/>
    </w:lvl>
  </w:abstractNum>
  <w:abstractNum w:abstractNumId="21">
    <w:nsid w:val="1849C29B"/>
    <w:multiLevelType w:val="hybridMultilevel"/>
    <w:lvl w:ilvl="0">
      <w:lvlJc w:val="left"/>
      <w:lvlText w:val="(%1)"/>
      <w:numFmt w:val="lowerLetter"/>
      <w:start w:val="1"/>
    </w:lvl>
  </w:abstractNum>
  <w:abstractNum w:abstractNumId="22">
    <w:nsid w:val="7DFF9D09"/>
    <w:multiLevelType w:val="hybridMultilevel"/>
    <w:lvl w:ilvl="0">
      <w:lvlJc w:val="left"/>
      <w:lvlText w:val="(%1)"/>
      <w:numFmt w:val="lowerLetter"/>
      <w:start w:val="1"/>
    </w:lvl>
  </w:abstractNum>
  <w:abstractNum w:abstractNumId="23">
    <w:nsid w:val="754342"/>
    <w:multiLevelType w:val="hybridMultilevel"/>
    <w:lvl w:ilvl="0">
      <w:lvlJc w:val="left"/>
      <w:lvlText w:val="(%1)"/>
      <w:numFmt w:val="lowerLetter"/>
      <w:start w:val="2"/>
    </w:lvl>
  </w:abstractNum>
  <w:abstractNum w:abstractNumId="24">
    <w:nsid w:val="69E7F3E5"/>
    <w:multiLevelType w:val="hybridMultilevel"/>
    <w:lvl w:ilvl="0">
      <w:lvlJc w:val="left"/>
      <w:lvlText w:val="(%1)"/>
      <w:numFmt w:val="lowerLetter"/>
      <w:start w:val="3"/>
    </w:lvl>
  </w:abstractNum>
  <w:abstractNum w:abstractNumId="25">
    <w:nsid w:val="2A6DE806"/>
    <w:multiLevelType w:val="hybridMultilevel"/>
    <w:lvl w:ilvl="0">
      <w:lvlJc w:val="left"/>
      <w:lvlText w:val="(%1)"/>
      <w:numFmt w:val="lowerLetter"/>
      <w:start w:val="8"/>
    </w:lvl>
  </w:abstractNum>
  <w:abstractNum w:abstractNumId="26">
    <w:nsid w:val="1816F8C4"/>
    <w:multiLevelType w:val="hybridMultilevel"/>
    <w:lvl w:ilvl="0">
      <w:lvlJc w:val="left"/>
      <w:lvlText w:val="(%1)"/>
      <w:numFmt w:val="lowerLetter"/>
      <w:start w:val="12"/>
    </w:lvl>
  </w:abstractNum>
  <w:abstractNum w:abstractNumId="27">
    <w:nsid w:val="37DF2233"/>
    <w:multiLevelType w:val="hybridMultilevel"/>
    <w:lvl w:ilvl="0">
      <w:lvlJc w:val="left"/>
      <w:lvlText w:val="%1."/>
      <w:numFmt w:val="decimal"/>
      <w:start w:val="6"/>
    </w:lvl>
  </w:abstractNum>
  <w:abstractNum w:abstractNumId="28">
    <w:nsid w:val="7AB49DAF"/>
    <w:multiLevelType w:val="hybridMultilevel"/>
    <w:lvl w:ilvl="0">
      <w:lvlJc w:val="left"/>
      <w:lvlText w:val="(%1)"/>
      <w:numFmt w:val="lowerLetter"/>
      <w:start w:val="1"/>
    </w:lvl>
  </w:abstractNum>
  <w:abstractNum w:abstractNumId="29">
    <w:nsid w:val="759F82CD"/>
    <w:multiLevelType w:val="hybridMultilevel"/>
    <w:lvl w:ilvl="0">
      <w:lvlJc w:val="left"/>
      <w:lvlText w:val="(%1)"/>
      <w:numFmt w:val="lowerLetter"/>
      <w:start w:val="7"/>
    </w:lvl>
    <w:lvl w:ilvl="1">
      <w:lvlJc w:val="left"/>
      <w:lvlText w:val="(%2)"/>
      <w:numFmt w:val="lowerRoman"/>
      <w:start w:val="1"/>
    </w:lvl>
  </w:abstractNum>
  <w:abstractNum w:abstractNumId="30">
    <w:nsid w:val="61E74EA3"/>
    <w:multiLevelType w:val="hybridMultilevel"/>
    <w:lvl w:ilvl="0">
      <w:lvlJc w:val="left"/>
      <w:lvlText w:val="(%1)"/>
      <w:numFmt w:val="lowerLetter"/>
      <w:start w:val="10"/>
    </w:lvl>
  </w:abstractNum>
  <w:abstractNum w:abstractNumId="31">
    <w:nsid w:val="597B4D84"/>
    <w:multiLevelType w:val="hybridMultilevel"/>
    <w:lvl w:ilvl="0">
      <w:lvlJc w:val="left"/>
      <w:lvlText w:val="(%1)"/>
      <w:numFmt w:val="lowerLetter"/>
      <w:start w:val="15"/>
    </w:lvl>
  </w:abstractNum>
  <w:abstractNum w:abstractNumId="32">
    <w:nsid w:val="F819E7F"/>
    <w:multiLevelType w:val="hybridMultilevel"/>
    <w:lvl w:ilvl="0">
      <w:lvlJc w:val="left"/>
      <w:lvlText w:val="%1."/>
      <w:numFmt w:val="decimal"/>
      <w:start w:val="7"/>
    </w:lvl>
  </w:abstractNum>
  <w:abstractNum w:abstractNumId="33">
    <w:nsid w:val="57C7D42D"/>
    <w:multiLevelType w:val="hybridMultilevel"/>
    <w:lvl w:ilvl="0">
      <w:lvlJc w:val="left"/>
      <w:lvlText w:val="(%1)"/>
      <w:numFmt w:val="lowerLetter"/>
      <w:start w:val="1"/>
    </w:lvl>
  </w:abstractNum>
  <w:abstractNum w:abstractNumId="34">
    <w:nsid w:val="312167AD"/>
    <w:multiLevelType w:val="hybridMultilevel"/>
    <w:lvl w:ilvl="0">
      <w:lvlJc w:val="left"/>
      <w:lvlText w:val="(%1)"/>
      <w:numFmt w:val="lowerLetter"/>
      <w:start w:val="2"/>
    </w:lvl>
  </w:abstractNum>
  <w:abstractNum w:abstractNumId="35">
    <w:nsid w:val="631B64D4"/>
    <w:multiLevelType w:val="hybridMultilevel"/>
    <w:lvl w:ilvl="0">
      <w:lvlJc w:val="left"/>
      <w:lvlText w:val="%1."/>
      <w:numFmt w:val="decimal"/>
      <w:start w:val="9"/>
    </w:lvl>
  </w:abstractNum>
  <w:abstractNum w:abstractNumId="36">
    <w:nsid w:val="78B5E776"/>
    <w:multiLevelType w:val="hybridMultilevel"/>
    <w:lvl w:ilvl="0">
      <w:lvlJc w:val="left"/>
      <w:lvlText w:val="(%1)"/>
      <w:numFmt w:val="lowerLetter"/>
      <w:start w:val="1"/>
    </w:lvl>
  </w:abstractNum>
  <w:abstractNum w:abstractNumId="37">
    <w:nsid w:val="75486E47"/>
    <w:multiLevelType w:val="hybridMultilevel"/>
    <w:lvl w:ilvl="0">
      <w:lvlJc w:val="left"/>
      <w:lvlText w:val="(%1)"/>
      <w:numFmt w:val="lowerLetter"/>
      <w:start w:val="2"/>
    </w:lvl>
  </w:abstractNum>
  <w:abstractNum w:abstractNumId="38">
    <w:nsid w:val="6E534CDE"/>
    <w:multiLevelType w:val="hybridMultilevel"/>
    <w:lvl w:ilvl="0">
      <w:lvlJc w:val="left"/>
      <w:lvlText w:val="(%1)"/>
      <w:numFmt w:val="lowerLetter"/>
      <w:start w:val="4"/>
    </w:lvl>
  </w:abstractNum>
  <w:abstractNum w:abstractNumId="39">
    <w:nsid w:val="1A0DDE32"/>
    <w:multiLevelType w:val="hybridMultilevel"/>
    <w:lvl w:ilvl="0">
      <w:lvlJc w:val="left"/>
      <w:lvlText w:val="%1"/>
      <w:numFmt w:val="upperLetter"/>
      <w:start w:val="1"/>
    </w:lvl>
    <w:lvl w:ilvl="1">
      <w:lvlJc w:val="left"/>
      <w:lvlText w:val="%2."/>
      <w:numFmt w:val="decimal"/>
      <w:start w:val="10"/>
    </w:lvl>
  </w:abstractNum>
  <w:abstractNum w:abstractNumId="40">
    <w:nsid w:val="65968C1C"/>
    <w:multiLevelType w:val="hybridMultilevel"/>
    <w:lvl w:ilvl="0">
      <w:lvlJc w:val="left"/>
      <w:lvlText w:val="(%1)"/>
      <w:numFmt w:val="upperLetter"/>
      <w:start w:val="2"/>
    </w:lvl>
    <w:lvl w:ilvl="1">
      <w:lvlJc w:val="left"/>
      <w:lvlText w:val="%2."/>
      <w:numFmt w:val="decimal"/>
      <w:start w:val="11"/>
    </w:lvl>
  </w:abstractNum>
  <w:abstractNum w:abstractNumId="41">
    <w:nsid w:val="46263DEC"/>
    <w:multiLevelType w:val="hybridMultilevel"/>
    <w:lvl w:ilvl="0">
      <w:lvlJc w:val="left"/>
      <w:lvlText w:val="%1."/>
      <w:numFmt w:val="decimal"/>
      <w:start w:val="12"/>
    </w:lvl>
  </w:abstractNum>
  <w:abstractNum w:abstractNumId="42">
    <w:nsid w:val="260D8C4A"/>
    <w:multiLevelType w:val="hybridMultilevel"/>
    <w:lvl w:ilvl="0">
      <w:lvlJc w:val="left"/>
      <w:lvlText w:val="%1."/>
      <w:numFmt w:val="decimal"/>
      <w:start w:val="18"/>
    </w:lvl>
  </w:abstractNum>
  <w:abstractNum w:abstractNumId="43">
    <w:nsid w:val="73D4D3C4"/>
    <w:multiLevelType w:val="hybridMultilevel"/>
    <w:lvl w:ilvl="0">
      <w:lvlJc w:val="left"/>
      <w:lvlText w:val="%1."/>
      <w:numFmt w:val="decimal"/>
      <w:start w:val="20"/>
    </w:lvl>
  </w:abstractNum>
  <w:abstractNum w:abstractNumId="44">
    <w:nsid w:val="746F2E30"/>
    <w:multiLevelType w:val="hybridMultilevel"/>
    <w:lvl w:ilvl="0">
      <w:lvlJc w:val="left"/>
      <w:lvlText w:val="(%1)"/>
      <w:numFmt w:val="lowerLetter"/>
      <w:start w:val="1"/>
    </w:lvl>
  </w:abstractNum>
  <w:abstractNum w:abstractNumId="45">
    <w:nsid w:val="6FDE8AF6"/>
    <w:multiLevelType w:val="hybridMultilevel"/>
    <w:lvl w:ilvl="0">
      <w:lvlJc w:val="left"/>
      <w:lvlText w:val="%1"/>
      <w:numFmt w:val="lowerLetter"/>
      <w:start w:val="1"/>
    </w:lvl>
    <w:lvl w:ilvl="1">
      <w:lvlJc w:val="left"/>
      <w:lvlText w:val="(%2)"/>
      <w:numFmt w:val="lowerLetter"/>
      <w:start w:val="2"/>
    </w:lvl>
  </w:abstractNum>
  <w:abstractNum w:abstractNumId="46">
    <w:nsid w:val="3FC32E20"/>
    <w:multiLevelType w:val="hybridMultilevel"/>
    <w:lvl w:ilvl="0">
      <w:lvlJc w:val="left"/>
      <w:lvlText w:val="(%1)"/>
      <w:numFmt w:val="lowerLetter"/>
      <w:start w:val="35"/>
    </w:lvl>
    <w:lvl w:ilvl="1">
      <w:lvlJc w:val="left"/>
      <w:lvlText w:val="(%2)"/>
      <w:numFmt w:val="lowerLetter"/>
      <w:start w:val="5"/>
    </w:lvl>
  </w:abstractNum>
  <w:abstractNum w:abstractNumId="47">
    <w:nsid w:val="49C0E823"/>
    <w:multiLevelType w:val="hybridMultilevel"/>
    <w:lvl w:ilvl="0">
      <w:lvlJc w:val="left"/>
      <w:lvlText w:val="(%1)"/>
      <w:numFmt w:val="lowerLetter"/>
      <w:start w:val="1"/>
    </w:lvl>
  </w:abstractNum>
  <w:abstractNum w:abstractNumId="48">
    <w:nsid w:val="14D53685"/>
    <w:multiLevelType w:val="hybridMultilevel"/>
    <w:lvl w:ilvl="0">
      <w:lvlJc w:val="left"/>
      <w:lvlText w:val="(%1)"/>
      <w:numFmt w:val="lowerLetter"/>
      <w:start w:val="2"/>
    </w:lvl>
  </w:abstractNum>
  <w:abstractNum w:abstractNumId="49">
    <w:nsid w:val="230F856C"/>
    <w:multiLevelType w:val="hybridMultilevel"/>
    <w:lvl w:ilvl="0">
      <w:lvlJc w:val="left"/>
      <w:lvlText w:val="(%1)"/>
      <w:numFmt w:val="lowerLetter"/>
      <w:start w:val="6"/>
    </w:lvl>
  </w:abstractNum>
  <w:abstractNum w:abstractNumId="50">
    <w:nsid w:val="6EAA85FB"/>
    <w:multiLevelType w:val="hybridMultilevel"/>
    <w:lvl w:ilvl="0">
      <w:lvlJc w:val="left"/>
      <w:lvlText w:val="(%1)"/>
      <w:numFmt w:val="lowerLetter"/>
      <w:start w:val="13"/>
    </w:lvl>
  </w:abstractNum>
  <w:abstractNum w:abstractNumId="51">
    <w:nsid w:val="3F06ECB2"/>
    <w:multiLevelType w:val="hybridMultilevel"/>
    <w:lvl w:ilvl="0">
      <w:lvlJc w:val="left"/>
      <w:lvlText w:val="(%1)"/>
      <w:numFmt w:val="lowerLetter"/>
      <w:start w:val="17"/>
    </w:lvl>
  </w:abstractNum>
  <w:abstractNum w:abstractNumId="52">
    <w:nsid w:val="3B594807"/>
    <w:multiLevelType w:val="hybridMultilevel"/>
    <w:lvl w:ilvl="0">
      <w:lvlJc w:val="left"/>
      <w:lvlText w:val="(%1)"/>
      <w:numFmt w:val="lowerLetter"/>
      <w:start w:val="21"/>
    </w:lvl>
  </w:abstractNum>
  <w:abstractNum w:abstractNumId="53">
    <w:nsid w:val="6CAA2304"/>
    <w:multiLevelType w:val="hybridMultilevel"/>
    <w:lvl w:ilvl="0">
      <w:lvlJc w:val="left"/>
      <w:lvlText w:val="%1"/>
      <w:numFmt w:val="lowerLetter"/>
      <w:start w:val="1"/>
    </w:lvl>
    <w:lvl w:ilvl="1">
      <w:lvlJc w:val="left"/>
      <w:lvlText w:val="(%2)"/>
      <w:numFmt w:val="lowerLetter"/>
      <w:start w:val="27"/>
    </w:lvl>
  </w:abstractNum>
  <w:abstractNum w:abstractNumId="54">
    <w:nsid w:val="3F7C2FF4"/>
    <w:multiLevelType w:val="hybridMultilevel"/>
    <w:lvl w:ilvl="0">
      <w:lvlJc w:val="left"/>
      <w:lvlText w:val="(%1)"/>
      <w:numFmt w:val="lowerLetter"/>
      <w:start w:val="35"/>
    </w:lvl>
    <w:lvl w:ilvl="1">
      <w:lvlJc w:val="left"/>
      <w:lvlText w:val="(%2)"/>
      <w:numFmt w:val="lowerLetter"/>
      <w:start w:val="30"/>
    </w:lvl>
  </w:abstractNum>
  <w:abstractNum w:abstractNumId="55">
    <w:nsid w:val="25413BEC"/>
    <w:multiLevelType w:val="hybridMultilevel"/>
    <w:lvl w:ilvl="0">
      <w:lvlJc w:val="left"/>
      <w:lvlText w:val="(%1)"/>
      <w:numFmt w:val="upperLetter"/>
      <w:start w:val="2"/>
    </w:lvl>
    <w:lvl w:ilvl="1">
      <w:lvlJc w:val="left"/>
      <w:lvlText w:val="(%2)"/>
      <w:numFmt w:val="lowerLetter"/>
      <w:start w:val="32"/>
    </w:lvl>
  </w:abstractNum>
  <w:abstractNum w:abstractNumId="56">
    <w:nsid w:val="17180B0B"/>
    <w:multiLevelType w:val="hybridMultilevel"/>
    <w:lvl w:ilvl="0">
      <w:lvlJc w:val="left"/>
      <w:lvlText w:val="%1"/>
      <w:numFmt w:val="lowerLetter"/>
      <w:start w:val="1"/>
    </w:lvl>
    <w:lvl w:ilvl="1">
      <w:lvlJc w:val="left"/>
      <w:lvlText w:val="(%2)"/>
      <w:numFmt w:val="lowerLetter"/>
      <w:start w:val="38"/>
    </w:lvl>
  </w:abstractNum>
  <w:abstractNum w:abstractNumId="57">
    <w:nsid w:val="579328B9"/>
    <w:multiLevelType w:val="hybridMultilevel"/>
    <w:lvl w:ilvl="0">
      <w:lvlJc w:val="left"/>
      <w:lvlText w:val="(%1)"/>
      <w:numFmt w:val="lowerLetter"/>
      <w:start w:val="61"/>
    </w:lvl>
    <w:lvl w:ilvl="1">
      <w:lvlJc w:val="left"/>
      <w:lvlText w:val="(%2)"/>
      <w:numFmt w:val="lowerLetter"/>
      <w:start w:val="39"/>
    </w:lvl>
  </w:abstractNum>
  <w:abstractNum w:abstractNumId="58">
    <w:nsid w:val="5D205E20"/>
    <w:multiLevelType w:val="hybridMultilevel"/>
    <w:lvl w:ilvl="0">
      <w:lvlJc w:val="left"/>
      <w:lvlText w:val="(%1)"/>
      <w:numFmt w:val="upperLetter"/>
      <w:start w:val="5"/>
    </w:lvl>
  </w:abstractNum>
  <w:abstractNum w:abstractNumId="59">
    <w:nsid w:val="11CCA8BA"/>
    <w:multiLevelType w:val="hybridMultilevel"/>
    <w:lvl w:ilvl="0">
      <w:lvlJc w:val="left"/>
      <w:lvlText w:val="(%1)"/>
      <w:numFmt w:val="lowerLetter"/>
      <w:start w:val="1"/>
    </w:lvl>
  </w:abstractNum>
  <w:abstractNum w:abstractNumId="60">
    <w:nsid w:val="4D32AB86"/>
    <w:multiLevelType w:val="hybridMultilevel"/>
    <w:lvl w:ilvl="0">
      <w:lvlJc w:val="left"/>
      <w:lvlText w:val="%1"/>
      <w:numFmt w:val="lowerLetter"/>
      <w:start w:val="1"/>
    </w:lvl>
    <w:lvl w:ilvl="1">
      <w:lvlJc w:val="left"/>
      <w:lvlText w:val="(%2)"/>
      <w:numFmt w:val="lowerLetter"/>
      <w:start w:val="5"/>
    </w:lvl>
  </w:abstractNum>
  <w:abstractNum w:abstractNumId="61">
    <w:nsid w:val="3F07ACC3"/>
    <w:multiLevelType w:val="hybridMultilevel"/>
    <w:lvl w:ilvl="0">
      <w:lvlJc w:val="left"/>
      <w:lvlText w:val="(%1)"/>
      <w:numFmt w:val="lowerLetter"/>
      <w:start w:val="9"/>
    </w:lvl>
    <w:lvl w:ilvl="1">
      <w:lvlJc w:val="left"/>
      <w:lvlText w:val="(%2)"/>
      <w:numFmt w:val="lowerLetter"/>
      <w:start w:val="6"/>
    </w:lvl>
  </w:abstractNum>
  <w:abstractNum w:abstractNumId="62">
    <w:nsid w:val="6B47F63E"/>
    <w:multiLevelType w:val="hybridMultilevel"/>
    <w:lvl w:ilvl="0">
      <w:lvlJc w:val="left"/>
      <w:lvlText w:val="(%1)"/>
      <w:numFmt w:val="lowerLetter"/>
      <w:start w:val="7"/>
    </w:lvl>
  </w:abstractNum>
  <w:abstractNum w:abstractNumId="63">
    <w:nsid w:val="5CB44A05"/>
    <w:multiLevelType w:val="hybridMultilevel"/>
    <w:lvl w:ilvl="0">
      <w:lvlJc w:val="left"/>
      <w:lvlText w:val="(%1)"/>
      <w:numFmt w:val="lowerLetter"/>
      <w:start w:val="12"/>
    </w:lvl>
  </w:abstractNum>
  <w:abstractNum w:abstractNumId="64">
    <w:nsid w:val="16CF80F1"/>
    <w:multiLevelType w:val="hybridMultilevel"/>
    <w:lvl w:ilvl="0">
      <w:lvlJc w:val="left"/>
      <w:lvlText w:val="(%1)"/>
      <w:numFmt w:val="lowerLetter"/>
      <w:start w:val="1"/>
    </w:lvl>
  </w:abstractNum>
  <w:abstractNum w:abstractNumId="65">
    <w:nsid w:val="1C695DEC"/>
    <w:multiLevelType w:val="hybridMultilevel"/>
    <w:lvl w:ilvl="0">
      <w:lvlJc w:val="left"/>
      <w:lvlText w:val="(%1)"/>
      <w:numFmt w:val="lowerLetter"/>
      <w:start w:val="4"/>
    </w:lvl>
    <w:lvl w:ilvl="1">
      <w:lvlJc w:val="left"/>
      <w:lvlText w:val="(%2)"/>
      <w:numFmt w:val="lowerLetter"/>
      <w:start w:val="35"/>
    </w:lvl>
  </w:abstractNum>
  <w:abstractNum w:abstractNumId="66">
    <w:nsid w:val="3FCFAED9"/>
    <w:multiLevelType w:val="hybridMultilevel"/>
    <w:lvl w:ilvl="0">
      <w:lvlJc w:val="left"/>
      <w:lvlText w:val="(%1)"/>
      <w:numFmt w:val="lowerLetter"/>
      <w:start w:val="8"/>
    </w:lvl>
  </w:abstractNum>
  <w:abstractNum w:abstractNumId="67">
    <w:nsid w:val="F856867"/>
    <w:multiLevelType w:val="hybridMultilevel"/>
    <w:lvl w:ilvl="0">
      <w:lvlJc w:val="left"/>
      <w:lvlText w:val="%1"/>
      <w:numFmt w:val="lowerLetter"/>
      <w:start w:val="1"/>
    </w:lvl>
    <w:lvl w:ilvl="1">
      <w:lvlJc w:val="left"/>
      <w:lvlText w:val="(%2)"/>
      <w:numFmt w:val="lowerRoman"/>
      <w:start w:val="1"/>
    </w:lvl>
  </w:abstractNum>
  <w:abstractNum w:abstractNumId="68">
    <w:nsid w:val="11B1CC33"/>
    <w:multiLevelType w:val="hybridMultilevel"/>
    <w:lvl w:ilvl="0">
      <w:lvlJc w:val="left"/>
      <w:lvlText w:val="(%1)"/>
      <w:numFmt w:val="lowerLetter"/>
      <w:start w:val="18"/>
    </w:lvl>
    <w:lvl w:ilvl="1">
      <w:lvlJc w:val="left"/>
      <w:lvlText w:val="%2"/>
      <w:numFmt w:val="lowerRoman"/>
      <w:start w:val="1"/>
    </w:lvl>
  </w:abstractNum>
  <w:abstractNum w:abstractNumId="69">
    <w:nsid w:val="2E22FBB7"/>
    <w:multiLevelType w:val="hybridMultilevel"/>
    <w:lvl w:ilvl="0">
      <w:lvlJc w:val="left"/>
      <w:lvlText w:val="(%1)"/>
      <w:numFmt w:val="lowerLetter"/>
      <w:start w:val="1"/>
    </w:lvl>
  </w:abstractNum>
  <w:abstractNum w:abstractNumId="70">
    <w:nsid w:val="29934699"/>
    <w:multiLevelType w:val="hybridMultilevel"/>
    <w:lvl w:ilvl="0">
      <w:lvlJc w:val="left"/>
      <w:lvlText w:val="(%1)"/>
      <w:numFmt w:val="lowerLetter"/>
      <w:start w:val="9"/>
    </w:lvl>
    <w:lvl w:ilvl="1">
      <w:lvlJc w:val="left"/>
      <w:lvlText w:val="(%2)"/>
      <w:numFmt w:val="lowerLetter"/>
      <w:start w:val="4"/>
    </w:lvl>
  </w:abstractNum>
  <w:abstractNum w:abstractNumId="71">
    <w:nsid w:val="77485850"/>
    <w:multiLevelType w:val="hybridMultilevel"/>
    <w:lvl w:ilvl="0">
      <w:lvlJc w:val="left"/>
      <w:lvlText w:val="(%1)"/>
      <w:numFmt w:val="lowerLetter"/>
      <w:start w:val="5"/>
    </w:lvl>
  </w:abstractNum>
  <w:abstractNum w:abstractNumId="72">
    <w:nsid w:val="744939A3"/>
    <w:multiLevelType w:val="hybridMultilevel"/>
    <w:lvl w:ilvl="0">
      <w:lvlJc w:val="left"/>
      <w:lvlText w:val="(%1)"/>
      <w:numFmt w:val="decimal"/>
      <w:start w:val="1"/>
    </w:lvl>
  </w:abstractNum>
  <w:abstractNum w:abstractNumId="73">
    <w:nsid w:val="4FA0D2E3"/>
    <w:multiLevelType w:val="hybridMultilevel"/>
    <w:lvl w:ilvl="0">
      <w:lvlJc w:val="left"/>
      <w:lvlText w:val="(%1)"/>
      <w:numFmt w:val="lowerLetter"/>
      <w:start w:val="1"/>
    </w:lvl>
  </w:abstractNum>
  <w:abstractNum w:abstractNumId="74">
    <w:nsid w:val="6B1D2C14"/>
    <w:multiLevelType w:val="hybridMultilevel"/>
    <w:lvl w:ilvl="0">
      <w:lvlJc w:val="left"/>
      <w:lvlText w:val="(%1)"/>
      <w:numFmt w:val="lowerLetter"/>
      <w:start w:val="8"/>
    </w:lvl>
  </w:abstractNum>
  <w:abstractNum w:abstractNumId="75">
    <w:nsid w:val="68B867D3"/>
    <w:multiLevelType w:val="hybridMultilevel"/>
    <w:lvl w:ilvl="0">
      <w:lvlJc w:val="left"/>
      <w:lvlText w:val="(%1)"/>
      <w:numFmt w:val="decimal"/>
      <w:start w:val="1"/>
    </w:lvl>
  </w:abstractNum>
  <w:abstractNum w:abstractNumId="76">
    <w:nsid w:val="3F7F5DD9"/>
    <w:multiLevelType w:val="hybridMultilevel"/>
    <w:lvl w:ilvl="0">
      <w:lvlJc w:val="left"/>
      <w:lvlText w:val="(%1)"/>
      <w:numFmt w:val="decimal"/>
      <w:start w:val="5"/>
    </w:lvl>
  </w:abstractNum>
  <w:abstractNum w:abstractNumId="77">
    <w:nsid w:val="2AE05A34"/>
    <w:multiLevelType w:val="hybridMultilevel"/>
    <w:lvl w:ilvl="0">
      <w:lvlJc w:val="left"/>
      <w:lvlText w:val="(%1)"/>
      <w:numFmt w:val="decimal"/>
      <w:start w:val="1"/>
    </w:lvl>
  </w:abstractNum>
  <w:abstractNum w:abstractNumId="78">
    <w:nsid w:val="32794FF7"/>
    <w:multiLevelType w:val="hybridMultilevel"/>
    <w:lvl w:ilvl="0">
      <w:lvlJc w:val="left"/>
      <w:lvlText w:val="(%1)"/>
      <w:numFmt w:val="decimal"/>
      <w:start w:val="1"/>
    </w:lvl>
  </w:abstractNum>
  <w:abstractNum w:abstractNumId="79">
    <w:nsid w:val="5454945E"/>
    <w:multiLevelType w:val="hybridMultilevel"/>
    <w:lvl w:ilvl="0">
      <w:lvlJc w:val="left"/>
      <w:lvlText w:val="(%1)"/>
      <w:numFmt w:val="decimal"/>
      <w:start w:val="1"/>
    </w:lvl>
    <w:lvl w:ilvl="1">
      <w:lvlJc w:val="left"/>
      <w:lvlText w:val="(%2)"/>
      <w:numFmt w:val="lowerLetter"/>
      <w:start w:val="1"/>
    </w:lvl>
  </w:abstractNum>
  <w:abstractNum w:abstractNumId="80">
    <w:nsid w:val="4DEFDFA0"/>
    <w:multiLevelType w:val="hybridMultilevel"/>
    <w:lvl w:ilvl="0">
      <w:lvlJc w:val="left"/>
      <w:lvlText w:val="%1"/>
      <w:numFmt w:val="decimal"/>
      <w:start w:val="1"/>
    </w:lvl>
    <w:lvl w:ilvl="1">
      <w:lvlJc w:val="left"/>
      <w:lvlText w:val="(%2)"/>
      <w:numFmt w:val="lowerLetter"/>
      <w:start w:val="4"/>
    </w:lvl>
  </w:abstractNum>
  <w:abstractNum w:abstractNumId="81">
    <w:nsid w:val="2123D5F2"/>
    <w:multiLevelType w:val="hybridMultilevel"/>
    <w:lvl w:ilvl="0">
      <w:lvlJc w:val="left"/>
      <w:lvlText w:val="(%1)"/>
      <w:numFmt w:val="decimal"/>
      <w:start w:val="3"/>
    </w:lvl>
    <w:lvl w:ilvl="1">
      <w:lvlJc w:val="left"/>
      <w:lvlText w:val="%2"/>
      <w:numFmt w:val="lowerLetter"/>
      <w:start w:val="1"/>
    </w:lvl>
  </w:abstractNum>
  <w:abstractNum w:abstractNumId="82">
    <w:nsid w:val="135B8110"/>
    <w:multiLevelType w:val="hybridMultilevel"/>
    <w:lvl w:ilvl="0">
      <w:lvlJc w:val="left"/>
      <w:lvlText w:val="(%1)"/>
      <w:numFmt w:val="decimal"/>
      <w:start w:val="1"/>
    </w:lvl>
  </w:abstractNum>
  <w:abstractNum w:abstractNumId="83">
    <w:nsid w:val="94927A8"/>
    <w:multiLevelType w:val="hybridMultilevel"/>
    <w:lvl w:ilvl="0">
      <w:lvlJc w:val="left"/>
      <w:lvlText w:val="(%1)"/>
      <w:numFmt w:val="decimal"/>
      <w:start w:val="1"/>
    </w:lvl>
  </w:abstractNum>
  <w:abstractNum w:abstractNumId="84">
    <w:nsid w:val="DCDF8F6"/>
    <w:multiLevelType w:val="hybridMultilevel"/>
    <w:lvl w:ilvl="0">
      <w:lvlJc w:val="left"/>
      <w:lvlText w:val="(%1)"/>
      <w:numFmt w:val="decimal"/>
      <w:start w:val="1"/>
    </w:lvl>
  </w:abstractNum>
  <w:abstractNum w:abstractNumId="85">
    <w:nsid w:val="52D7B105"/>
    <w:multiLevelType w:val="hybridMultilevel"/>
    <w:lvl w:ilvl="0">
      <w:lvlJc w:val="left"/>
      <w:lvlText w:val="(%1)"/>
      <w:numFmt w:val="decimal"/>
      <w:start w:val="1"/>
    </w:lvl>
  </w:abstractNum>
  <w:abstractNum w:abstractNumId="86">
    <w:nsid w:val="2E8A6394"/>
    <w:multiLevelType w:val="hybridMultilevel"/>
    <w:lvl w:ilvl="0">
      <w:lvlJc w:val="left"/>
      <w:lvlText w:val="(%1)"/>
      <w:numFmt w:val="lowerLetter"/>
      <w:start w:val="1"/>
    </w:lvl>
  </w:abstractNum>
  <w:abstractNum w:abstractNumId="87">
    <w:nsid w:val="24E60401"/>
    <w:multiLevelType w:val="hybridMultilevel"/>
    <w:lvl w:ilvl="0">
      <w:lvlJc w:val="left"/>
      <w:lvlText w:val="(%1)"/>
      <w:numFmt w:val="decimal"/>
      <w:start w:val="1"/>
    </w:lvl>
  </w:abstractNum>
  <w:abstractNum w:abstractNumId="88">
    <w:nsid w:val="2A6AD9BE"/>
    <w:multiLevelType w:val="hybridMultilevel"/>
    <w:lvl w:ilvl="0">
      <w:lvlJc w:val="left"/>
      <w:lvlText w:val="(%1)"/>
      <w:numFmt w:val="decimal"/>
      <w:start w:val="8"/>
    </w:lvl>
  </w:abstractNum>
  <w:abstractNum w:abstractNumId="89">
    <w:nsid w:val="BAAC1B4"/>
    <w:multiLevelType w:val="hybridMultilevel"/>
    <w:lvl w:ilvl="0">
      <w:lvlJc w:val="left"/>
      <w:lvlText w:val="(%1)"/>
      <w:numFmt w:val="decimal"/>
      <w:start w:val="1"/>
    </w:lvl>
  </w:abstractNum>
  <w:abstractNum w:abstractNumId="90">
    <w:nsid w:val="36B2ACBC"/>
    <w:multiLevelType w:val="hybridMultilevel"/>
    <w:lvl w:ilvl="0">
      <w:lvlJc w:val="left"/>
      <w:lvlText w:val="(%1)"/>
      <w:numFmt w:val="decimal"/>
      <w:start w:val="1"/>
    </w:lvl>
  </w:abstractNum>
  <w:abstractNum w:abstractNumId="91">
    <w:nsid w:val="779D8544"/>
    <w:multiLevelType w:val="hybridMultilevel"/>
    <w:lvl w:ilvl="0">
      <w:lvlJc w:val="left"/>
      <w:lvlText w:val="(%1)"/>
      <w:numFmt w:val="decimal"/>
      <w:start w:val="1"/>
    </w:lvl>
  </w:abstractNum>
  <w:abstractNum w:abstractNumId="92">
    <w:nsid w:val="4AB26E78"/>
    <w:multiLevelType w:val="hybridMultilevel"/>
    <w:lvl w:ilvl="0">
      <w:lvlJc w:val="left"/>
      <w:lvlText w:val="(%1)"/>
      <w:numFmt w:val="decimal"/>
      <w:start w:val="1"/>
    </w:lvl>
  </w:abstractNum>
  <w:abstractNum w:abstractNumId="93">
    <w:nsid w:val="21FAA2FA"/>
    <w:multiLevelType w:val="hybridMultilevel"/>
    <w:lvl w:ilvl="0">
      <w:lvlJc w:val="left"/>
      <w:lvlText w:val="(%1)"/>
      <w:numFmt w:val="decimal"/>
      <w:start w:val="9"/>
    </w:lvl>
  </w:abstractNum>
  <w:abstractNum w:abstractNumId="94">
    <w:nsid w:val="5451CF49"/>
    <w:multiLevelType w:val="hybridMultilevel"/>
    <w:lvl w:ilvl="0">
      <w:lvlJc w:val="left"/>
      <w:lvlText w:val="(%1)"/>
      <w:numFmt w:val="lowerLetter"/>
      <w:start w:val="1"/>
    </w:lvl>
  </w:abstractNum>
  <w:abstractNum w:abstractNumId="95">
    <w:nsid w:val="6181EF69"/>
    <w:multiLevelType w:val="hybridMultilevel"/>
    <w:lvl w:ilvl="0">
      <w:lvlJc w:val="left"/>
      <w:lvlText w:val="(%1)"/>
      <w:numFmt w:val="lowerLetter"/>
      <w:start w:val="24"/>
    </w:lvl>
  </w:abstractNum>
  <w:abstractNum w:abstractNumId="96">
    <w:nsid w:val="3E6400E6"/>
    <w:multiLevelType w:val="hybridMultilevel"/>
    <w:lvl w:ilvl="0">
      <w:lvlJc w:val="left"/>
      <w:lvlText w:val="%1"/>
      <w:numFmt w:val="lowerLetter"/>
      <w:start w:val="1"/>
    </w:lvl>
    <w:lvl w:ilvl="1">
      <w:lvlJc w:val="left"/>
      <w:lvlText w:val="(%2)"/>
      <w:numFmt w:val="decimal"/>
      <w:start w:val="1"/>
    </w:lvl>
  </w:abstractNum>
  <w:abstractNum w:abstractNumId="97">
    <w:nsid w:val="14217E23"/>
    <w:multiLevelType w:val="hybridMultilevel"/>
    <w:lvl w:ilvl="0">
      <w:lvlJc w:val="left"/>
      <w:lvlText w:val="(%1)"/>
      <w:numFmt w:val="lowerLetter"/>
      <w:start w:val="2"/>
    </w:lvl>
    <w:lvl w:ilvl="1">
      <w:lvlJc w:val="left"/>
      <w:lvlText w:val="(%2)"/>
      <w:numFmt w:val="decimal"/>
      <w:start w:val="5"/>
    </w:lvl>
  </w:abstractNum>
  <w:abstractNum w:abstractNumId="98">
    <w:nsid w:val="710757D0"/>
    <w:multiLevelType w:val="hybridMultilevel"/>
    <w:lvl w:ilvl="0">
      <w:lvlJc w:val="left"/>
      <w:lvlText w:val="(%1)"/>
      <w:numFmt w:val="decimal"/>
      <w:start w:val="1"/>
    </w:lvl>
    <w:lvl w:ilvl="1">
      <w:lvlJc w:val="left"/>
      <w:lvlText w:val="(%2)"/>
      <w:numFmt w:val="lowerLetter"/>
      <w:start w:val="1"/>
    </w:lvl>
  </w:abstractNum>
  <w:abstractNum w:abstractNumId="99">
    <w:nsid w:val="5015CD1A"/>
    <w:multiLevelType w:val="hybridMultilevel"/>
    <w:lvl w:ilvl="0">
      <w:lvlJc w:val="left"/>
      <w:lvlText w:val="(%1)"/>
      <w:numFmt w:val="decimal"/>
      <w:start w:val="1"/>
    </w:lvl>
  </w:abstractNum>
  <w:abstractNum w:abstractNumId="100">
    <w:nsid w:val="424479DA"/>
    <w:multiLevelType w:val="hybridMultilevel"/>
    <w:lvl w:ilvl="0">
      <w:lvlJc w:val="left"/>
      <w:lvlText w:val="(%1)"/>
      <w:numFmt w:val="decimal"/>
      <w:start w:val="1"/>
    </w:lvl>
  </w:abstractNum>
  <w:abstractNum w:abstractNumId="101">
    <w:nsid w:val="1A9A9E69"/>
    <w:multiLevelType w:val="hybridMultilevel"/>
    <w:lvl w:ilvl="0">
      <w:lvlJc w:val="left"/>
      <w:lvlText w:val="(%1)"/>
      <w:numFmt w:val="decimal"/>
      <w:start w:val="1"/>
    </w:lvl>
  </w:abstractNum>
  <w:abstractNum w:abstractNumId="102">
    <w:nsid w:val="475E256A"/>
    <w:multiLevelType w:val="hybridMultilevel"/>
    <w:lvl w:ilvl="0">
      <w:lvlJc w:val="left"/>
      <w:lvlText w:val="(%1)"/>
      <w:numFmt w:val="decimal"/>
      <w:start w:val="3"/>
    </w:lvl>
  </w:abstractNum>
  <w:abstractNum w:abstractNumId="103">
    <w:nsid w:val="368DB37E"/>
    <w:multiLevelType w:val="hybridMultilevel"/>
    <w:lvl w:ilvl="0">
      <w:lvlJc w:val="left"/>
      <w:lvlText w:val="(%1)"/>
      <w:numFmt w:val="lowerRoman"/>
      <w:start w:val="4"/>
    </w:lvl>
  </w:abstractNum>
  <w:abstractNum w:abstractNumId="104">
    <w:nsid w:val="6A3B714C"/>
    <w:multiLevelType w:val="hybridMultilevel"/>
    <w:lvl w:ilvl="0">
      <w:lvlJc w:val="left"/>
      <w:lvlText w:val="(%1)"/>
      <w:numFmt w:val="decimal"/>
      <w:start w:val="1"/>
    </w:lvl>
  </w:abstractNum>
  <w:abstractNum w:abstractNumId="105">
    <w:nsid w:val="327B517E"/>
    <w:multiLevelType w:val="hybridMultilevel"/>
    <w:lvl w:ilvl="0">
      <w:lvlJc w:val="left"/>
      <w:lvlText w:val="(%1)"/>
      <w:numFmt w:val="decimal"/>
      <w:start w:val="1"/>
    </w:lvl>
  </w:abstractNum>
  <w:abstractNum w:abstractNumId="106">
    <w:nsid w:val="1F461B51"/>
    <w:multiLevelType w:val="hybridMultilevel"/>
    <w:lvl w:ilvl="0">
      <w:lvlJc w:val="left"/>
      <w:lvlText w:val="(%1)"/>
      <w:numFmt w:val="decimal"/>
      <w:start w:val="4"/>
    </w:lvl>
  </w:abstractNum>
  <w:abstractNum w:abstractNumId="107">
    <w:nsid w:val="29BACF25"/>
    <w:multiLevelType w:val="hybridMultilevel"/>
    <w:lvl w:ilvl="0">
      <w:lvlJc w:val="left"/>
      <w:lvlText w:val="(%1)"/>
      <w:numFmt w:val="lowerRoman"/>
      <w:start w:val="1"/>
    </w:lvl>
  </w:abstractNum>
  <w:abstractNum w:abstractNumId="108">
    <w:nsid w:val="5D5BABB3"/>
    <w:multiLevelType w:val="hybridMultilevel"/>
    <w:lvl w:ilvl="0">
      <w:lvlJc w:val="left"/>
      <w:lvlText w:val="(%1)"/>
      <w:numFmt w:val="lowerRoman"/>
      <w:start w:val="4"/>
    </w:lvl>
  </w:abstractNum>
  <w:abstractNum w:abstractNumId="109">
    <w:nsid w:val="51BF6B48"/>
    <w:multiLevelType w:val="hybridMultilevel"/>
    <w:lvl w:ilvl="0">
      <w:lvlJc w:val="left"/>
      <w:lvlText w:val="(%1)"/>
      <w:numFmt w:val="decimal"/>
      <w:start w:val="1"/>
    </w:lvl>
  </w:abstractNum>
  <w:abstractNum w:abstractNumId="110">
    <w:nsid w:val="7E0F6384"/>
    <w:multiLevelType w:val="hybridMultilevel"/>
    <w:lvl w:ilvl="0">
      <w:lvlJc w:val="left"/>
      <w:lvlText w:val="(%1)"/>
      <w:numFmt w:val="lowerRoman"/>
      <w:start w:val="1"/>
    </w:lvl>
  </w:abstractNum>
  <w:abstractNum w:abstractNumId="111">
    <w:nsid w:val="2B4B8B53"/>
    <w:multiLevelType w:val="hybridMultilevel"/>
    <w:lvl w:ilvl="0">
      <w:lvlJc w:val="left"/>
      <w:lvlText w:val="(%1)"/>
      <w:numFmt w:val="lowerRoman"/>
      <w:start w:val="3"/>
    </w:lvl>
  </w:abstractNum>
  <w:abstractNum w:abstractNumId="112">
    <w:nsid w:val="72E3413A"/>
    <w:multiLevelType w:val="hybridMultilevel"/>
    <w:lvl w:ilvl="0">
      <w:lvlJc w:val="left"/>
      <w:lvlText w:val="(%1)"/>
      <w:numFmt w:val="lowerRoman"/>
      <w:start w:val="1"/>
    </w:lvl>
  </w:abstractNum>
  <w:abstractNum w:abstractNumId="113">
    <w:nsid w:val="116AE494"/>
    <w:multiLevelType w:val="hybridMultilevel"/>
    <w:lvl w:ilvl="0">
      <w:lvlJc w:val="left"/>
      <w:lvlText w:val="(%1)"/>
      <w:numFmt w:val="lowerRoman"/>
      <w:start w:val="1"/>
    </w:lvl>
  </w:abstractNum>
  <w:abstractNum w:abstractNumId="114">
    <w:nsid w:val="3494B2FB"/>
    <w:multiLevelType w:val="hybridMultilevel"/>
    <w:lvl w:ilvl="0">
      <w:lvlJc w:val="left"/>
      <w:lvlText w:val="(%1)"/>
      <w:numFmt w:val="decimal"/>
      <w:start w:val="1"/>
    </w:lvl>
    <w:lvl w:ilvl="1">
      <w:lvlJc w:val="left"/>
      <w:lvlText w:val="(%2)"/>
      <w:numFmt w:val="lowerLetter"/>
      <w:start w:val="1"/>
    </w:lvl>
  </w:abstractNum>
  <w:abstractNum w:abstractNumId="115">
    <w:nsid w:val="B13A31"/>
    <w:multiLevelType w:val="hybridMultilevel"/>
    <w:lvl w:ilvl="0">
      <w:lvlJc w:val="left"/>
      <w:lvlText w:val="(%1)"/>
      <w:numFmt w:val="lowerRoman"/>
      <w:start w:val="1"/>
    </w:lvl>
  </w:abstractNum>
  <w:abstractNum w:abstractNumId="116">
    <w:nsid w:val="64429599"/>
    <w:multiLevelType w:val="hybridMultilevel"/>
    <w:lvl w:ilvl="0">
      <w:lvlJc w:val="left"/>
      <w:lvlText w:val="(%1)"/>
      <w:numFmt w:val="decimal"/>
      <w:start w:val="2"/>
    </w:lvl>
  </w:abstractNum>
  <w:abstractNum w:abstractNumId="117">
    <w:nsid w:val="631F1690"/>
    <w:multiLevelType w:val="hybridMultilevel"/>
    <w:lvl w:ilvl="0">
      <w:lvlJc w:val="left"/>
      <w:lvlText w:val="(%1)"/>
      <w:numFmt w:val="decimal"/>
      <w:start w:val="4"/>
    </w:lvl>
  </w:abstractNum>
  <w:abstractNum w:abstractNumId="118">
    <w:nsid w:val="25973E32"/>
    <w:multiLevelType w:val="hybridMultilevel"/>
    <w:lvl w:ilvl="0">
      <w:lvlJc w:val="left"/>
      <w:lvlText w:val="(%1)"/>
      <w:numFmt w:val="decimal"/>
      <w:start w:val="1"/>
    </w:lvl>
  </w:abstractNum>
  <w:abstractNum w:abstractNumId="119">
    <w:nsid w:val="EAD6F57"/>
    <w:multiLevelType w:val="hybridMultilevel"/>
    <w:lvl w:ilvl="0">
      <w:lvlJc w:val="left"/>
      <w:lvlText w:val="(%1)"/>
      <w:numFmt w:val="decimal"/>
      <w:start w:val="5"/>
    </w:lvl>
    <w:lvl w:ilvl="1">
      <w:lvlJc w:val="left"/>
      <w:lvlText w:val="(%2)"/>
      <w:numFmt w:val="lowerLetter"/>
      <w:start w:val="1"/>
    </w:lvl>
  </w:abstractNum>
  <w:abstractNum w:abstractNumId="120">
    <w:nsid w:val="6EC9D844"/>
    <w:multiLevelType w:val="hybridMultilevel"/>
    <w:lvl w:ilvl="0">
      <w:lvlJc w:val="left"/>
      <w:lvlText w:val="(%1)"/>
      <w:numFmt w:val="decimal"/>
      <w:start w:val="6"/>
    </w:lvl>
  </w:abstractNum>
  <w:abstractNum w:abstractNumId="121">
    <w:nsid w:val="5C49EAEE"/>
    <w:multiLevelType w:val="hybridMultilevel"/>
    <w:lvl w:ilvl="0">
      <w:lvlJc w:val="left"/>
      <w:lvlText w:val="(%1)"/>
      <w:numFmt w:val="decimal"/>
      <w:start w:val="9"/>
    </w:lvl>
  </w:abstractNum>
  <w:abstractNum w:abstractNumId="122">
    <w:nsid w:val="64AF49B"/>
    <w:multiLevelType w:val="hybridMultilevel"/>
    <w:lvl w:ilvl="0">
      <w:lvlJc w:val="left"/>
      <w:lvlText w:val="(%1)"/>
      <w:numFmt w:val="lowerLetter"/>
      <w:start w:val="1"/>
    </w:lvl>
    <w:lvl w:ilvl="1">
      <w:lvlJc w:val="left"/>
      <w:lvlText w:val="(%2)"/>
      <w:numFmt w:val="upperLetter"/>
      <w:start w:val="1"/>
    </w:lvl>
  </w:abstractNum>
  <w:abstractNum w:abstractNumId="123">
    <w:nsid w:val="397C46BC"/>
    <w:multiLevelType w:val="hybridMultilevel"/>
    <w:lvl w:ilvl="0">
      <w:lvlJc w:val="left"/>
      <w:lvlText w:val="%1"/>
      <w:numFmt w:val="lowerLetter"/>
      <w:start w:val="1"/>
    </w:lvl>
    <w:lvl w:ilvl="1">
      <w:lvlJc w:val="left"/>
      <w:lvlText w:val="(%2)"/>
      <w:numFmt w:val="upperLetter"/>
      <w:start w:val="4"/>
    </w:lvl>
  </w:abstractNum>
  <w:abstractNum w:abstractNumId="124">
    <w:nsid w:val="7E448DE9"/>
    <w:multiLevelType w:val="hybridMultilevel"/>
    <w:lvl w:ilvl="0">
      <w:lvlJc w:val="left"/>
      <w:lvlText w:val="(%1)"/>
      <w:numFmt w:val="lowerLetter"/>
      <w:start w:val="3"/>
    </w:lvl>
    <w:lvl w:ilvl="1">
      <w:lvlJc w:val="left"/>
      <w:lvlText w:val="%2"/>
      <w:numFmt w:val="upperLetter"/>
      <w:start w:val="1"/>
    </w:lvl>
  </w:abstractNum>
  <w:abstractNum w:abstractNumId="125">
    <w:nsid w:val="5A9CC3E5"/>
    <w:multiLevelType w:val="hybridMultilevel"/>
    <w:lvl w:ilvl="0">
      <w:lvlJc w:val="left"/>
      <w:lvlText w:val="(%1)"/>
      <w:numFmt w:val="decimal"/>
      <w:start w:val="1"/>
    </w:lvl>
  </w:abstractNum>
  <w:abstractNum w:abstractNumId="126">
    <w:nsid w:val="1AFE3625"/>
    <w:multiLevelType w:val="hybridMultilevel"/>
    <w:lvl w:ilvl="0">
      <w:lvlJc w:val="left"/>
      <w:lvlText w:val="(%1)"/>
      <w:numFmt w:val="decimal"/>
      <w:start w:val="1"/>
    </w:lvl>
  </w:abstractNum>
  <w:abstractNum w:abstractNumId="127">
    <w:nsid w:val="3CA88ECF"/>
    <w:multiLevelType w:val="hybridMultilevel"/>
    <w:lvl w:ilvl="0">
      <w:lvlJc w:val="left"/>
      <w:lvlText w:val="(%1)"/>
      <w:numFmt w:val="decimal"/>
      <w:start w:val="1"/>
    </w:lvl>
  </w:abstractNum>
  <w:abstractNum w:abstractNumId="128">
    <w:nsid w:val="6EBE4208"/>
    <w:multiLevelType w:val="hybridMultilevel"/>
    <w:lvl w:ilvl="0">
      <w:lvlJc w:val="left"/>
      <w:lvlText w:val="(%1)"/>
      <w:numFmt w:val="decimal"/>
      <w:start w:val="1"/>
    </w:lvl>
  </w:abstractNum>
  <w:abstractNum w:abstractNumId="129">
    <w:nsid w:val="C058DF5"/>
    <w:multiLevelType w:val="hybridMultilevel"/>
    <w:lvl w:ilvl="0">
      <w:lvlJc w:val="left"/>
      <w:lvlText w:val="(%1)"/>
      <w:numFmt w:val="decimal"/>
      <w:start w:val="8"/>
    </w:lvl>
  </w:abstractNum>
  <w:abstractNum w:abstractNumId="130">
    <w:nsid w:val="CBE5BE9"/>
    <w:multiLevelType w:val="hybridMultilevel"/>
    <w:lvl w:ilvl="0">
      <w:lvlJc w:val="left"/>
      <w:lvlText w:val="(%1)"/>
      <w:numFmt w:val="decimal"/>
      <w:start w:val="1"/>
    </w:lvl>
  </w:abstractNum>
  <w:abstractNum w:abstractNumId="131">
    <w:nsid w:val="3102BBE2"/>
    <w:multiLevelType w:val="hybridMultilevel"/>
    <w:lvl w:ilvl="0">
      <w:lvlJc w:val="left"/>
      <w:lvlText w:val="(%1)"/>
      <w:numFmt w:val="decimal"/>
      <w:start w:val="2"/>
    </w:lvl>
  </w:abstractNum>
  <w:abstractNum w:abstractNumId="132">
    <w:nsid w:val="26A02C5E"/>
    <w:multiLevelType w:val="hybridMultilevel"/>
    <w:lvl w:ilvl="0">
      <w:lvlJc w:val="left"/>
      <w:lvlText w:val="(%1)"/>
      <w:numFmt w:val="decimal"/>
      <w:start w:val="1"/>
    </w:lvl>
  </w:abstractNum>
  <w:abstractNum w:abstractNumId="133">
    <w:nsid w:val="541C8153"/>
    <w:multiLevelType w:val="hybridMultilevel"/>
    <w:lvl w:ilvl="0">
      <w:lvlJc w:val="left"/>
      <w:lvlText w:val="(%1)"/>
      <w:numFmt w:val="decimal"/>
      <w:start w:val="1"/>
    </w:lvl>
  </w:abstractNum>
  <w:abstractNum w:abstractNumId="134">
    <w:nsid w:val="67906F60"/>
    <w:multiLevelType w:val="hybridMultilevel"/>
    <w:lvl w:ilvl="0">
      <w:lvlJc w:val="left"/>
      <w:lvlText w:val="(%1)"/>
      <w:numFmt w:val="lowerLetter"/>
      <w:start w:val="1"/>
    </w:lvl>
    <w:lvl w:ilvl="1">
      <w:lvlJc w:val="left"/>
      <w:lvlText w:val="(%2)"/>
      <w:numFmt w:val="decimal"/>
      <w:start w:val="1"/>
    </w:lvl>
  </w:abstractNum>
  <w:abstractNum w:abstractNumId="135">
    <w:nsid w:val="10DB9DAA"/>
    <w:multiLevelType w:val="hybridMultilevel"/>
    <w:lvl w:ilvl="0">
      <w:lvlJc w:val="left"/>
      <w:lvlText w:val="(%1)"/>
      <w:numFmt w:val="lowerLetter"/>
      <w:start w:val="2"/>
    </w:lvl>
  </w:abstractNum>
  <w:abstractNum w:abstractNumId="136">
    <w:nsid w:val="697D2D2"/>
    <w:multiLevelType w:val="hybridMultilevel"/>
    <w:lvl w:ilvl="0">
      <w:lvlJc w:val="left"/>
      <w:lvlText w:val="(%1)"/>
      <w:numFmt w:val="decimal"/>
      <w:start w:val="1"/>
    </w:lvl>
  </w:abstractNum>
  <w:abstractNum w:abstractNumId="137">
    <w:nsid w:val="6D68AB2"/>
    <w:multiLevelType w:val="hybridMultilevel"/>
    <w:lvl w:ilvl="0">
      <w:lvlJc w:val="left"/>
      <w:lvlText w:val="(%1)"/>
      <w:numFmt w:val="decimal"/>
      <w:start w:val="1"/>
    </w:lvl>
  </w:abstractNum>
  <w:abstractNum w:abstractNumId="138">
    <w:nsid w:val="3A966CD0"/>
    <w:multiLevelType w:val="hybridMultilevel"/>
    <w:lvl w:ilvl="0">
      <w:lvlJc w:val="left"/>
      <w:lvlText w:val="(%1)"/>
      <w:numFmt w:val="decimal"/>
      <w:start w:val="1"/>
    </w:lvl>
  </w:abstractNum>
  <w:abstractNum w:abstractNumId="139">
    <w:nsid w:val="63F37E8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40">
    <w:nsid w:val="5895F5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41">
    <w:nsid w:val="38A5D05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2">
    <w:nsid w:val="F3F09D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3">
    <w:nsid w:val="4B793735"/>
    <w:multiLevelType w:val="hybridMultilevel"/>
    <w:lvl w:ilvl="0">
      <w:lvlJc w:val="left"/>
      <w:lvlText w:val="(%1)"/>
      <w:numFmt w:val="lowerLetter"/>
      <w:start w:val="1"/>
    </w:lvl>
  </w:abstractNum>
  <w:abstractNum w:abstractNumId="144">
    <w:nsid w:val="4A10B4E8"/>
    <w:multiLevelType w:val="hybridMultilevel"/>
    <w:lvl w:ilvl="0">
      <w:lvlJc w:val="left"/>
      <w:lvlText w:val="(%1)"/>
      <w:numFmt w:val="decimal"/>
      <w:start w:val="1"/>
    </w:lvl>
  </w:abstractNum>
  <w:abstractNum w:abstractNumId="145">
    <w:nsid w:val="43D3BCD4"/>
    <w:multiLevelType w:val="hybridMultilevel"/>
    <w:lvl w:ilvl="0">
      <w:lvlJc w:val="left"/>
      <w:lvlText w:val="(%1)"/>
      <w:numFmt w:val="decimal"/>
      <w:start w:val="1"/>
    </w:lvl>
  </w:abstractNum>
  <w:abstractNum w:abstractNumId="146">
    <w:nsid w:val="4C2A7166"/>
    <w:multiLevelType w:val="hybridMultilevel"/>
    <w:lvl w:ilvl="0">
      <w:lvlJc w:val="left"/>
      <w:lvlText w:val="(%1)"/>
      <w:numFmt w:val="decimal"/>
      <w:start w:val="2"/>
    </w:lvl>
  </w:abstractNum>
  <w:abstractNum w:abstractNumId="147">
    <w:nsid w:val="2E534A82"/>
    <w:multiLevelType w:val="hybridMultilevel"/>
    <w:lvl w:ilvl="0">
      <w:lvlJc w:val="left"/>
      <w:lvlText w:val="(%1)"/>
      <w:numFmt w:val="decimal"/>
      <w:start w:val="1"/>
    </w:lvl>
  </w:abstractNum>
  <w:abstractNum w:abstractNumId="148">
    <w:nsid w:val="26F2D364"/>
    <w:multiLevelType w:val="hybridMultilevel"/>
    <w:lvl w:ilvl="0">
      <w:lvlJc w:val="left"/>
      <w:lvlText w:val="(%1)"/>
      <w:numFmt w:val="decimal"/>
      <w:start w:val="1"/>
    </w:lvl>
  </w:abstractNum>
  <w:abstractNum w:abstractNumId="149">
    <w:nsid w:val="71C1AF98"/>
    <w:multiLevelType w:val="hybridMultilevel"/>
    <w:lvl w:ilvl="0">
      <w:lvlJc w:val="left"/>
      <w:lvlText w:val="(%1)"/>
      <w:numFmt w:val="decimal"/>
      <w:start w:val="1"/>
    </w:lvl>
  </w:abstractNum>
  <w:abstractNum w:abstractNumId="150">
    <w:nsid w:val="3D00B9D9"/>
    <w:multiLevelType w:val="hybridMultilevel"/>
    <w:lvl w:ilvl="0">
      <w:lvlJc w:val="left"/>
      <w:lvlText w:val="(%1)"/>
      <w:numFmt w:val="decimal"/>
      <w:start w:val="1"/>
    </w:lvl>
  </w:abstractNum>
  <w:abstractNum w:abstractNumId="151">
    <w:nsid w:val="15BCABA8"/>
    <w:multiLevelType w:val="hybridMultilevel"/>
    <w:lvl w:ilvl="0">
      <w:lvlJc w:val="left"/>
      <w:lvlText w:val="(%1)"/>
      <w:numFmt w:val="decimal"/>
      <w:start w:val="3"/>
    </w:lvl>
  </w:abstractNum>
  <w:abstractNum w:abstractNumId="152">
    <w:nsid w:val="4E0B9A87"/>
    <w:multiLevelType w:val="hybridMultilevel"/>
    <w:lvl w:ilvl="0">
      <w:lvlJc w:val="left"/>
      <w:lvlText w:val="(%1)"/>
      <w:numFmt w:val="decimal"/>
      <w:start w:val="12"/>
    </w:lvl>
  </w:abstractNum>
  <w:abstractNum w:abstractNumId="153">
    <w:nsid w:val="434BAE75"/>
    <w:multiLevelType w:val="hybridMultilevel"/>
    <w:lvl w:ilvl="0">
      <w:lvlJc w:val="left"/>
      <w:lvlText w:val="(%1)"/>
      <w:numFmt w:val="decimal"/>
      <w:start w:val="1"/>
    </w:lvl>
    <w:lvl w:ilvl="1">
      <w:lvlJc w:val="left"/>
      <w:lvlText w:val="(%2)"/>
      <w:numFmt w:val="lowerLetter"/>
      <w:start w:val="1"/>
    </w:lvl>
  </w:abstractNum>
  <w:abstractNum w:abstractNumId="154">
    <w:nsid w:val="4F38F265"/>
    <w:multiLevelType w:val="hybridMultilevel"/>
    <w:lvl w:ilvl="0">
      <w:lvlJc w:val="left"/>
      <w:lvlText w:val="(%1)"/>
      <w:numFmt w:val="lowerLetter"/>
      <w:start w:val="3"/>
    </w:lvl>
  </w:abstractNum>
  <w:abstractNum w:abstractNumId="155">
    <w:nsid w:val="4C502870"/>
    <w:multiLevelType w:val="hybridMultilevel"/>
    <w:lvl w:ilvl="0">
      <w:lvlJc w:val="left"/>
      <w:lvlText w:val="(%1)"/>
      <w:numFmt w:val="decimal"/>
      <w:start w:val="1"/>
    </w:lvl>
  </w:abstractNum>
  <w:abstractNum w:abstractNumId="156">
    <w:nsid w:val="1DE8725A"/>
    <w:multiLevelType w:val="hybridMultilevel"/>
    <w:lvl w:ilvl="0">
      <w:lvlJc w:val="left"/>
      <w:lvlText w:val="(%1)"/>
      <w:numFmt w:val="decimal"/>
      <w:start w:val="5"/>
    </w:lvl>
  </w:abstractNum>
  <w:abstractNum w:abstractNumId="157">
    <w:nsid w:val="6A37288A"/>
    <w:multiLevelType w:val="hybridMultilevel"/>
    <w:lvl w:ilvl="0">
      <w:lvlJc w:val="left"/>
      <w:lvlText w:val="(%1)"/>
      <w:numFmt w:val="decimal"/>
      <w:start w:val="12"/>
    </w:lvl>
  </w:abstractNum>
  <w:abstractNum w:abstractNumId="158">
    <w:nsid w:val="8F8B73F"/>
    <w:multiLevelType w:val="hybridMultilevel"/>
    <w:lvl w:ilvl="0">
      <w:lvlJc w:val="left"/>
      <w:lvlText w:val="(%1)"/>
      <w:numFmt w:val="decimal"/>
      <w:start w:val="1"/>
    </w:lvl>
  </w:abstractNum>
  <w:abstractNum w:abstractNumId="159">
    <w:nsid w:val="CA6B462"/>
    <w:multiLevelType w:val="hybridMultilevel"/>
    <w:lvl w:ilvl="0">
      <w:lvlJc w:val="left"/>
      <w:lvlText w:val="(%1)"/>
      <w:numFmt w:val="decimal"/>
      <w:start w:val="4"/>
    </w:lvl>
  </w:abstractNum>
  <w:abstractNum w:abstractNumId="160">
    <w:nsid w:val="763CB680"/>
    <w:multiLevelType w:val="hybridMultilevel"/>
    <w:lvl w:ilvl="0">
      <w:lvlJc w:val="left"/>
      <w:lvlText w:val="(%1)"/>
      <w:numFmt w:val="lowerLetter"/>
      <w:start w:val="1"/>
    </w:lvl>
  </w:abstractNum>
  <w:abstractNum w:abstractNumId="161">
    <w:nsid w:val="15B71329"/>
    <w:multiLevelType w:val="hybridMultilevel"/>
    <w:lvl w:ilvl="0">
      <w:lvlJc w:val="left"/>
      <w:lvlText w:val="(%1)"/>
      <w:numFmt w:val="decimal"/>
      <w:start w:val="1"/>
    </w:lvl>
  </w:abstractNum>
  <w:abstractNum w:abstractNumId="162">
    <w:nsid w:val="3DA97044"/>
    <w:multiLevelType w:val="hybridMultilevel"/>
    <w:lvl w:ilvl="0">
      <w:lvlJc w:val="left"/>
      <w:lvlText w:val="(%1)"/>
      <w:numFmt w:val="decimal"/>
      <w:start w:val="7"/>
    </w:lvl>
  </w:abstractNum>
  <w:abstractNum w:abstractNumId="163">
    <w:nsid w:val="1CDCE2DE"/>
    <w:multiLevelType w:val="hybridMultilevel"/>
    <w:lvl w:ilvl="0">
      <w:lvlJc w:val="left"/>
      <w:lvlText w:val="(%1)"/>
      <w:numFmt w:val="decimal"/>
      <w:start w:val="17"/>
    </w:lvl>
  </w:abstractNum>
  <w:abstractNum w:abstractNumId="164">
    <w:nsid w:val="69D3947C"/>
    <w:multiLevelType w:val="hybridMultilevel"/>
    <w:lvl w:ilvl="0">
      <w:lvlJc w:val="left"/>
      <w:lvlText w:val="(%1)"/>
      <w:numFmt w:val="lowerLetter"/>
      <w:start w:val="1"/>
    </w:lvl>
  </w:abstractNum>
  <w:abstractNum w:abstractNumId="165">
    <w:nsid w:val="2539DFA5"/>
    <w:multiLevelType w:val="hybridMultilevel"/>
    <w:lvl w:ilvl="0">
      <w:lvlJc w:val="left"/>
      <w:lvlText w:val="(%1)"/>
      <w:numFmt w:val="decimal"/>
      <w:start w:val="1"/>
    </w:lvl>
  </w:abstractNum>
  <w:abstractNum w:abstractNumId="166">
    <w:nsid w:val="2DB88089"/>
    <w:multiLevelType w:val="hybridMultilevel"/>
    <w:lvl w:ilvl="0">
      <w:lvlJc w:val="left"/>
      <w:lvlText w:val="(%1)"/>
      <w:numFmt w:val="decimal"/>
      <w:start w:val="1"/>
    </w:lvl>
  </w:abstractNum>
  <w:abstractNum w:abstractNumId="167">
    <w:nsid w:val="706B674E"/>
    <w:multiLevelType w:val="hybridMultilevel"/>
    <w:lvl w:ilvl="0">
      <w:lvlJc w:val="left"/>
      <w:lvlText w:val="(%1)"/>
      <w:numFmt w:val="decimal"/>
      <w:start w:val="9"/>
    </w:lvl>
  </w:abstractNum>
  <w:abstractNum w:abstractNumId="168">
    <w:nsid w:val="2C106A57"/>
    <w:multiLevelType w:val="hybridMultilevel"/>
    <w:lvl w:ilvl="0">
      <w:lvlJc w:val="left"/>
      <w:lvlText w:val="(%1)"/>
      <w:numFmt w:val="lowerLetter"/>
      <w:start w:val="1"/>
    </w:lvl>
  </w:abstractNum>
  <w:abstractNum w:abstractNumId="169">
    <w:nsid w:val="684EED59"/>
    <w:multiLevelType w:val="hybridMultilevel"/>
    <w:lvl w:ilvl="0">
      <w:lvlJc w:val="left"/>
      <w:lvlText w:val="(%1)"/>
      <w:numFmt w:val="lowerLetter"/>
      <w:start w:val="3"/>
    </w:lvl>
  </w:abstractNum>
  <w:abstractNum w:abstractNumId="170">
    <w:nsid w:val="545EE5D3"/>
    <w:multiLevelType w:val="hybridMultilevel"/>
    <w:lvl w:ilvl="0">
      <w:lvlJc w:val="left"/>
      <w:lvlText w:val="(%1)"/>
      <w:numFmt w:val="decimal"/>
      <w:start w:val="1"/>
    </w:lvl>
  </w:abstractNum>
  <w:abstractNum w:abstractNumId="171">
    <w:nsid w:val="4A66051"/>
    <w:multiLevelType w:val="hybridMultilevel"/>
    <w:lvl w:ilvl="0">
      <w:lvlJc w:val="left"/>
      <w:lvlText w:val="(%1)"/>
      <w:numFmt w:val="decimal"/>
      <w:start w:val="1"/>
    </w:lvl>
  </w:abstractNum>
  <w:abstractNum w:abstractNumId="172">
    <w:nsid w:val="20F4BDAD"/>
    <w:multiLevelType w:val="hybridMultilevel"/>
    <w:lvl w:ilvl="0">
      <w:lvlJc w:val="left"/>
      <w:lvlText w:val="(%1)"/>
      <w:numFmt w:val="lowerLetter"/>
      <w:start w:val="1"/>
    </w:lvl>
  </w:abstractNum>
  <w:abstractNum w:abstractNumId="173">
    <w:nsid w:val="639DEFAC"/>
    <w:multiLevelType w:val="hybridMultilevel"/>
    <w:lvl w:ilvl="0">
      <w:lvlJc w:val="left"/>
      <w:lvlText w:val="(%1)"/>
      <w:numFmt w:val="decimal"/>
      <w:start w:val="3"/>
    </w:lvl>
  </w:abstractNum>
  <w:abstractNum w:abstractNumId="174">
    <w:nsid w:val="501F9786"/>
    <w:multiLevelType w:val="hybridMultilevel"/>
    <w:lvl w:ilvl="0">
      <w:lvlJc w:val="left"/>
      <w:lvlText w:val="(%1)"/>
      <w:numFmt w:val="lowerLetter"/>
      <w:start w:val="1"/>
    </w:lvl>
  </w:abstractNum>
  <w:abstractNum w:abstractNumId="175">
    <w:nsid w:val="6B057295"/>
    <w:multiLevelType w:val="hybridMultilevel"/>
    <w:lvl w:ilvl="0">
      <w:lvlJc w:val="left"/>
      <w:lvlText w:val="(%1)"/>
      <w:numFmt w:val="lowerLetter"/>
      <w:start w:val="3"/>
    </w:lvl>
  </w:abstractNum>
  <w:abstractNum w:abstractNumId="176">
    <w:nsid w:val="2771AC80"/>
    <w:multiLevelType w:val="hybridMultilevel"/>
    <w:lvl w:ilvl="0">
      <w:lvlJc w:val="left"/>
      <w:lvlText w:val="(%1)"/>
      <w:numFmt w:val="lowerLetter"/>
      <w:start w:val="5"/>
    </w:lvl>
  </w:abstractNum>
  <w:abstractNum w:abstractNumId="177">
    <w:nsid w:val="1C4A08EC"/>
    <w:multiLevelType w:val="hybridMultilevel"/>
    <w:lvl w:ilvl="0">
      <w:lvlJc w:val="left"/>
      <w:lvlText w:val="(%1)"/>
      <w:numFmt w:val="lowerLetter"/>
      <w:start w:val="1"/>
    </w:lvl>
  </w:abstractNum>
  <w:abstractNum w:abstractNumId="178">
    <w:nsid w:val="1958BD1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79">
    <w:nsid w:val="4E647FE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80">
    <w:nsid w:val="E0BB885"/>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81">
    <w:nsid w:val="565976F1"/>
    <w:multiLevelType w:val="hybridMultilevel"/>
    <w:lvl w:ilvl="0">
      <w:lvlJc w:val="left"/>
      <w:lvlText w:val="*"/>
      <w:numFmt w:val="bullet"/>
      <w:start w:val="1"/>
    </w:lvl>
    <w:lvl w:ilvl="1">
      <w:lvlJc w:val="left"/>
      <w:lvlText w:val="(%2)"/>
      <w:numFmt w:val="decimal"/>
      <w:start w:val="1"/>
    </w:lvl>
  </w:abstractNum>
  <w:abstractNum w:abstractNumId="182">
    <w:nsid w:val="64212B8C"/>
    <w:multiLevelType w:val="hybridMultilevel"/>
    <w:lvl w:ilvl="0">
      <w:lvlJc w:val="left"/>
      <w:lvlText w:val="(%1)"/>
      <w:numFmt w:val="decimal"/>
      <w:start w:val="5"/>
    </w:lvl>
  </w:abstractNum>
  <w:abstractNum w:abstractNumId="183">
    <w:nsid w:val="5C17530C"/>
    <w:multiLevelType w:val="hybridMultilevel"/>
    <w:lvl w:ilvl="0">
      <w:lvlJc w:val="left"/>
      <w:lvlText w:val="*"/>
      <w:numFmt w:val="bullet"/>
      <w:start w:val="1"/>
    </w:lvl>
  </w:abstractNum>
  <w:abstractNum w:abstractNumId="184">
    <w:nsid w:val="19A52566"/>
    <w:multiLevelType w:val="hybridMultilevel"/>
    <w:lvl w:ilvl="0">
      <w:lvlJc w:val="left"/>
      <w:lvlText w:val="*"/>
      <w:numFmt w:val="bullet"/>
      <w:start w:val="1"/>
    </w:lvl>
  </w:abstractNum>
  <w:abstractNum w:abstractNumId="185">
    <w:nsid w:val="335A1DF1"/>
    <w:multiLevelType w:val="hybridMultilevel"/>
    <w:lvl w:ilvl="0">
      <w:lvlJc w:val="left"/>
      <w:lvlText w:val="*"/>
      <w:numFmt w:val="bullet"/>
      <w:start w:val="1"/>
    </w:lvl>
  </w:abstractNum>
  <w:abstractNum w:abstractNumId="186">
    <w:nsid w:val="28677B7C"/>
    <w:multiLevelType w:val="hybridMultilevel"/>
    <w:lvl w:ilvl="0">
      <w:lvlJc w:val="left"/>
      <w:lvlText w:val="%1."/>
      <w:numFmt w:val="decimal"/>
      <w:start w:val="1"/>
    </w:lvl>
  </w:abstractNum>
  <w:abstractNum w:abstractNumId="187">
    <w:nsid w:val="378D97C0"/>
    <w:multiLevelType w:val="hybridMultilevel"/>
    <w:lvl w:ilvl="0">
      <w:lvlJc w:val="left"/>
      <w:lvlText w:val="(%1)"/>
      <w:numFmt w:val="lowerLetter"/>
      <w:start w:val="1"/>
    </w:lvl>
  </w:abstractNum>
  <w:abstractNum w:abstractNumId="188">
    <w:nsid w:val="1D91467C"/>
    <w:multiLevelType w:val="hybridMultilevel"/>
    <w:lvl w:ilvl="0">
      <w:lvlJc w:val="left"/>
      <w:lvlText w:val="%1."/>
      <w:numFmt w:val="decimal"/>
      <w:start w:val="2"/>
    </w:lvl>
  </w:abstractNum>
  <w:abstractNum w:abstractNumId="189">
    <w:nsid w:val="316032BB"/>
    <w:multiLevelType w:val="hybridMultilevel"/>
    <w:lvl w:ilvl="0">
      <w:lvlJc w:val="left"/>
      <w:lvlText w:val="%1."/>
      <w:numFmt w:val="decimal"/>
      <w:start w:val="3"/>
    </w:lvl>
  </w:abstractNum>
  <w:abstractNum w:abstractNumId="190">
    <w:nsid w:val="44344C22"/>
    <w:multiLevelType w:val="hybridMultilevel"/>
    <w:lvl w:ilvl="0">
      <w:lvlJc w:val="left"/>
      <w:lvlText w:val="(%1)"/>
      <w:numFmt w:val="lowerRoman"/>
      <w:start w:val="6"/>
    </w:lvl>
  </w:abstractNum>
  <w:abstractNum w:abstractNumId="191">
    <w:nsid w:val="13CDFCFC"/>
    <w:multiLevelType w:val="hybridMultilevel"/>
    <w:lvl w:ilvl="0">
      <w:lvlJc w:val="left"/>
      <w:lvlText w:val="%1."/>
      <w:numFmt w:val="decimal"/>
      <w:start w:val="2"/>
    </w:lvl>
  </w:abstractNum>
  <w:abstractNum w:abstractNumId="192">
    <w:nsid w:val="471745E4"/>
    <w:multiLevelType w:val="hybridMultilevel"/>
    <w:lvl w:ilvl="0">
      <w:lvlJc w:val="left"/>
      <w:lvlText w:val="(%1)"/>
      <w:numFmt w:val="lowerRoman"/>
      <w:start w:val="1"/>
    </w:lvl>
  </w:abstractNum>
  <w:abstractNum w:abstractNumId="193">
    <w:nsid w:val="1DDBC66"/>
    <w:multiLevelType w:val="hybridMultilevel"/>
    <w:lvl w:ilvl="0">
      <w:lvlJc w:val="left"/>
      <w:lvlText w:val="(%1)"/>
      <w:numFmt w:val="lowerRoman"/>
      <w:start w:val="1"/>
    </w:lvl>
  </w:abstractNum>
  <w:abstractNum w:abstractNumId="194">
    <w:nsid w:val="30AADFDA"/>
    <w:multiLevelType w:val="hybridMultilevel"/>
    <w:lvl w:ilvl="0">
      <w:lvlJc w:val="left"/>
      <w:lvlText w:val="(%1)"/>
      <w:numFmt w:val="lowerRoman"/>
      <w:start w:val="2"/>
    </w:lvl>
  </w:abstractNum>
  <w:abstractNum w:abstractNumId="195">
    <w:nsid w:val="30EADA61"/>
    <w:multiLevelType w:val="hybridMultilevel"/>
    <w:lvl w:ilvl="0">
      <w:lvlJc w:val="left"/>
      <w:lvlText w:val="(%1)"/>
      <w:numFmt w:val="lowerLetter"/>
      <w:start w:val="2"/>
    </w:lvl>
  </w:abstractNum>
  <w:abstractNum w:abstractNumId="196">
    <w:nsid w:val="27179C0B"/>
    <w:multiLevelType w:val="hybridMultilevel"/>
    <w:lvl w:ilvl="0">
      <w:lvlJc w:val="left"/>
      <w:lvlText w:val="(%1)"/>
      <w:numFmt w:val="lowerLetter"/>
      <w:start w:val="3"/>
    </w:lvl>
  </w:abstractNum>
  <w:abstractNum w:abstractNumId="197">
    <w:nsid w:val="5E636063"/>
    <w:multiLevelType w:val="hybridMultilevel"/>
    <w:lvl w:ilvl="0">
      <w:lvlJc w:val="left"/>
      <w:lvlText w:val="(%1)"/>
      <w:numFmt w:val="lowerLetter"/>
      <w:start w:val="5"/>
    </w:lvl>
  </w:abstractNum>
  <w:abstractNum w:abstractNumId="198">
    <w:nsid w:val="215641AF"/>
    <w:multiLevelType w:val="hybridMultilevel"/>
    <w:lvl w:ilvl="0">
      <w:lvlJc w:val="left"/>
      <w:lvlText w:val="%1."/>
      <w:numFmt w:val="decimal"/>
      <w:start w:val="3"/>
    </w:lvl>
  </w:abstractNum>
  <w:abstractNum w:abstractNumId="199">
    <w:nsid w:val="53280662"/>
    <w:multiLevelType w:val="hybridMultilevel"/>
    <w:lvl w:ilvl="0">
      <w:lvlJc w:val="left"/>
      <w:lvlText w:val="(%1)"/>
      <w:numFmt w:val="lowerRoman"/>
      <w:start w:val="1"/>
    </w:lvl>
  </w:abstractNum>
  <w:abstractNum w:abstractNumId="200">
    <w:nsid w:val="46B24DBC"/>
    <w:multiLevelType w:val="hybridMultilevel"/>
    <w:lvl w:ilvl="0">
      <w:lvlJc w:val="left"/>
      <w:lvlText w:val="(%1)"/>
      <w:numFmt w:val="lowerRoman"/>
      <w:start w:val="5"/>
    </w:lvl>
  </w:abstractNum>
  <w:abstractNum w:abstractNumId="201">
    <w:nsid w:val="75B52783"/>
    <w:multiLevelType w:val="hybridMultilevel"/>
    <w:lvl w:ilvl="0">
      <w:lvlJc w:val="left"/>
      <w:lvlText w:val="(%1)"/>
      <w:numFmt w:val="lowerRoman"/>
      <w:start w:val="10"/>
    </w:lvl>
  </w:abstractNum>
  <w:abstractNum w:abstractNumId="202">
    <w:nsid w:val="57CE66B4"/>
    <w:multiLevelType w:val="hybridMultilevel"/>
    <w:lvl w:ilvl="0">
      <w:lvlJc w:val="left"/>
      <w:lvlText w:val="(%1)"/>
      <w:numFmt w:val="lowerRoman"/>
      <w:start w:val="15"/>
    </w:lvl>
    <w:lvl w:ilvl="1">
      <w:lvlJc w:val="left"/>
      <w:lvlText w:val="(%2)"/>
      <w:numFmt w:val="lowerLetter"/>
      <w:start w:val="2"/>
    </w:lvl>
  </w:abstractNum>
  <w:abstractNum w:abstractNumId="203">
    <w:nsid w:val="67A70B69"/>
    <w:multiLevelType w:val="hybridMultilevel"/>
    <w:lvl w:ilvl="0">
      <w:lvlJc w:val="left"/>
      <w:lvlText w:val="(%1)"/>
      <w:numFmt w:val="lowerLetter"/>
      <w:start w:val="4"/>
    </w:lvl>
  </w:abstractNum>
  <w:abstractNum w:abstractNumId="204">
    <w:nsid w:val="5953172F"/>
    <w:multiLevelType w:val="hybridMultilevel"/>
    <w:lvl w:ilvl="0">
      <w:lvlJc w:val="left"/>
      <w:lvlText w:val="%1."/>
      <w:numFmt w:val="decimal"/>
      <w:start w:val="4"/>
    </w:lvl>
  </w:abstractNum>
  <w:abstractNum w:abstractNumId="205">
    <w:nsid w:val="27EDFE3A"/>
    <w:multiLevelType w:val="hybridMultilevel"/>
    <w:lvl w:ilvl="0">
      <w:lvlJc w:val="left"/>
      <w:lvlText w:val="(%1)"/>
      <w:numFmt w:val="lowerLetter"/>
      <w:start w:val="2"/>
    </w:lvl>
  </w:abstractNum>
  <w:abstractNum w:abstractNumId="206">
    <w:nsid w:val="52AC7DFF"/>
    <w:multiLevelType w:val="hybridMultilevel"/>
    <w:lvl w:ilvl="0">
      <w:lvlJc w:val="left"/>
      <w:lvlText w:val="%1."/>
      <w:numFmt w:val="decimal"/>
      <w:start w:val="5"/>
    </w:lvl>
  </w:abstractNum>
  <w:abstractNum w:abstractNumId="207">
    <w:nsid w:val="C4C3AF"/>
    <w:multiLevelType w:val="hybridMultilevel"/>
    <w:lvl w:ilvl="0">
      <w:lvlJc w:val="left"/>
      <w:lvlText w:val="%1"/>
      <w:numFmt w:val="lowerRoman"/>
      <w:start w:val="1"/>
    </w:lvl>
    <w:lvl w:ilvl="1">
      <w:lvlJc w:val="left"/>
      <w:lvlText w:val="(%2)"/>
      <w:numFmt w:val="lowerLetter"/>
      <w:start w:val="2"/>
    </w:lvl>
  </w:abstractNum>
  <w:abstractNum w:abstractNumId="208">
    <w:nsid w:val="44380727"/>
    <w:multiLevelType w:val="hybridMultilevel"/>
    <w:lvl w:ilvl="0">
      <w:lvlJc w:val="left"/>
      <w:lvlText w:val="(%1)"/>
      <w:numFmt w:val="lowerRoman"/>
      <w:start w:val="4"/>
    </w:lvl>
    <w:lvl w:ilvl="1">
      <w:lvlJc w:val="left"/>
      <w:lvlText w:val="%2"/>
      <w:numFmt w:val="lowerLetter"/>
      <w:start w:val="1"/>
    </w:lvl>
  </w:abstractNum>
  <w:abstractNum w:abstractNumId="209">
    <w:nsid w:val="6C053B16"/>
    <w:multiLevelType w:val="hybridMultilevel"/>
    <w:lvl w:ilvl="0">
      <w:lvlJc w:val="left"/>
      <w:lvlText w:val="(%1)"/>
      <w:numFmt w:val="lowerRoman"/>
      <w:start w:val="2"/>
    </w:lvl>
    <w:lvl w:ilvl="1">
      <w:lvlJc w:val="left"/>
      <w:lvlText w:val="%2"/>
      <w:numFmt w:val="lowerLetter"/>
      <w:start w:val="1"/>
    </w:lvl>
  </w:abstractNum>
  <w:abstractNum w:abstractNumId="210">
    <w:nsid w:val="4F294393"/>
    <w:multiLevelType w:val="hybridMultilevel"/>
    <w:lvl w:ilvl="0">
      <w:lvlJc w:val="left"/>
      <w:lvlText w:val="%1"/>
      <w:numFmt w:val="lowerLetter"/>
      <w:start w:val="1"/>
    </w:lvl>
    <w:lvl w:ilvl="1">
      <w:lvlJc w:val="left"/>
      <w:lvlText w:val="(%2)"/>
      <w:numFmt w:val="lowerLetter"/>
      <w:start w:val="4"/>
    </w:lvl>
  </w:abstractNum>
  <w:abstractNum w:abstractNumId="211">
    <w:nsid w:val="5243BFAC"/>
    <w:multiLevelType w:val="hybridMultilevel"/>
    <w:lvl w:ilvl="0">
      <w:lvlJc w:val="left"/>
      <w:lvlText w:val="(%1)"/>
      <w:numFmt w:val="lowerLetter"/>
      <w:start w:val="35"/>
    </w:lvl>
    <w:lvl w:ilvl="1">
      <w:lvlJc w:val="left"/>
      <w:lvlText w:val="(%2)"/>
      <w:numFmt w:val="lowerLetter"/>
      <w:start w:val="5"/>
    </w:lvl>
  </w:abstractNum>
  <w:abstractNum w:abstractNumId="212">
    <w:nsid w:val="425EB207"/>
    <w:multiLevelType w:val="hybridMultilevel"/>
    <w:lvl w:ilvl="0">
      <w:lvlJc w:val="left"/>
      <w:lvlText w:val="%1."/>
      <w:numFmt w:val="decimal"/>
      <w:start w:val="6"/>
    </w:lvl>
  </w:abstractNum>
  <w:abstractNum w:abstractNumId="213">
    <w:nsid w:val="334A6F1F"/>
    <w:multiLevelType w:val="hybridMultilevel"/>
    <w:lvl w:ilvl="0">
      <w:lvlJc w:val="left"/>
      <w:lvlText w:val="(%1)"/>
      <w:numFmt w:val="lowerLetter"/>
      <w:start w:val="1"/>
    </w:lvl>
  </w:abstractNum>
  <w:abstractNum w:abstractNumId="214">
    <w:nsid w:val="2E5B12B8"/>
    <w:multiLevelType w:val="hybridMultilevel"/>
    <w:lvl w:ilvl="0">
      <w:lvlJc w:val="left"/>
      <w:lvlText w:val="(%1)"/>
      <w:numFmt w:val="lowerLetter"/>
      <w:start w:val="3"/>
    </w:lvl>
  </w:abstractNum>
  <w:abstractNum w:abstractNumId="215">
    <w:nsid w:val="5C03D76D"/>
    <w:multiLevelType w:val="hybridMultilevel"/>
    <w:lvl w:ilvl="0">
      <w:lvlJc w:val="left"/>
      <w:lvlText w:val="%1."/>
      <w:numFmt w:val="decimal"/>
      <w:start w:val="1"/>
    </w:lvl>
    <w:lvl w:ilvl="1">
      <w:lvlJc w:val="left"/>
      <w:lvlText w:val="(%2)"/>
      <w:numFmt w:val="lowerLetter"/>
      <w:start w:val="1"/>
    </w:lvl>
  </w:abstractNum>
  <w:abstractNum w:abstractNumId="216">
    <w:nsid w:val="66A48D11"/>
    <w:multiLevelType w:val="hybridMultilevel"/>
    <w:lvl w:ilvl="0">
      <w:lvlJc w:val="left"/>
      <w:lvlText w:val="(%1)"/>
      <w:numFmt w:val="lowerLetter"/>
      <w:start w:val="2"/>
    </w:lvl>
  </w:abstractNum>
  <w:abstractNum w:abstractNumId="217">
    <w:nsid w:val="56C28E34"/>
    <w:multiLevelType w:val="hybridMultilevel"/>
    <w:lvl w:ilvl="0">
      <w:lvlJc w:val="left"/>
      <w:lvlText w:val="(%1)"/>
      <w:numFmt w:val="lowerLetter"/>
      <w:start w:val="4"/>
    </w:lvl>
  </w:abstractNum>
  <w:abstractNum w:abstractNumId="218">
    <w:nsid w:val="13916F2D"/>
    <w:multiLevelType w:val="hybridMultilevel"/>
    <w:lvl w:ilvl="0">
      <w:lvlJc w:val="left"/>
      <w:lvlText w:val="(%1)"/>
      <w:numFmt w:val="lowerLetter"/>
      <w:start w:val="5"/>
    </w:lvl>
  </w:abstractNum>
  <w:abstractNum w:abstractNumId="219">
    <w:nsid w:val="435D38D"/>
    <w:multiLevelType w:val="hybridMultilevel"/>
    <w:lvl w:ilvl="0">
      <w:lvlJc w:val="left"/>
      <w:lvlText w:val="(%1)"/>
      <w:numFmt w:val="lowerLetter"/>
      <w:start w:val="6"/>
    </w:lvl>
  </w:abstractNum>
  <w:abstractNum w:abstractNumId="220">
    <w:nsid w:val="822C0EF"/>
    <w:multiLevelType w:val="hybridMultilevel"/>
    <w:lvl w:ilvl="0">
      <w:lvlJc w:val="left"/>
      <w:lvlText w:val="(%1)"/>
      <w:numFmt w:val="lowerLetter"/>
      <w:start w:val="7"/>
    </w:lvl>
    <w:lvl w:ilvl="1">
      <w:lvlJc w:val="left"/>
      <w:lvlText w:val="(%2)"/>
      <w:numFmt w:val="lowerRoman"/>
      <w:start w:val="1"/>
    </w:lvl>
  </w:abstractNum>
  <w:abstractNum w:abstractNumId="221">
    <w:nsid w:val="57C5BB4F"/>
    <w:multiLevelType w:val="hybridMultilevel"/>
    <w:lvl w:ilvl="0">
      <w:lvlJc w:val="left"/>
      <w:lvlText w:val="%1."/>
      <w:numFmt w:val="decimal"/>
      <w:start w:val="2"/>
    </w:lvl>
    <w:lvl w:ilvl="1">
      <w:lvlJc w:val="left"/>
      <w:lvlText w:val="(%2)"/>
      <w:numFmt w:val="lowerLetter"/>
      <w:start w:val="1"/>
    </w:lvl>
  </w:abstractNum>
  <w:abstractNum w:abstractNumId="222">
    <w:nsid w:val="1803D089"/>
    <w:multiLevelType w:val="hybridMultilevel"/>
    <w:lvl w:ilvl="0">
      <w:lvlJc w:val="left"/>
      <w:lvlText w:val="(%1)"/>
      <w:numFmt w:val="lowerLetter"/>
      <w:start w:val="2"/>
    </w:lvl>
    <w:lvl w:ilvl="1">
      <w:lvlJc w:val="left"/>
      <w:lvlText w:val="(%2)"/>
      <w:numFmt w:val="lowerLetter"/>
      <w:start w:val="9"/>
    </w:lvl>
  </w:abstractNum>
  <w:abstractNum w:abstractNumId="223">
    <w:nsid w:val="4F3A06D4"/>
    <w:multiLevelType w:val="hybridMultilevel"/>
    <w:lvl w:ilvl="0">
      <w:lvlJc w:val="left"/>
      <w:lvlText w:val="(%1)"/>
      <w:numFmt w:val="lowerRoman"/>
      <w:start w:val="2"/>
    </w:lvl>
  </w:abstractNum>
  <w:abstractNum w:abstractNumId="224">
    <w:nsid w:val="59A377B6"/>
    <w:multiLevelType w:val="hybridMultilevel"/>
    <w:lvl w:ilvl="0">
      <w:lvlJc w:val="left"/>
      <w:lvlText w:val="(%1)"/>
      <w:numFmt w:val="lowerRoman"/>
      <w:start w:val="4"/>
    </w:lvl>
  </w:abstractNum>
  <w:abstractNum w:abstractNumId="225">
    <w:nsid w:val="48AEB063"/>
    <w:multiLevelType w:val="hybridMultilevel"/>
    <w:lvl w:ilvl="0">
      <w:lvlJc w:val="left"/>
      <w:lvlText w:val="%1"/>
      <w:numFmt w:val="decimal"/>
      <w:start w:val="1"/>
    </w:lvl>
    <w:lvl w:ilvl="1">
      <w:lvlJc w:val="left"/>
      <w:lvlText w:val="(%2)"/>
      <w:numFmt w:val="lowerLetter"/>
      <w:start w:val="3"/>
    </w:lvl>
  </w:abstractNum>
  <w:abstractNum w:abstractNumId="226">
    <w:nsid w:val="24E135"/>
    <w:multiLevelType w:val="hybridMultilevel"/>
    <w:lvl w:ilvl="0">
      <w:lvlJc w:val="left"/>
      <w:lvlText w:val="%1."/>
      <w:numFmt w:val="decimal"/>
      <w:start w:val="3"/>
    </w:lvl>
    <w:lvl w:ilvl="1">
      <w:lvlJc w:val="left"/>
      <w:lvlText w:val="%2"/>
      <w:numFmt w:val="lowerLetter"/>
      <w:start w:val="1"/>
    </w:lvl>
  </w:abstractNum>
  <w:abstractNum w:abstractNumId="227">
    <w:nsid w:val="BB13C1"/>
    <w:multiLevelType w:val="hybridMultilevel"/>
    <w:lvl w:ilvl="0">
      <w:lvlJc w:val="left"/>
      <w:lvlText w:val="%1."/>
      <w:numFmt w:val="decimal"/>
      <w:start w:val="4"/>
    </w:lvl>
    <w:lvl w:ilvl="1">
      <w:lvlJc w:val="left"/>
      <w:lvlText w:val="(%2)"/>
      <w:numFmt w:val="lowerLetter"/>
      <w:start w:val="1"/>
    </w:lvl>
  </w:abstractNum>
  <w:abstractNum w:abstractNumId="228">
    <w:nsid w:val="271210C7"/>
    <w:multiLevelType w:val="hybridMultilevel"/>
    <w:lvl w:ilvl="0">
      <w:lvlJc w:val="left"/>
      <w:lvlText w:val="(%1)"/>
      <w:numFmt w:val="lowerLetter"/>
      <w:start w:val="3"/>
    </w:lvl>
    <w:lvl w:ilvl="1">
      <w:lvlJc w:val="left"/>
      <w:lvlText w:val="(%2)"/>
      <w:numFmt w:val="lowerLetter"/>
      <w:start w:val="9"/>
    </w:lvl>
  </w:abstractNum>
  <w:abstractNum w:abstractNumId="229">
    <w:nsid w:val="217B22E4"/>
    <w:multiLevelType w:val="hybridMultilevel"/>
    <w:lvl w:ilvl="0">
      <w:lvlJc w:val="left"/>
      <w:lvlText w:val="%1"/>
      <w:numFmt w:val="lowerLetter"/>
      <w:start w:val="1"/>
    </w:lvl>
    <w:lvl w:ilvl="1">
      <w:lvlJc w:val="left"/>
      <w:lvlText w:val="(%2)"/>
      <w:numFmt w:val="lowerLetter"/>
      <w:start w:val="35"/>
    </w:lvl>
  </w:abstractNum>
  <w:abstractNum w:abstractNumId="230">
    <w:nsid w:val="53E31A24"/>
    <w:multiLevelType w:val="hybridMultilevel"/>
    <w:lvl w:ilvl="0">
      <w:lvlJc w:val="left"/>
      <w:lvlText w:val="(%1)"/>
      <w:numFmt w:val="lowerLetter"/>
      <w:start w:val="4"/>
    </w:lvl>
    <w:lvl w:ilvl="1">
      <w:lvlJc w:val="left"/>
      <w:lvlText w:val="%2"/>
      <w:numFmt w:val="lowerLetter"/>
      <w:start w:val="1"/>
    </w:lvl>
  </w:abstractNum>
  <w:abstractNum w:abstractNumId="231">
    <w:nsid w:val="6DC45E83"/>
    <w:multiLevelType w:val="hybridMultilevel"/>
    <w:lvl w:ilvl="0">
      <w:lvlJc w:val="left"/>
      <w:lvlText w:val="%1."/>
      <w:numFmt w:val="decimal"/>
      <w:start w:val="5"/>
    </w:lvl>
    <w:lvl w:ilvl="1">
      <w:lvlJc w:val="left"/>
      <w:lvlText w:val="(%2)"/>
      <w:numFmt w:val="lowerLetter"/>
      <w:start w:val="1"/>
    </w:lvl>
  </w:abstractNum>
  <w:abstractNum w:abstractNumId="232">
    <w:nsid w:val="17304A67"/>
    <w:multiLevelType w:val="hybridMultilevel"/>
    <w:lvl w:ilvl="0">
      <w:lvlJc w:val="left"/>
      <w:lvlText w:val="%1"/>
      <w:numFmt w:val="decimal"/>
      <w:start w:val="1"/>
    </w:lvl>
    <w:lvl w:ilvl="1">
      <w:lvlJc w:val="left"/>
      <w:lvlText w:val="(%2)"/>
      <w:numFmt w:val="lowerLetter"/>
      <w:start w:val="2"/>
    </w:lvl>
  </w:abstractNum>
  <w:abstractNum w:abstractNumId="233">
    <w:nsid w:val="2BB180D8"/>
    <w:multiLevelType w:val="hybridMultilevel"/>
    <w:lvl w:ilvl="0">
      <w:lvlJc w:val="left"/>
      <w:lvlText w:val="%1."/>
      <w:numFmt w:val="decimal"/>
      <w:start w:val="8"/>
    </w:lvl>
    <w:lvl w:ilvl="1">
      <w:lvlJc w:val="left"/>
      <w:lvlText w:val="%2"/>
      <w:numFmt w:val="lowerLetter"/>
      <w:start w:val="1"/>
    </w:lvl>
  </w:abstractNum>
  <w:abstractNum w:abstractNumId="234">
    <w:nsid w:val="556B69ED"/>
    <w:multiLevelType w:val="hybridMultilevel"/>
    <w:lvl w:ilvl="0">
      <w:lvlJc w:val="left"/>
      <w:lvlText w:val="%1."/>
      <w:numFmt w:val="decimal"/>
      <w:start w:val="9"/>
    </w:lvl>
  </w:abstractNum>
  <w:abstractNum w:abstractNumId="235">
    <w:nsid w:val="70836196"/>
    <w:multiLevelType w:val="hybridMultilevel"/>
    <w:lvl w:ilvl="0">
      <w:lvlJc w:val="left"/>
      <w:lvlText w:val="%1."/>
      <w:numFmt w:val="decimal"/>
      <w:start w:val="12"/>
    </w:lvl>
  </w:abstractNum>
  <w:abstractNum w:abstractNumId="236">
    <w:nsid w:val="539F7F12"/>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37">
    <w:nsid w:val="2817E7EC"/>
    <w:multiLevelType w:val="hybridMultilevel"/>
    <w:lvl w:ilvl="0">
      <w:lvlJc w:val="left"/>
      <w:lvlText w:val="%1"/>
      <w:numFmt w:val="upperLetter"/>
      <w:start w:val="1"/>
    </w:lvl>
    <w:lvl w:ilvl="1">
      <w:lvlJc w:val="left"/>
      <w:lvlText w:val="(%2)"/>
      <w:numFmt w:val="lowerLetter"/>
      <w:start w:val="2"/>
    </w:lvl>
  </w:abstractNum>
  <w:abstractNum w:abstractNumId="238">
    <w:nsid w:val="71482545"/>
    <w:multiLevelType w:val="hybridMultilevel"/>
    <w:lvl w:ilvl="0">
      <w:lvlJc w:val="left"/>
      <w:lvlText w:val="(%1)"/>
      <w:numFmt w:val="upperLetter"/>
      <w:start w:val="3"/>
    </w:lvl>
    <w:lvl w:ilvl="1">
      <w:lvlJc w:val="left"/>
      <w:lvlText w:val="%2"/>
      <w:numFmt w:val="lowerLetter"/>
      <w:start w:val="1"/>
    </w:lvl>
  </w:abstractNum>
  <w:abstractNum w:abstractNumId="239">
    <w:nsid w:val="17D78639"/>
    <w:multiLevelType w:val="hybridMultilevel"/>
    <w:lvl w:ilvl="0">
      <w:lvlJc w:val="left"/>
      <w:lvlText w:val="(%1)"/>
      <w:numFmt w:val="upperLetter"/>
      <w:start w:val="1"/>
    </w:lvl>
    <w:lvl w:ilvl="1">
      <w:lvlJc w:val="left"/>
      <w:lvlText w:val="%2"/>
      <w:numFmt w:val="lowerLetter"/>
      <w:start w:val="1"/>
    </w:lvl>
  </w:abstractNum>
  <w:abstractNum w:abstractNumId="240">
    <w:nsid w:val="141D2302"/>
    <w:multiLevelType w:val="hybridMultilevel"/>
    <w:lvl w:ilvl="0">
      <w:lvlJc w:val="left"/>
      <w:lvlText w:val="%1."/>
      <w:numFmt w:val="decimal"/>
      <w:start w:val="14"/>
    </w:lvl>
  </w:abstractNum>
  <w:abstractNum w:abstractNumId="241">
    <w:nsid w:val="407168D8"/>
    <w:multiLevelType w:val="hybridMultilevel"/>
    <w:lvl w:ilvl="0">
      <w:lvlJc w:val="left"/>
      <w:lvlText w:val="%1."/>
      <w:numFmt w:val="decimal"/>
      <w:start w:val="15"/>
    </w:lvl>
    <w:lvl w:ilvl="1">
      <w:lvlJc w:val="left"/>
      <w:lvlText w:val="(%2)"/>
      <w:numFmt w:val="lowerLetter"/>
      <w:start w:val="1"/>
    </w:lvl>
  </w:abstractNum>
  <w:abstractNum w:abstractNumId="242">
    <w:nsid w:val="6A1B45E5"/>
    <w:multiLevelType w:val="hybridMultilevel"/>
    <w:lvl w:ilvl="0">
      <w:lvlJc w:val="left"/>
      <w:lvlText w:val="(%1)"/>
      <w:numFmt w:val="lowerLetter"/>
      <w:start w:val="6"/>
    </w:lvl>
  </w:abstractNum>
  <w:abstractNum w:abstractNumId="243">
    <w:nsid w:val="567BD50A"/>
    <w:multiLevelType w:val="hybridMultilevel"/>
    <w:lvl w:ilvl="0">
      <w:lvlJc w:val="left"/>
      <w:lvlText w:val="%1"/>
      <w:numFmt w:val="decimal"/>
      <w:start w:val="1"/>
    </w:lvl>
    <w:lvl w:ilvl="1">
      <w:lvlJc w:val="left"/>
      <w:lvlText w:val="(%2)"/>
      <w:numFmt w:val="lowerLetter"/>
      <w:start w:val="11"/>
    </w:lvl>
  </w:abstractNum>
  <w:abstractNum w:abstractNumId="244">
    <w:nsid w:val="73BBD7F8"/>
    <w:multiLevelType w:val="hybridMultilevel"/>
    <w:lvl w:ilvl="0">
      <w:lvlJc w:val="left"/>
      <w:lvlText w:val="(%1)"/>
      <w:numFmt w:val="decimal"/>
      <w:start w:val="2"/>
    </w:lvl>
    <w:lvl w:ilvl="1">
      <w:lvlJc w:val="left"/>
      <w:lvlText w:val="(%2)"/>
      <w:numFmt w:val="lowerLetter"/>
      <w:start w:val="12"/>
    </w:lvl>
  </w:abstractNum>
  <w:abstractNum w:abstractNumId="245">
    <w:nsid w:val="1876589D"/>
    <w:multiLevelType w:val="hybridMultilevel"/>
    <w:lvl w:ilvl="0">
      <w:lvlJc w:val="left"/>
      <w:lvlText w:val="(%1)"/>
      <w:numFmt w:val="lowerLetter"/>
      <w:start w:val="35"/>
    </w:lvl>
    <w:lvl w:ilvl="1">
      <w:lvlJc w:val="left"/>
      <w:lvlText w:val="(%2)"/>
      <w:numFmt w:val="lowerLetter"/>
      <w:start w:val="16"/>
    </w:lvl>
  </w:abstractNum>
  <w:abstractNum w:abstractNumId="246">
    <w:nsid w:val="327FAC77"/>
    <w:multiLevelType w:val="hybridMultilevel"/>
    <w:lvl w:ilvl="0">
      <w:lvlJc w:val="left"/>
      <w:lvlText w:val="(%1)"/>
      <w:numFmt w:val="lowerLetter"/>
      <w:start w:val="18"/>
    </w:lvl>
  </w:abstractNum>
  <w:abstractNum w:abstractNumId="247">
    <w:nsid w:val="5A606509"/>
    <w:multiLevelType w:val="hybridMultilevel"/>
    <w:lvl w:ilvl="0">
      <w:lvlJc w:val="left"/>
      <w:lvlText w:val="(%1)"/>
      <w:numFmt w:val="lowerLetter"/>
      <w:start w:val="20"/>
    </w:lvl>
  </w:abstractNum>
  <w:abstractNum w:abstractNumId="248">
    <w:nsid w:val="6F38E6D1"/>
    <w:multiLevelType w:val="hybridMultilevel"/>
    <w:lvl w:ilvl="0">
      <w:lvlJc w:val="left"/>
      <w:lvlText w:val="(%1)"/>
      <w:numFmt w:val="lowerLetter"/>
      <w:start w:val="24"/>
    </w:lvl>
  </w:abstractNum>
  <w:abstractNum w:abstractNumId="249">
    <w:nsid w:val="46111BA5"/>
    <w:multiLevelType w:val="hybridMultilevel"/>
    <w:lvl w:ilvl="0">
      <w:lvlJc w:val="left"/>
      <w:lvlText w:val="(%1)"/>
      <w:numFmt w:val="lowerLetter"/>
      <w:start w:val="27"/>
    </w:lvl>
  </w:abstractNum>
  <w:abstractNum w:abstractNumId="250">
    <w:nsid w:val="5E963896"/>
    <w:multiLevelType w:val="hybridMultilevel"/>
    <w:lvl w:ilvl="0">
      <w:lvlJc w:val="left"/>
      <w:lvlText w:val="1"/>
      <w:numFmt w:val="bullet"/>
      <w:start w:val="1"/>
    </w:lvl>
  </w:abstractNum>
  <w:abstractNum w:abstractNumId="251">
    <w:nsid w:val="775BA7C1"/>
    <w:multiLevelType w:val="hybridMultilevel"/>
    <w:lvl w:ilvl="0">
      <w:lvlJc w:val="left"/>
      <w:lvlText w:val="(%1)"/>
      <w:numFmt w:val="lowerLetter"/>
      <w:start w:val="1"/>
    </w:lvl>
  </w:abstractNum>
  <w:abstractNum w:abstractNumId="252">
    <w:nsid w:val="1DD6D6F4"/>
    <w:multiLevelType w:val="hybridMultilevel"/>
    <w:lvl w:ilvl="0">
      <w:lvlJc w:val="left"/>
      <w:lvlText w:val="(%1)"/>
      <w:numFmt w:val="lowerLetter"/>
      <w:start w:val="2"/>
    </w:lvl>
  </w:abstractNum>
  <w:abstractNum w:abstractNumId="253">
    <w:nsid w:val="769A091F"/>
    <w:multiLevelType w:val="hybridMultilevel"/>
    <w:lvl w:ilvl="0">
      <w:lvlJc w:val="left"/>
      <w:lvlText w:val="2"/>
      <w:numFmt w:val="bullet"/>
      <w:start w:val="1"/>
    </w:lvl>
    <w:lvl w:ilvl="1">
      <w:lvlJc w:val="left"/>
      <w:lvlText w:val="(%2)"/>
      <w:numFmt w:val="lowerLetter"/>
      <w:start w:val="1"/>
    </w:lvl>
  </w:abstractNum>
  <w:abstractNum w:abstractNumId="254">
    <w:nsid w:val="4695AE95"/>
    <w:multiLevelType w:val="hybridMultilevel"/>
    <w:lvl w:ilvl="0">
      <w:lvlJc w:val="left"/>
      <w:lvlText w:val="(%1)"/>
      <w:numFmt w:val="lowerLetter"/>
      <w:start w:val="9"/>
    </w:lvl>
  </w:abstractNum>
  <w:abstractNum w:abstractNumId="255">
    <w:nsid w:val="777A4EAA"/>
    <w:multiLevelType w:val="hybridMultilevel"/>
    <w:lvl w:ilvl="0">
      <w:lvlJc w:val="left"/>
      <w:lvlText w:val="(%1)"/>
      <w:numFmt w:val="lowerLetter"/>
      <w:start w:val="17"/>
    </w:lvl>
  </w:abstractNum>
  <w:abstractNum w:abstractNumId="256">
    <w:nsid w:val="3F48B982"/>
    <w:multiLevelType w:val="hybridMultilevel"/>
    <w:lvl w:ilvl="0">
      <w:lvlJc w:val="left"/>
      <w:lvlText w:val="3"/>
      <w:numFmt w:val="bullet"/>
      <w:start w:val="1"/>
    </w:lvl>
  </w:abstractNum>
  <w:abstractNum w:abstractNumId="257">
    <w:nsid w:val="46BA8FCA"/>
    <w:multiLevelType w:val="hybridMultilevel"/>
    <w:lvl w:ilvl="0">
      <w:lvlJc w:val="left"/>
      <w:lvlText w:val="4"/>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2019-12-09T01:46:29Z</dcterms:created>
  <dcterms:modified xsi:type="dcterms:W3CDTF">2019-12-09T01:46:29Z</dcterms:modified>
</cp:coreProperties>
</file>