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G48833118</w:t>
      </w:r>
    </w:p>
    <w:p>
      <w:pPr>
        <w:spacing w:after="0" w:line="171" w:lineRule="exact"/>
        <w:rPr>
          <w:sz w:val="20"/>
          <w:szCs w:val="20"/>
          <w:color w:val="auto"/>
        </w:rPr>
      </w:pPr>
    </w:p>
    <w:p>
      <w:pPr>
        <w:ind w:left="640" w:right="8060" w:hanging="397"/>
        <w:spacing w:after="0" w:line="40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Exor N.V.</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522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right="7540" w:hanging="397"/>
        <w:spacing w:after="0" w:line="406"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The Netherlands</w:t>
      </w:r>
    </w:p>
    <w:p>
      <w:pPr>
        <w:spacing w:after="0" w:line="1" w:lineRule="exact"/>
        <w:rPr>
          <w:rFonts w:ascii="Arial" w:cs="Arial" w:eastAsia="Arial" w:hAnsi="Arial"/>
          <w:sz w:val="18"/>
          <w:szCs w:val="18"/>
          <w:color w:val="auto"/>
        </w:rPr>
      </w:pPr>
    </w:p>
    <w:p>
      <w:pPr>
        <w:ind w:left="1620" w:hanging="396"/>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5,501,212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5,501,212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40" w:right="5360" w:hanging="397"/>
        <w:spacing w:after="0" w:line="406" w:lineRule="auto"/>
        <w:tabs>
          <w:tab w:leader="none" w:pos="63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5,501,212</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487"/>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7.84%*</w:t>
      </w:r>
    </w:p>
    <w:p>
      <w:pPr>
        <w:spacing w:after="0" w:line="36" w:lineRule="exact"/>
        <w:rPr>
          <w:rFonts w:ascii="Arial" w:cs="Arial" w:eastAsia="Arial" w:hAnsi="Arial"/>
          <w:sz w:val="18"/>
          <w:szCs w:val="18"/>
          <w:color w:val="auto"/>
        </w:rPr>
      </w:pPr>
    </w:p>
    <w:p>
      <w:pPr>
        <w:ind w:left="640" w:right="7000" w:hanging="487"/>
        <w:spacing w:after="0" w:line="547" w:lineRule="auto"/>
        <w:tabs>
          <w:tab w:leader="none" w:pos="637"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1" w:lineRule="exact"/>
        <w:rPr>
          <w:rFonts w:ascii="Arial" w:cs="Arial" w:eastAsia="Arial" w:hAnsi="Arial"/>
          <w:sz w:val="18"/>
          <w:szCs w:val="18"/>
          <w:color w:val="auto"/>
        </w:rPr>
      </w:pPr>
    </w:p>
    <w:p>
      <w:pPr>
        <w:ind w:left="420" w:right="18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70,161,685 ordinary shares outstanding at October 20, 2021 as reported in the Issuer’s quarterly report on Form 10-Q for the period ended September 30, 2021, filed with the Securities and Exchange Commission (“SEC”) on November 2, 2021.</w:t>
      </w:r>
    </w:p>
    <w:p>
      <w:pPr>
        <w:sectPr>
          <w:pgSz w:w="11900" w:h="16838" w:orient="portrait"/>
          <w:cols w:equalWidth="0" w:num="1">
            <w:col w:w="10800"/>
          </w:cols>
          <w:pgMar w:left="440" w:top="274"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G48833118</w:t>
      </w:r>
    </w:p>
    <w:p>
      <w:pPr>
        <w:spacing w:after="0" w:line="171" w:lineRule="exact"/>
        <w:rPr>
          <w:sz w:val="20"/>
          <w:szCs w:val="20"/>
          <w:color w:val="auto"/>
        </w:rPr>
      </w:pPr>
    </w:p>
    <w:p>
      <w:pPr>
        <w:ind w:left="640" w:right="8060" w:hanging="397"/>
        <w:spacing w:after="0" w:line="430"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Names of Reporting Persons. Exor Capital LLP</w:t>
      </w:r>
    </w:p>
    <w:p>
      <w:pPr>
        <w:spacing w:after="0" w:line="1" w:lineRule="exact"/>
        <w:rPr>
          <w:rFonts w:ascii="Arial" w:cs="Arial" w:eastAsia="Arial" w:hAnsi="Arial"/>
          <w:sz w:val="17"/>
          <w:szCs w:val="17"/>
          <w:color w:val="auto"/>
        </w:rPr>
      </w:pPr>
    </w:p>
    <w:p>
      <w:pPr>
        <w:ind w:left="640" w:hanging="39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right="7540" w:hanging="397"/>
        <w:spacing w:after="0" w:line="40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United Kingdom</w:t>
      </w:r>
    </w:p>
    <w:p>
      <w:pPr>
        <w:spacing w:after="0" w:line="1" w:lineRule="exact"/>
        <w:rPr>
          <w:rFonts w:ascii="Arial" w:cs="Arial" w:eastAsia="Arial" w:hAnsi="Arial"/>
          <w:sz w:val="18"/>
          <w:szCs w:val="18"/>
          <w:color w:val="auto"/>
        </w:rPr>
      </w:pPr>
    </w:p>
    <w:p>
      <w:pPr>
        <w:ind w:left="1620" w:hanging="396"/>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5,501,212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5,501,212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40" w:right="5360" w:hanging="397"/>
        <w:spacing w:after="0" w:line="406" w:lineRule="auto"/>
        <w:tabs>
          <w:tab w:leader="none" w:pos="63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5,501,212</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487"/>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7.84%*</w:t>
      </w:r>
    </w:p>
    <w:p>
      <w:pPr>
        <w:spacing w:after="0" w:line="36" w:lineRule="exact"/>
        <w:rPr>
          <w:rFonts w:ascii="Arial" w:cs="Arial" w:eastAsia="Arial" w:hAnsi="Arial"/>
          <w:sz w:val="18"/>
          <w:szCs w:val="18"/>
          <w:color w:val="auto"/>
        </w:rPr>
      </w:pPr>
    </w:p>
    <w:p>
      <w:pPr>
        <w:ind w:left="640" w:hanging="487"/>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0" w:right="18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70,161,685 ordinary shares outstanding at October 20, 2021 as reported in the Issuer’s quarterly report on Form 10-Q for the period ended September 30, 2021, filed with the Securities and Exchange Commission (“SEC”) on November 2, 2021.</w:t>
      </w:r>
    </w:p>
    <w:p>
      <w:pPr>
        <w:sectPr>
          <w:pgSz w:w="11900" w:h="16838" w:orient="portrait"/>
          <w:cols w:equalWidth="0" w:num="1">
            <w:col w:w="10800"/>
          </w:cols>
          <w:pgMar w:left="4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27"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color w:val="auto"/>
        </w:rPr>
      </w:pPr>
    </w:p>
    <w:p>
      <w:pPr>
        <w:ind w:left="980" w:right="7980"/>
        <w:spacing w:after="0" w:line="342" w:lineRule="auto"/>
        <w:rPr>
          <w:rFonts w:ascii="Arial" w:cs="Arial" w:eastAsia="Arial" w:hAnsi="Arial"/>
          <w:sz w:val="18"/>
          <w:szCs w:val="18"/>
          <w:color w:val="auto"/>
        </w:rPr>
      </w:pPr>
      <w:r>
        <w:rPr>
          <w:rFonts w:ascii="Arial" w:cs="Arial" w:eastAsia="Arial" w:hAnsi="Arial"/>
          <w:sz w:val="16"/>
          <w:szCs w:val="16"/>
          <w:color w:val="auto"/>
        </w:rPr>
        <w:t>2000 St. James Place Houston, Texas 77056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Capital LLP</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Address of Principal Business Office or, if none, Residence Exor N.V.</w:t>
      </w:r>
    </w:p>
    <w:p>
      <w:pPr>
        <w:spacing w:after="0" w:line="121" w:lineRule="exact"/>
        <w:rPr>
          <w:rFonts w:ascii="Arial" w:cs="Arial" w:eastAsia="Arial" w:hAnsi="Arial"/>
          <w:sz w:val="18"/>
          <w:szCs w:val="18"/>
          <w:color w:val="auto"/>
        </w:rPr>
      </w:pPr>
    </w:p>
    <w:p>
      <w:pPr>
        <w:ind w:left="980" w:right="7940"/>
        <w:spacing w:after="0" w:line="286" w:lineRule="auto"/>
        <w:rPr>
          <w:rFonts w:ascii="Arial" w:cs="Arial" w:eastAsia="Arial" w:hAnsi="Arial"/>
          <w:sz w:val="18"/>
          <w:szCs w:val="18"/>
          <w:color w:val="auto"/>
        </w:rPr>
      </w:pPr>
      <w:r>
        <w:rPr>
          <w:rFonts w:ascii="Arial" w:cs="Arial" w:eastAsia="Arial" w:hAnsi="Arial"/>
          <w:sz w:val="17"/>
          <w:szCs w:val="17"/>
          <w:color w:val="auto"/>
        </w:rPr>
        <w:t>Gustav Mahlerplein 25 Amsterdam, 1082 MS The Netherlands</w:t>
      </w:r>
    </w:p>
    <w:p>
      <w:pPr>
        <w:spacing w:after="0" w:line="5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Exor Capital LLP</w:t>
      </w:r>
    </w:p>
    <w:p>
      <w:pPr>
        <w:spacing w:after="0" w:line="121" w:lineRule="exact"/>
        <w:rPr>
          <w:rFonts w:ascii="Arial" w:cs="Arial" w:eastAsia="Arial" w:hAnsi="Arial"/>
          <w:sz w:val="18"/>
          <w:szCs w:val="18"/>
          <w:color w:val="auto"/>
        </w:rPr>
      </w:pPr>
    </w:p>
    <w:p>
      <w:pPr>
        <w:ind w:left="980" w:right="8060"/>
        <w:spacing w:after="0" w:line="286" w:lineRule="auto"/>
        <w:rPr>
          <w:rFonts w:ascii="Arial" w:cs="Arial" w:eastAsia="Arial" w:hAnsi="Arial"/>
          <w:sz w:val="18"/>
          <w:szCs w:val="18"/>
          <w:color w:val="auto"/>
        </w:rPr>
      </w:pPr>
      <w:r>
        <w:rPr>
          <w:rFonts w:ascii="Arial" w:cs="Arial" w:eastAsia="Arial" w:hAnsi="Arial"/>
          <w:sz w:val="17"/>
          <w:szCs w:val="17"/>
          <w:color w:val="auto"/>
        </w:rPr>
        <w:t>28 Headfort Place London, SW1X 7DH United Kingdom</w:t>
      </w:r>
    </w:p>
    <w:p>
      <w:pPr>
        <w:spacing w:after="0" w:line="66"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 – the Netherlands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Capital LLP – United Kingdom</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Ordinary Shares, par value $0.001 per share</w:t>
      </w:r>
    </w:p>
    <w:p>
      <w:pPr>
        <w:spacing w:after="0" w:line="126" w:lineRule="exact"/>
        <w:rPr>
          <w:rFonts w:ascii="Arial" w:cs="Arial" w:eastAsia="Arial" w:hAnsi="Arial"/>
          <w:sz w:val="18"/>
          <w:szCs w:val="18"/>
          <w:color w:val="auto"/>
        </w:rPr>
      </w:pPr>
    </w:p>
    <w:p>
      <w:pPr>
        <w:ind w:left="980" w:right="8380" w:hanging="552"/>
        <w:spacing w:after="0" w:line="445" w:lineRule="auto"/>
        <w:tabs>
          <w:tab w:leader="none" w:pos="961"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G48833118</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N.V.:</w:t>
      </w:r>
    </w:p>
    <w:p>
      <w:pPr>
        <w:spacing w:after="0" w:line="117" w:lineRule="exact"/>
        <w:rPr>
          <w:sz w:val="20"/>
          <w:szCs w:val="20"/>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 Exor Capital LLP:</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6"/>
          <w:szCs w:val="16"/>
          <w:color w:val="auto"/>
        </w:rPr>
        <w:t>If filing as a non-U.S. institution in accordance with Rule 13d-1(b)(1)(ii)(J), please specify the type of institution: Investment Manager</w:t>
      </w:r>
    </w:p>
    <w:p>
      <w:pPr>
        <w:sectPr>
          <w:pgSz w:w="11900" w:h="16838" w:orient="portrait"/>
          <w:cols w:equalWidth="0" w:num="1">
            <w:col w:w="10580"/>
          </w:cols>
          <w:pgMar w:left="440" w:top="274" w:right="8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Sole power to vote or to direct the vote</w:t>
      </w:r>
    </w:p>
    <w:p>
      <w:pPr>
        <w:spacing w:after="0" w:line="12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Shared power to vote or to direct the vote</w:t>
      </w:r>
    </w:p>
    <w:p>
      <w:pPr>
        <w:spacing w:after="0" w:line="12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26" w:lineRule="exact"/>
        <w:rPr>
          <w:rFonts w:ascii="Arial" w:cs="Arial" w:eastAsia="Arial" w:hAnsi="Arial"/>
          <w:sz w:val="18"/>
          <w:szCs w:val="18"/>
          <w:color w:val="auto"/>
        </w:rPr>
      </w:pPr>
    </w:p>
    <w:p>
      <w:pPr>
        <w:ind w:left="1420" w:right="5420" w:hanging="439"/>
        <w:spacing w:after="0" w:line="460" w:lineRule="auto"/>
        <w:tabs>
          <w:tab w:leader="none" w:pos="1405" w:val="left"/>
        </w:tabs>
        <w:numPr>
          <w:ilvl w:val="1"/>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dispose or to direct the disposition of </w:t>
      </w:r>
      <w:r>
        <w:rPr>
          <w:rFonts w:ascii="Arial" w:cs="Arial" w:eastAsia="Arial" w:hAnsi="Arial"/>
          <w:sz w:val="15"/>
          <w:szCs w:val="15"/>
          <w:color w:val="auto"/>
        </w:rPr>
        <w:t>See the responses to Item 7 on the attached cover pages.</w:t>
      </w:r>
    </w:p>
    <w:p>
      <w:pPr>
        <w:ind w:left="1420" w:right="5360" w:hanging="439"/>
        <w:spacing w:after="0" w:line="536" w:lineRule="auto"/>
        <w:tabs>
          <w:tab w:leader="none" w:pos="1405" w:val="left"/>
        </w:tabs>
        <w:numPr>
          <w:ilvl w:val="1"/>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Shared power to dispose or to direct the disposition of </w:t>
      </w:r>
      <w:r>
        <w:rPr>
          <w:rFonts w:ascii="Arial" w:cs="Arial" w:eastAsia="Arial" w:hAnsi="Arial"/>
          <w:sz w:val="15"/>
          <w:szCs w:val="15"/>
          <w:color w:val="auto"/>
        </w:rPr>
        <w:t>See the responses to Item 8 on the attached cover pages.</w:t>
      </w:r>
    </w:p>
    <w:p>
      <w:pPr>
        <w:spacing w:after="0" w:line="1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4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Capital LLP:</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Investment Manager</w:t>
      </w:r>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00"/>
          </w:cols>
          <w:pgMar w:left="440" w:top="270" w:right="5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24 January,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N.V.</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Enrico Vellano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Enrico Vellano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Capital LLP</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Marco Benaglia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Marco Benaglia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Co-CEO</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lvl w:ilvl="1">
      <w:lvlJc w:val="left"/>
      <w:lvlText w:val="%2."/>
      <w:numFmt w:val="decimal"/>
      <w:start w:val="5"/>
    </w:lvl>
  </w:abstractNum>
  <w:abstractNum w:abstractNumId="4">
    <w:nsid w:val="12200854"/>
    <w:multiLevelType w:val="hybridMultilevel"/>
    <w:lvl w:ilvl="0">
      <w:lvlJc w:val="left"/>
      <w:lvlText w:val="*"/>
      <w:numFmt w:val="bullet"/>
      <w:start w:val="1"/>
    </w:lvl>
    <w:lvl w:ilvl="1">
      <w:lvlJc w:val="left"/>
      <w:lvlText w:val="%2."/>
      <w:numFmt w:val="decimal"/>
      <w:start w:val="9"/>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lvl w:ilvl="1">
      <w:lvlJc w:val="left"/>
      <w:lvlText w:val="%2."/>
      <w:numFmt w:val="decimal"/>
      <w:start w:val="5"/>
    </w:lvl>
  </w:abstractNum>
  <w:abstractNum w:abstractNumId="7">
    <w:nsid w:val="1F16E9E8"/>
    <w:multiLevelType w:val="hybridMultilevel"/>
    <w:lvl w:ilvl="0">
      <w:lvlJc w:val="left"/>
      <w:lvlText w:val="*"/>
      <w:numFmt w:val="bullet"/>
      <w:start w:val="1"/>
    </w:lvl>
    <w:lvl w:ilvl="1">
      <w:lvlJc w:val="left"/>
      <w:lvlText w:val="%2."/>
      <w:numFmt w:val="decimal"/>
      <w:start w:val="9"/>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7"/>
    </w:lvl>
  </w:abstractNum>
  <w:abstractNum w:abstractNumId="11">
    <w:nsid w:val="3352255A"/>
    <w:multiLevelType w:val="hybridMultilevel"/>
    <w:lvl w:ilvl="0">
      <w:lvlJc w:val="left"/>
      <w:lvlText w:val="(%1)"/>
      <w:numFmt w:val="lowerLetter"/>
      <w:start w:val="10"/>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2022-01-28T15:13:28Z</dcterms:created>
  <dcterms:modified xsi:type="dcterms:W3CDTF">2022-01-28T15:13:28Z</dcterms:modified>
</cp:coreProperties>
</file>