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Ordinary Shares, par value $0.001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G48833118</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1" w:name="page2"/>
    <w:bookmarkEnd w:id="1"/>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66" w:lineRule="exact"/>
        <w:rPr>
          <w:sz w:val="20"/>
          <w:szCs w:val="20"/>
          <w:color w:val="auto"/>
        </w:rPr>
      </w:pPr>
    </w:p>
    <w:p>
      <w:pPr>
        <w:ind w:left="660" w:right="7760" w:hanging="405"/>
        <w:spacing w:after="0" w:line="45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BlueMountain Capital Management, LLC</w:t>
      </w:r>
    </w:p>
    <w:p>
      <w:pPr>
        <w:ind w:left="660" w:hanging="40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22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ind w:left="660"/>
        <w:spacing w:after="0" w:line="205" w:lineRule="exact"/>
        <w:tabs>
          <w:tab w:leader="none" w:pos="14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0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100" w:hanging="405"/>
        <w:spacing w:after="0" w:line="43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ind w:left="2160" w:hanging="441"/>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3,769,242</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3,769,242</w:t>
      </w:r>
    </w:p>
    <w:p>
      <w:pPr>
        <w:spacing w:after="0" w:line="36" w:lineRule="exact"/>
        <w:rPr>
          <w:sz w:val="20"/>
          <w:szCs w:val="20"/>
          <w:color w:val="auto"/>
        </w:rPr>
      </w:pPr>
    </w:p>
    <w:p>
      <w:pPr>
        <w:ind w:left="660" w:right="4220" w:hanging="405"/>
        <w:spacing w:after="0" w:line="407"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3,769,242</w:t>
      </w:r>
    </w:p>
    <w:p>
      <w:pPr>
        <w:ind w:left="660" w:hanging="495"/>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660" w:hanging="495"/>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5.4% (1)</w:t>
      </w:r>
    </w:p>
    <w:p>
      <w:pPr>
        <w:spacing w:after="0" w:line="36" w:lineRule="exact"/>
        <w:rPr>
          <w:rFonts w:ascii="Arial" w:cs="Arial" w:eastAsia="Arial" w:hAnsi="Arial"/>
          <w:sz w:val="18"/>
          <w:szCs w:val="18"/>
          <w:color w:val="auto"/>
        </w:rPr>
      </w:pPr>
    </w:p>
    <w:p>
      <w:pPr>
        <w:ind w:left="660" w:hanging="495"/>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79" w:lineRule="exact"/>
        <w:rPr>
          <w:rFonts w:ascii="Arial" w:cs="Arial" w:eastAsia="Arial" w:hAnsi="Arial"/>
          <w:sz w:val="18"/>
          <w:szCs w:val="18"/>
          <w:color w:val="auto"/>
        </w:rPr>
      </w:pPr>
    </w:p>
    <w:p>
      <w:pPr>
        <w:ind w:left="460" w:right="16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 set forth in Row 11 of this Cover Page is based on the 69,999,954 Ordinary Shares (as defined herein) outstanding as of December 13, 2019, as reported on the Form 8-K of the Issuer (as defined herein) filed with the Securities and Exchange Commission on December 18, 2019.</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1040" w:right="8260" w:hanging="586"/>
        <w:spacing w:after="0" w:line="431" w:lineRule="auto"/>
        <w:tabs>
          <w:tab w:leader="none" w:pos="1026"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Weatherford International plc</w:t>
      </w:r>
    </w:p>
    <w:p>
      <w:pPr>
        <w:ind w:left="1040" w:right="6900" w:hanging="586"/>
        <w:spacing w:after="0" w:line="537" w:lineRule="auto"/>
        <w:tabs>
          <w:tab w:leader="none" w:pos="1026"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Address of Issuer’s principal executive offices </w:t>
      </w:r>
      <w:r>
        <w:rPr>
          <w:rFonts w:ascii="Arial" w:cs="Arial" w:eastAsia="Arial" w:hAnsi="Arial"/>
          <w:sz w:val="15"/>
          <w:szCs w:val="15"/>
          <w:color w:val="auto"/>
        </w:rPr>
        <w:t>2000 St. James Place, Houston, Texas 77056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1020" w:hanging="566"/>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117" w:lineRule="exact"/>
        <w:rPr>
          <w:rFonts w:ascii="Arial" w:cs="Arial" w:eastAsia="Arial" w:hAnsi="Arial"/>
          <w:sz w:val="18"/>
          <w:szCs w:val="18"/>
          <w:color w:val="auto"/>
        </w:rPr>
      </w:pPr>
    </w:p>
    <w:p>
      <w:pPr>
        <w:ind w:left="1040" w:right="220"/>
        <w:spacing w:after="0" w:line="313" w:lineRule="auto"/>
        <w:rPr>
          <w:rFonts w:ascii="Arial" w:cs="Arial" w:eastAsia="Arial" w:hAnsi="Arial"/>
          <w:sz w:val="18"/>
          <w:szCs w:val="18"/>
          <w:color w:val="auto"/>
        </w:rPr>
      </w:pPr>
      <w:r>
        <w:rPr>
          <w:rFonts w:ascii="Arial" w:cs="Arial" w:eastAsia="Arial" w:hAnsi="Arial"/>
          <w:sz w:val="17"/>
          <w:szCs w:val="17"/>
          <w:color w:val="auto"/>
        </w:rPr>
        <w:t>This Schedule 13G is being filed on behalf of BlueMountain Capital Management, LLC (“</w:t>
      </w:r>
      <w:r>
        <w:rPr>
          <w:rFonts w:ascii="Arial" w:cs="Arial" w:eastAsia="Arial" w:hAnsi="Arial"/>
          <w:sz w:val="17"/>
          <w:szCs w:val="17"/>
          <w:b w:val="1"/>
          <w:bCs w:val="1"/>
          <w:color w:val="auto"/>
        </w:rPr>
        <w:t>BMCM</w:t>
      </w:r>
      <w:r>
        <w:rPr>
          <w:rFonts w:ascii="Arial" w:cs="Arial" w:eastAsia="Arial" w:hAnsi="Arial"/>
          <w:sz w:val="17"/>
          <w:szCs w:val="17"/>
          <w:color w:val="auto"/>
        </w:rPr>
        <w:t>”) with respect to the Ordinary Shares, par value $0.001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of Weatherford International plc, a Irish public limited company (the “</w:t>
      </w:r>
      <w:r>
        <w:rPr>
          <w:rFonts w:ascii="Arial" w:cs="Arial" w:eastAsia="Arial" w:hAnsi="Arial"/>
          <w:sz w:val="17"/>
          <w:szCs w:val="17"/>
          <w:b w:val="1"/>
          <w:bCs w:val="1"/>
          <w:color w:val="auto"/>
        </w:rPr>
        <w:t>Issuer</w:t>
      </w:r>
      <w:r>
        <w:rPr>
          <w:rFonts w:ascii="Arial" w:cs="Arial" w:eastAsia="Arial" w:hAnsi="Arial"/>
          <w:sz w:val="17"/>
          <w:szCs w:val="17"/>
          <w:color w:val="auto"/>
        </w:rPr>
        <w:t>”).</w:t>
      </w:r>
    </w:p>
    <w:p>
      <w:pPr>
        <w:spacing w:after="0" w:line="34" w:lineRule="exact"/>
        <w:rPr>
          <w:rFonts w:ascii="Arial" w:cs="Arial" w:eastAsia="Arial" w:hAnsi="Arial"/>
          <w:sz w:val="18"/>
          <w:szCs w:val="18"/>
          <w:color w:val="auto"/>
        </w:rPr>
      </w:pPr>
    </w:p>
    <w:p>
      <w:pPr>
        <w:ind w:left="1040" w:right="180"/>
        <w:spacing w:after="0" w:line="277" w:lineRule="auto"/>
        <w:rPr>
          <w:rFonts w:ascii="Arial" w:cs="Arial" w:eastAsia="Arial" w:hAnsi="Arial"/>
          <w:sz w:val="18"/>
          <w:szCs w:val="18"/>
          <w:color w:val="auto"/>
        </w:rPr>
      </w:pPr>
      <w:r>
        <w:rPr>
          <w:rFonts w:ascii="Arial" w:cs="Arial" w:eastAsia="Arial" w:hAnsi="Arial"/>
          <w:sz w:val="18"/>
          <w:szCs w:val="18"/>
          <w:color w:val="auto"/>
        </w:rPr>
        <w:t>BMCM, which is the beneficial owner of 2,110,460 Ordinary Shares, acts as investment manager to, and exercises investment discretion with respect to the Ordinary Shares directly owned by, the following entities (each, a “</w:t>
      </w:r>
      <w:r>
        <w:rPr>
          <w:rFonts w:ascii="Arial" w:cs="Arial" w:eastAsia="Arial" w:hAnsi="Arial"/>
          <w:sz w:val="18"/>
          <w:szCs w:val="18"/>
          <w:b w:val="1"/>
          <w:bCs w:val="1"/>
          <w:color w:val="auto"/>
        </w:rPr>
        <w:t>BlueMountain Fund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BlueMountain Kicking Horse Fund L.P., a Cayman Islands exempted limited partnership, with respect to the 457,845 Ordinary Shares directly owned by it; and</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BlueMountain Summit Trading L.P., a Delaware limited partnership, with respect to the 698,618 Ordinary Shares directly owned by it; and</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BlueMountain Foinaven Master Fund L.P., a Cayman Islands exempted limited partnership, with respect to the 502,319 Ordinary Shares directly owned by it.</w:t>
      </w:r>
    </w:p>
    <w:p>
      <w:pPr>
        <w:spacing w:after="0" w:line="62" w:lineRule="exact"/>
        <w:rPr>
          <w:sz w:val="20"/>
          <w:szCs w:val="20"/>
          <w:color w:val="auto"/>
        </w:rPr>
      </w:pPr>
    </w:p>
    <w:p>
      <w:pPr>
        <w:ind w:left="1040" w:right="40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BMCM is, for the purpose of Section 13 of the Act, the beneficial owner of any securities owned by the BlueMountain Funds.</w:t>
      </w:r>
    </w:p>
    <w:p>
      <w:pPr>
        <w:spacing w:after="0" w:line="72" w:lineRule="exact"/>
        <w:rPr>
          <w:sz w:val="20"/>
          <w:szCs w:val="20"/>
          <w:color w:val="auto"/>
        </w:rPr>
      </w:pPr>
    </w:p>
    <w:p>
      <w:pPr>
        <w:ind w:left="1040" w:right="6040" w:hanging="586"/>
        <w:spacing w:after="0" w:line="460" w:lineRule="auto"/>
        <w:tabs>
          <w:tab w:leader="none" w:pos="1026"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Address or principal business office or, if none, residence </w:t>
      </w:r>
      <w:r>
        <w:rPr>
          <w:rFonts w:ascii="Arial" w:cs="Arial" w:eastAsia="Arial" w:hAnsi="Arial"/>
          <w:sz w:val="15"/>
          <w:szCs w:val="15"/>
          <w:color w:val="auto"/>
        </w:rPr>
        <w:t>280 Park Avenue, 12th Floor, New York, New York 10017</w:t>
      </w:r>
    </w:p>
    <w:p>
      <w:pPr>
        <w:ind w:left="1020" w:hanging="56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See Row 4 of the Cover Page.</w:t>
      </w:r>
    </w:p>
    <w:p>
      <w:pPr>
        <w:spacing w:after="0" w:line="126" w:lineRule="exact"/>
        <w:rPr>
          <w:rFonts w:ascii="Arial" w:cs="Arial" w:eastAsia="Arial" w:hAnsi="Arial"/>
          <w:sz w:val="18"/>
          <w:szCs w:val="18"/>
          <w:color w:val="auto"/>
        </w:rPr>
      </w:pPr>
    </w:p>
    <w:p>
      <w:pPr>
        <w:ind w:left="1020" w:hanging="56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Ordinary Shares, par value $0.001 per share</w:t>
      </w:r>
    </w:p>
    <w:p>
      <w:pPr>
        <w:spacing w:after="0" w:line="126" w:lineRule="exact"/>
        <w:rPr>
          <w:rFonts w:ascii="Arial" w:cs="Arial" w:eastAsia="Arial" w:hAnsi="Arial"/>
          <w:sz w:val="18"/>
          <w:szCs w:val="18"/>
          <w:color w:val="auto"/>
        </w:rPr>
      </w:pPr>
    </w:p>
    <w:p>
      <w:pPr>
        <w:jc w:val="both"/>
        <w:ind w:left="1040" w:right="9540" w:hanging="586"/>
        <w:spacing w:after="0" w:line="488" w:lineRule="auto"/>
        <w:tabs>
          <w:tab w:leader="none" w:pos="1026"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G48833118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02" w:lineRule="exact"/>
        <w:rPr>
          <w:sz w:val="20"/>
          <w:szCs w:val="20"/>
          <w:color w:val="auto"/>
        </w:rPr>
      </w:pPr>
    </w:p>
    <w:p>
      <w:pPr>
        <w:ind w:left="1020" w:hanging="566"/>
        <w:spacing w:after="0" w:line="207" w:lineRule="exact"/>
        <w:tabs>
          <w:tab w:leader="none" w:pos="10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125" w:lineRule="exact"/>
        <w:rPr>
          <w:sz w:val="20"/>
          <w:szCs w:val="20"/>
          <w:color w:val="auto"/>
        </w:rPr>
      </w:pPr>
    </w:p>
    <w:p>
      <w:pPr>
        <w:ind w:left="1020" w:hanging="566"/>
        <w:spacing w:after="0" w:line="207" w:lineRule="exact"/>
        <w:tabs>
          <w:tab w:leader="none" w:pos="10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1020" w:right="60" w:hanging="566"/>
        <w:spacing w:after="0" w:line="239" w:lineRule="exact"/>
        <w:tabs>
          <w:tab w:leader="none" w:pos="10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1020" w:hanging="566"/>
        <w:spacing w:after="0" w:line="207" w:lineRule="exact"/>
        <w:tabs>
          <w:tab w:leader="none" w:pos="10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BMCM expressly declares that this filing shall not be construed as an admission that it is, for the purposes of Sections 13(d) or 13(g) of the Act, the beneficial owner of any securities owned by the BlueMountain Funds.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BLUEMOUNTAIN CAPITAL MANAGEMENT,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Eric M.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Eric M. Albert, Chief Compliance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3"/>
    </w:lvl>
    <w:lvl w:ilvl="1">
      <w:lvlJc w:val="left"/>
      <w:lvlText w:val="%2."/>
      <w:numFmt w:val="decimal"/>
      <w:start w:val="5"/>
    </w:lvl>
  </w:abstractNum>
  <w:abstractNum w:abstractNumId="5">
    <w:nsid w:val="5BD062C2"/>
    <w:multiLevelType w:val="hybridMultilevel"/>
    <w:lvl w:ilvl="0">
      <w:lvlJc w:val="left"/>
      <w:lvlText w:val="%1"/>
      <w:numFmt w:val="decimal"/>
      <w:start w:val="1"/>
    </w:lvl>
    <w:lvl w:ilvl="1">
      <w:lvlJc w:val="left"/>
      <w:lvlText w:val="%2."/>
      <w:numFmt w:val="decimal"/>
      <w:start w:val="9"/>
    </w:lvl>
  </w:abstractNum>
  <w:abstractNum w:abstractNumId="6">
    <w:nsid w:val="12200854"/>
    <w:multiLevelType w:val="hybridMultilevel"/>
    <w:lvl w:ilvl="0">
      <w:lvlJc w:val="left"/>
      <w:lvlText w:val="(%1)"/>
      <w:numFmt w:val="decimal"/>
      <w:start w:val="1"/>
    </w:lvl>
    <w:lvl w:ilvl="1">
      <w:lvlJc w:val="left"/>
      <w:lvlText w:val="%2"/>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lowerRoman"/>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2020-02-14T16:15:24Z</dcterms:created>
  <dcterms:modified xsi:type="dcterms:W3CDTF">2020-02-14T16:15:24Z</dcterms:modified>
</cp:coreProperties>
</file>