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WEATHERFORD INTERNATIONAL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G48833100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29,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G48833100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4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80"/>
              <w:spacing w:after="0"/>
              <w:rPr>
                <w:sz w:val="20"/>
                <w:szCs w:val="20"/>
                <w:color w:val="auto"/>
              </w:rPr>
            </w:pPr>
            <w:r>
              <w:rPr>
                <w:rFonts w:ascii="Arial" w:cs="Arial" w:eastAsia="Arial" w:hAnsi="Arial"/>
                <w:sz w:val="22"/>
                <w:szCs w:val="22"/>
                <w:color w:val="auto"/>
              </w:rPr>
              <w:t>NAMES OF REPORTING PERSONS</w:t>
            </w:r>
          </w:p>
        </w:tc>
        <w:tc>
          <w:tcPr>
            <w:tcW w:w="5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Harris Associates L.P.</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04-3276558</w:t>
            </w:r>
          </w:p>
        </w:tc>
        <w:tc>
          <w:tcPr>
            <w:tcW w:w="5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2.</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(a) [ ]</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(b) [ ]</w:t>
            </w:r>
          </w:p>
        </w:tc>
        <w:tc>
          <w:tcPr>
            <w:tcW w:w="5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80"/>
              <w:spacing w:after="0"/>
              <w:rPr>
                <w:sz w:val="20"/>
                <w:szCs w:val="20"/>
                <w:color w:val="auto"/>
              </w:rPr>
            </w:pPr>
            <w:r>
              <w:rPr>
                <w:rFonts w:ascii="Arial" w:cs="Arial" w:eastAsia="Arial" w:hAnsi="Arial"/>
                <w:sz w:val="22"/>
                <w:szCs w:val="22"/>
                <w:color w:val="auto"/>
              </w:rPr>
              <w:t>SEC USE ONLY</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4.</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Delaware</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4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5920" w:type="dxa"/>
            <w:vAlign w:val="bottom"/>
          </w:tcPr>
          <w:p>
            <w:pPr>
              <w:ind w:left="360"/>
              <w:spacing w:after="0"/>
              <w:rPr>
                <w:sz w:val="20"/>
                <w:szCs w:val="20"/>
                <w:color w:val="auto"/>
              </w:rPr>
            </w:pPr>
            <w:r>
              <w:rPr>
                <w:rFonts w:ascii="Arial" w:cs="Arial" w:eastAsia="Arial" w:hAnsi="Arial"/>
                <w:sz w:val="22"/>
                <w:szCs w:val="22"/>
                <w:color w:val="auto"/>
              </w:rPr>
              <w:t>67,855,580</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40"/>
              <w:spacing w:after="0" w:line="243" w:lineRule="exact"/>
              <w:rPr>
                <w:sz w:val="20"/>
                <w:szCs w:val="20"/>
                <w:color w:val="auto"/>
              </w:rPr>
            </w:pPr>
            <w:r>
              <w:rPr>
                <w:rFonts w:ascii="Arial" w:cs="Arial" w:eastAsia="Arial" w:hAnsi="Arial"/>
                <w:sz w:val="22"/>
                <w:szCs w:val="22"/>
                <w:color w:val="auto"/>
              </w:rPr>
              <w:t>6. SHARED VOTING POWER</w:t>
            </w:r>
          </w:p>
        </w:tc>
        <w:tc>
          <w:tcPr>
            <w:tcW w:w="5920" w:type="dxa"/>
            <w:vAlign w:val="bottom"/>
          </w:tcPr>
          <w:p>
            <w:pPr>
              <w:ind w:left="36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5920" w:type="dxa"/>
            <w:vAlign w:val="bottom"/>
            <w:vMerge w:val="restart"/>
          </w:tcPr>
          <w:p>
            <w:pPr>
              <w:ind w:left="360"/>
              <w:spacing w:after="0"/>
              <w:rPr>
                <w:sz w:val="20"/>
                <w:szCs w:val="20"/>
                <w:color w:val="auto"/>
              </w:rPr>
            </w:pPr>
            <w:r>
              <w:rPr>
                <w:rFonts w:ascii="Arial" w:cs="Arial" w:eastAsia="Arial" w:hAnsi="Arial"/>
                <w:sz w:val="22"/>
                <w:szCs w:val="22"/>
                <w:color w:val="auto"/>
              </w:rPr>
              <w:t>69,103,790</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5920" w:type="dxa"/>
            <w:vAlign w:val="bottom"/>
            <w:vMerge w:val="restart"/>
          </w:tcPr>
          <w:p>
            <w:pPr>
              <w:ind w:left="3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9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69,103,790</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 ]</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7.0%</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80"/>
              <w:spacing w:after="0"/>
              <w:rPr>
                <w:sz w:val="20"/>
                <w:szCs w:val="20"/>
                <w:color w:val="auto"/>
              </w:rPr>
            </w:pPr>
            <w:r>
              <w:rPr>
                <w:rFonts w:ascii="Arial" w:cs="Arial" w:eastAsia="Arial" w:hAnsi="Arial"/>
                <w:sz w:val="22"/>
                <w:szCs w:val="22"/>
                <w:color w:val="auto"/>
              </w:rPr>
              <w:t>TYPE OF REPORTING PERSON</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IA</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2" w:name="page3"/>
    <w:bookmarkEnd w:id="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G48833100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4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80"/>
              <w:spacing w:after="0"/>
              <w:rPr>
                <w:sz w:val="20"/>
                <w:szCs w:val="20"/>
                <w:color w:val="auto"/>
              </w:rPr>
            </w:pPr>
            <w:r>
              <w:rPr>
                <w:rFonts w:ascii="Arial" w:cs="Arial" w:eastAsia="Arial" w:hAnsi="Arial"/>
                <w:sz w:val="22"/>
                <w:szCs w:val="22"/>
                <w:color w:val="auto"/>
              </w:rPr>
              <w:t>NAMES OF REPORTING PERSONS</w:t>
            </w:r>
          </w:p>
        </w:tc>
        <w:tc>
          <w:tcPr>
            <w:tcW w:w="5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Harris Associates Inc.</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04-3276549</w:t>
            </w:r>
          </w:p>
        </w:tc>
        <w:tc>
          <w:tcPr>
            <w:tcW w:w="5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2.</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(a) [ ]</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(b) [ ]</w:t>
            </w:r>
          </w:p>
        </w:tc>
        <w:tc>
          <w:tcPr>
            <w:tcW w:w="5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80"/>
              <w:spacing w:after="0"/>
              <w:rPr>
                <w:sz w:val="20"/>
                <w:szCs w:val="20"/>
                <w:color w:val="auto"/>
              </w:rPr>
            </w:pPr>
            <w:r>
              <w:rPr>
                <w:rFonts w:ascii="Arial" w:cs="Arial" w:eastAsia="Arial" w:hAnsi="Arial"/>
                <w:sz w:val="22"/>
                <w:szCs w:val="22"/>
                <w:color w:val="auto"/>
              </w:rPr>
              <w:t>SEC USE ONLY</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4.</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Delaware</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4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5920" w:type="dxa"/>
            <w:vAlign w:val="bottom"/>
          </w:tcPr>
          <w:p>
            <w:pPr>
              <w:ind w:left="360"/>
              <w:spacing w:after="0"/>
              <w:rPr>
                <w:sz w:val="20"/>
                <w:szCs w:val="20"/>
                <w:color w:val="auto"/>
              </w:rPr>
            </w:pPr>
            <w:r>
              <w:rPr>
                <w:rFonts w:ascii="Arial" w:cs="Arial" w:eastAsia="Arial" w:hAnsi="Arial"/>
                <w:sz w:val="22"/>
                <w:szCs w:val="22"/>
                <w:color w:val="auto"/>
              </w:rPr>
              <w:t>67,855,580</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40"/>
              <w:spacing w:after="0" w:line="243" w:lineRule="exact"/>
              <w:rPr>
                <w:sz w:val="20"/>
                <w:szCs w:val="20"/>
                <w:color w:val="auto"/>
              </w:rPr>
            </w:pPr>
            <w:r>
              <w:rPr>
                <w:rFonts w:ascii="Arial" w:cs="Arial" w:eastAsia="Arial" w:hAnsi="Arial"/>
                <w:sz w:val="22"/>
                <w:szCs w:val="22"/>
                <w:color w:val="auto"/>
              </w:rPr>
              <w:t>6. SHARED VOTING POWER</w:t>
            </w:r>
          </w:p>
        </w:tc>
        <w:tc>
          <w:tcPr>
            <w:tcW w:w="5920" w:type="dxa"/>
            <w:vAlign w:val="bottom"/>
          </w:tcPr>
          <w:p>
            <w:pPr>
              <w:ind w:left="36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5920" w:type="dxa"/>
            <w:vAlign w:val="bottom"/>
            <w:vMerge w:val="restart"/>
          </w:tcPr>
          <w:p>
            <w:pPr>
              <w:ind w:left="360"/>
              <w:spacing w:after="0"/>
              <w:rPr>
                <w:sz w:val="20"/>
                <w:szCs w:val="20"/>
                <w:color w:val="auto"/>
              </w:rPr>
            </w:pPr>
            <w:r>
              <w:rPr>
                <w:rFonts w:ascii="Arial" w:cs="Arial" w:eastAsia="Arial" w:hAnsi="Arial"/>
                <w:sz w:val="22"/>
                <w:szCs w:val="22"/>
                <w:color w:val="auto"/>
              </w:rPr>
              <w:t>69,103,790</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5920" w:type="dxa"/>
            <w:vAlign w:val="bottom"/>
            <w:vMerge w:val="restart"/>
          </w:tcPr>
          <w:p>
            <w:pPr>
              <w:ind w:left="3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9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69,103,790</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 ]</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7.0%</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80"/>
              <w:spacing w:after="0"/>
              <w:rPr>
                <w:sz w:val="20"/>
                <w:szCs w:val="20"/>
                <w:color w:val="auto"/>
              </w:rPr>
            </w:pPr>
            <w:r>
              <w:rPr>
                <w:rFonts w:ascii="Arial" w:cs="Arial" w:eastAsia="Arial" w:hAnsi="Arial"/>
                <w:sz w:val="22"/>
                <w:szCs w:val="22"/>
                <w:color w:val="auto"/>
              </w:rPr>
              <w:t>TYPE OF REPORTING PERSON</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CO</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3" w:name="page4"/>
    <w:bookmarkEnd w:id="3"/>
    <w:p>
      <w:pPr>
        <w:spacing w:after="0" w:line="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340" w:hanging="413"/>
        <w:spacing w:after="0"/>
        <w:tabs>
          <w:tab w:leader="none" w:pos="13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340"/>
        <w:spacing w:after="0"/>
        <w:rPr>
          <w:rFonts w:ascii="Arial" w:cs="Arial" w:eastAsia="Arial" w:hAnsi="Arial"/>
          <w:sz w:val="22"/>
          <w:szCs w:val="22"/>
          <w:b w:val="1"/>
          <w:bCs w:val="1"/>
          <w:color w:val="auto"/>
        </w:rPr>
      </w:pPr>
      <w:r>
        <w:rPr>
          <w:rFonts w:ascii="Arial" w:cs="Arial" w:eastAsia="Arial" w:hAnsi="Arial"/>
          <w:sz w:val="22"/>
          <w:szCs w:val="22"/>
          <w:color w:val="auto"/>
        </w:rPr>
        <w:t>WEATHERFORD INTERNATIONAL PLC</w:t>
      </w:r>
    </w:p>
    <w:p>
      <w:pPr>
        <w:spacing w:after="0" w:line="101" w:lineRule="exact"/>
        <w:rPr>
          <w:rFonts w:ascii="Arial" w:cs="Arial" w:eastAsia="Arial" w:hAnsi="Arial"/>
          <w:sz w:val="22"/>
          <w:szCs w:val="22"/>
          <w:b w:val="1"/>
          <w:bCs w:val="1"/>
          <w:color w:val="auto"/>
        </w:rPr>
      </w:pPr>
    </w:p>
    <w:p>
      <w:pPr>
        <w:ind w:left="1340" w:right="5620" w:hanging="413"/>
        <w:spacing w:after="0" w:line="335" w:lineRule="auto"/>
        <w:tabs>
          <w:tab w:leader="none" w:pos="134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Issuer's Principal Executive Offices </w:t>
      </w:r>
      <w:r>
        <w:rPr>
          <w:rFonts w:ascii="Arial" w:cs="Arial" w:eastAsia="Arial" w:hAnsi="Arial"/>
          <w:sz w:val="19"/>
          <w:szCs w:val="19"/>
          <w:color w:val="auto"/>
        </w:rPr>
        <w:t>Weststrasse 1, 6340 Baar, Switzerland CH 6340</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340" w:hanging="413"/>
        <w:spacing w:after="0"/>
        <w:tabs>
          <w:tab w:leader="none" w:pos="134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34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Harris Associates L.P. ("Harris")</w:t>
      </w:r>
    </w:p>
    <w:p>
      <w:pPr>
        <w:ind w:left="1340"/>
        <w:spacing w:after="0"/>
        <w:rPr>
          <w:rFonts w:ascii="Arial" w:cs="Arial" w:eastAsia="Arial" w:hAnsi="Arial"/>
          <w:sz w:val="22"/>
          <w:szCs w:val="22"/>
          <w:b w:val="1"/>
          <w:bCs w:val="1"/>
          <w:color w:val="auto"/>
        </w:rPr>
      </w:pPr>
      <w:r>
        <w:rPr>
          <w:rFonts w:ascii="Arial" w:cs="Arial" w:eastAsia="Arial" w:hAnsi="Arial"/>
          <w:sz w:val="22"/>
          <w:szCs w:val="22"/>
          <w:color w:val="auto"/>
        </w:rPr>
        <w:t>Harris Associates Inc. ("General Partner")</w:t>
      </w:r>
    </w:p>
    <w:p>
      <w:pPr>
        <w:spacing w:after="0" w:line="101" w:lineRule="exact"/>
        <w:rPr>
          <w:rFonts w:ascii="Arial" w:cs="Arial" w:eastAsia="Arial" w:hAnsi="Arial"/>
          <w:sz w:val="22"/>
          <w:szCs w:val="22"/>
          <w:b w:val="1"/>
          <w:bCs w:val="1"/>
          <w:color w:val="auto"/>
        </w:rPr>
      </w:pPr>
    </w:p>
    <w:p>
      <w:pPr>
        <w:ind w:left="1340" w:hanging="413"/>
        <w:spacing w:after="0"/>
        <w:tabs>
          <w:tab w:leader="none" w:pos="134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Principal Business Office or, if None, Residence</w:t>
      </w:r>
    </w:p>
    <w:p>
      <w:pPr>
        <w:spacing w:after="0" w:line="14" w:lineRule="exact"/>
        <w:rPr>
          <w:rFonts w:ascii="Arial" w:cs="Arial" w:eastAsia="Arial" w:hAnsi="Arial"/>
          <w:sz w:val="22"/>
          <w:szCs w:val="22"/>
          <w:b w:val="1"/>
          <w:bCs w:val="1"/>
          <w:color w:val="auto"/>
        </w:rPr>
      </w:pPr>
    </w:p>
    <w:p>
      <w:pPr>
        <w:ind w:left="1340" w:right="3820"/>
        <w:spacing w:after="0" w:line="237" w:lineRule="auto"/>
        <w:rPr>
          <w:rFonts w:ascii="Arial" w:cs="Arial" w:eastAsia="Arial" w:hAnsi="Arial"/>
          <w:sz w:val="22"/>
          <w:szCs w:val="22"/>
          <w:b w:val="1"/>
          <w:bCs w:val="1"/>
          <w:color w:val="auto"/>
        </w:rPr>
      </w:pPr>
      <w:r>
        <w:rPr>
          <w:rFonts w:ascii="Arial" w:cs="Arial" w:eastAsia="Arial" w:hAnsi="Arial"/>
          <w:sz w:val="22"/>
          <w:szCs w:val="22"/>
          <w:color w:val="auto"/>
        </w:rPr>
        <w:t>Both Harris and the General Partner maintain their principal offices at: 111 S. Wacker Drive, Suite 4600, Chicago IL 60606</w:t>
      </w:r>
    </w:p>
    <w:p>
      <w:pPr>
        <w:spacing w:after="0" w:line="97" w:lineRule="exact"/>
        <w:rPr>
          <w:rFonts w:ascii="Arial" w:cs="Arial" w:eastAsia="Arial" w:hAnsi="Arial"/>
          <w:sz w:val="22"/>
          <w:szCs w:val="22"/>
          <w:b w:val="1"/>
          <w:bCs w:val="1"/>
          <w:color w:val="auto"/>
        </w:rPr>
      </w:pPr>
    </w:p>
    <w:p>
      <w:pPr>
        <w:ind w:left="1340" w:hanging="413"/>
        <w:spacing w:after="0"/>
        <w:tabs>
          <w:tab w:leader="none" w:pos="134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34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Harris is a Delaware limited partnership.</w:t>
      </w:r>
    </w:p>
    <w:p>
      <w:pPr>
        <w:ind w:left="1340"/>
        <w:spacing w:after="0"/>
        <w:rPr>
          <w:rFonts w:ascii="Arial" w:cs="Arial" w:eastAsia="Arial" w:hAnsi="Arial"/>
          <w:sz w:val="22"/>
          <w:szCs w:val="22"/>
          <w:b w:val="1"/>
          <w:bCs w:val="1"/>
          <w:color w:val="auto"/>
        </w:rPr>
      </w:pPr>
      <w:r>
        <w:rPr>
          <w:rFonts w:ascii="Arial" w:cs="Arial" w:eastAsia="Arial" w:hAnsi="Arial"/>
          <w:sz w:val="22"/>
          <w:szCs w:val="22"/>
          <w:color w:val="auto"/>
        </w:rPr>
        <w:t>The General Partner is a Delaware corporation.</w:t>
      </w:r>
    </w:p>
    <w:p>
      <w:pPr>
        <w:spacing w:after="0" w:line="101" w:lineRule="exact"/>
        <w:rPr>
          <w:rFonts w:ascii="Arial" w:cs="Arial" w:eastAsia="Arial" w:hAnsi="Arial"/>
          <w:sz w:val="22"/>
          <w:szCs w:val="22"/>
          <w:b w:val="1"/>
          <w:bCs w:val="1"/>
          <w:color w:val="auto"/>
        </w:rPr>
      </w:pPr>
    </w:p>
    <w:p>
      <w:pPr>
        <w:ind w:left="1340" w:right="7540" w:hanging="413"/>
        <w:spacing w:after="0" w:line="335" w:lineRule="auto"/>
        <w:tabs>
          <w:tab w:leader="none" w:pos="13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Ordinary Shares</w:t>
      </w:r>
    </w:p>
    <w:p>
      <w:pPr>
        <w:spacing w:after="0" w:line="11" w:lineRule="exact"/>
        <w:rPr>
          <w:rFonts w:ascii="Arial" w:cs="Arial" w:eastAsia="Arial" w:hAnsi="Arial"/>
          <w:sz w:val="19"/>
          <w:szCs w:val="19"/>
          <w:b w:val="1"/>
          <w:bCs w:val="1"/>
          <w:color w:val="auto"/>
        </w:rPr>
      </w:pPr>
    </w:p>
    <w:p>
      <w:pPr>
        <w:ind w:left="1340" w:right="8460" w:hanging="413"/>
        <w:spacing w:after="0" w:line="335" w:lineRule="auto"/>
        <w:tabs>
          <w:tab w:leader="none" w:pos="13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G48833100</w:t>
      </w:r>
    </w:p>
    <w:p>
      <w:pPr>
        <w:spacing w:after="0" w:line="1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pacing w:after="0" w:line="131" w:lineRule="exact"/>
        <w:rPr>
          <w:sz w:val="20"/>
          <w:szCs w:val="20"/>
          <w:color w:val="auto"/>
        </w:rPr>
      </w:pPr>
    </w:p>
    <w:p>
      <w:pPr>
        <w:ind w:left="1340" w:hanging="413"/>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r>
        <w:rPr>
          <w:rFonts w:ascii="Arial" w:cs="Arial" w:eastAsia="Arial" w:hAnsi="Arial"/>
          <w:sz w:val="19"/>
          <w:szCs w:val="19"/>
          <w:color w:val="auto"/>
        </w:rPr>
        <w:t>Broker or dealer registered under Section 15 of the Act (15 U.S.C. 78o).</w:t>
      </w:r>
    </w:p>
    <w:p>
      <w:pPr>
        <w:spacing w:after="0" w:line="125" w:lineRule="exact"/>
        <w:rPr>
          <w:rFonts w:ascii="Arial" w:cs="Arial" w:eastAsia="Arial" w:hAnsi="Arial"/>
          <w:sz w:val="22"/>
          <w:szCs w:val="22"/>
          <w:color w:val="auto"/>
        </w:rPr>
      </w:pPr>
    </w:p>
    <w:p>
      <w:pPr>
        <w:ind w:left="1340" w:hanging="413"/>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r>
        <w:rPr>
          <w:rFonts w:ascii="Arial" w:cs="Arial" w:eastAsia="Arial" w:hAnsi="Arial"/>
          <w:sz w:val="19"/>
          <w:szCs w:val="19"/>
          <w:color w:val="auto"/>
        </w:rPr>
        <w:t>Bank as defined in Section 3(a)(6) of the Act (15 U.S.C. 78c).</w:t>
      </w:r>
    </w:p>
    <w:p>
      <w:pPr>
        <w:spacing w:after="0" w:line="125" w:lineRule="exact"/>
        <w:rPr>
          <w:rFonts w:ascii="Arial" w:cs="Arial" w:eastAsia="Arial" w:hAnsi="Arial"/>
          <w:sz w:val="22"/>
          <w:szCs w:val="22"/>
          <w:color w:val="auto"/>
        </w:rPr>
      </w:pPr>
    </w:p>
    <w:p>
      <w:pPr>
        <w:ind w:left="1340" w:hanging="413"/>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r>
        <w:rPr>
          <w:rFonts w:ascii="Arial" w:cs="Arial" w:eastAsia="Arial" w:hAnsi="Arial"/>
          <w:sz w:val="19"/>
          <w:szCs w:val="19"/>
          <w:color w:val="auto"/>
        </w:rPr>
        <w:t>Insurance Company as defined in Section 3(a)(19) of the Act (15 U.S.C. 78c).</w:t>
      </w:r>
    </w:p>
    <w:p>
      <w:pPr>
        <w:sectPr>
          <w:pgSz w:w="11900" w:h="16845" w:orient="portrait"/>
          <w:cols w:equalWidth="0" w:num="1">
            <w:col w:w="11260"/>
          </w:cols>
          <w:pgMar w:left="320" w:top="423" w:right="319" w:bottom="0" w:gutter="0" w:footer="0" w:header="0"/>
        </w:sectPr>
      </w:pPr>
    </w:p>
    <w:p>
      <w:pPr>
        <w:spacing w:after="0" w:line="24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(d)  [ ]</w:t>
      </w:r>
    </w:p>
    <w:p>
      <w:pPr>
        <w:spacing w:after="0" w:line="247" w:lineRule="exact"/>
        <w:rPr>
          <w:sz w:val="20"/>
          <w:szCs w:val="20"/>
          <w:color w:val="auto"/>
        </w:rPr>
      </w:pPr>
    </w:p>
    <w:p>
      <w:pPr>
        <w:ind w:left="920"/>
        <w:spacing w:after="0"/>
        <w:tabs>
          <w:tab w:leader="none" w:pos="1320" w:val="left"/>
        </w:tabs>
        <w:rPr>
          <w:sz w:val="20"/>
          <w:szCs w:val="20"/>
          <w:color w:val="auto"/>
        </w:rPr>
      </w:pPr>
      <w:r>
        <w:rPr>
          <w:rFonts w:ascii="Arial" w:cs="Arial" w:eastAsia="Arial" w:hAnsi="Arial"/>
          <w:sz w:val="22"/>
          <w:szCs w:val="22"/>
          <w:color w:val="auto"/>
        </w:rPr>
        <w:t>(e)</w:t>
        <w:tab/>
        <w:t>[X]</w:t>
      </w:r>
    </w:p>
    <w:p>
      <w:pPr>
        <w:spacing w:after="0" w:line="125" w:lineRule="exact"/>
        <w:rPr>
          <w:sz w:val="20"/>
          <w:szCs w:val="20"/>
          <w:color w:val="auto"/>
        </w:rPr>
      </w:pPr>
    </w:p>
    <w:p>
      <w:pPr>
        <w:ind w:left="920"/>
        <w:spacing w:after="0"/>
        <w:tabs>
          <w:tab w:leader="none" w:pos="1320" w:val="left"/>
        </w:tabs>
        <w:rPr>
          <w:sz w:val="20"/>
          <w:szCs w:val="20"/>
          <w:color w:val="auto"/>
        </w:rPr>
      </w:pPr>
      <w:r>
        <w:rPr>
          <w:rFonts w:ascii="Arial" w:cs="Arial" w:eastAsia="Arial" w:hAnsi="Arial"/>
          <w:sz w:val="22"/>
          <w:szCs w:val="22"/>
          <w:color w:val="auto"/>
        </w:rPr>
        <w:t>(f)</w:t>
        <w:tab/>
        <w:t>[ ]</w:t>
      </w:r>
    </w:p>
    <w:p>
      <w:pPr>
        <w:spacing w:after="0" w:line="125" w:lineRule="exact"/>
        <w:rPr>
          <w:sz w:val="20"/>
          <w:szCs w:val="20"/>
          <w:color w:val="auto"/>
        </w:rPr>
      </w:pPr>
    </w:p>
    <w:p>
      <w:pPr>
        <w:ind w:left="920"/>
        <w:spacing w:after="0"/>
        <w:rPr>
          <w:sz w:val="20"/>
          <w:szCs w:val="20"/>
          <w:color w:val="auto"/>
        </w:rPr>
      </w:pPr>
      <w:r>
        <w:rPr>
          <w:rFonts w:ascii="Arial" w:cs="Arial" w:eastAsia="Arial" w:hAnsi="Arial"/>
          <w:sz w:val="22"/>
          <w:szCs w:val="22"/>
          <w:color w:val="auto"/>
        </w:rPr>
        <w:t>(g)  [ ]</w:t>
      </w:r>
    </w:p>
    <w:p>
      <w:pPr>
        <w:spacing w:after="0" w:line="125" w:lineRule="exact"/>
        <w:rPr>
          <w:sz w:val="20"/>
          <w:szCs w:val="20"/>
          <w:color w:val="auto"/>
        </w:rPr>
      </w:pPr>
    </w:p>
    <w:p>
      <w:pPr>
        <w:ind w:left="920"/>
        <w:spacing w:after="0"/>
        <w:rPr>
          <w:sz w:val="20"/>
          <w:szCs w:val="20"/>
          <w:color w:val="auto"/>
        </w:rPr>
      </w:pPr>
      <w:r>
        <w:rPr>
          <w:rFonts w:ascii="Arial" w:cs="Arial" w:eastAsia="Arial" w:hAnsi="Arial"/>
          <w:sz w:val="22"/>
          <w:szCs w:val="22"/>
          <w:color w:val="auto"/>
        </w:rPr>
        <w:t>(h)  [ ]</w:t>
      </w:r>
    </w:p>
    <w:p>
      <w:pPr>
        <w:spacing w:after="0" w:line="247" w:lineRule="exact"/>
        <w:rPr>
          <w:sz w:val="20"/>
          <w:szCs w:val="20"/>
          <w:color w:val="auto"/>
        </w:rPr>
      </w:pPr>
    </w:p>
    <w:p>
      <w:pPr>
        <w:ind w:left="920"/>
        <w:spacing w:after="0"/>
        <w:tabs>
          <w:tab w:leader="none" w:pos="1320" w:val="left"/>
        </w:tabs>
        <w:rPr>
          <w:sz w:val="20"/>
          <w:szCs w:val="20"/>
          <w:color w:val="auto"/>
        </w:rPr>
      </w:pPr>
      <w:r>
        <w:rPr>
          <w:rFonts w:ascii="Arial" w:cs="Arial" w:eastAsia="Arial" w:hAnsi="Arial"/>
          <w:sz w:val="22"/>
          <w:szCs w:val="22"/>
          <w:color w:val="auto"/>
        </w:rPr>
        <w:t>(i)</w:t>
        <w:tab/>
        <w:t>[ ]</w:t>
      </w:r>
    </w:p>
    <w:p>
      <w:pPr>
        <w:spacing w:after="0" w:line="247" w:lineRule="exact"/>
        <w:rPr>
          <w:sz w:val="20"/>
          <w:szCs w:val="20"/>
          <w:color w:val="auto"/>
        </w:rPr>
      </w:pPr>
    </w:p>
    <w:p>
      <w:pPr>
        <w:ind w:left="920"/>
        <w:spacing w:after="0"/>
        <w:tabs>
          <w:tab w:leader="none" w:pos="1320" w:val="left"/>
        </w:tabs>
        <w:rPr>
          <w:sz w:val="20"/>
          <w:szCs w:val="20"/>
          <w:color w:val="auto"/>
        </w:rPr>
      </w:pPr>
      <w:r>
        <w:rPr>
          <w:rFonts w:ascii="Arial" w:cs="Arial" w:eastAsia="Arial" w:hAnsi="Arial"/>
          <w:sz w:val="22"/>
          <w:szCs w:val="22"/>
          <w:color w:val="auto"/>
        </w:rPr>
        <w:t>(j)</w:t>
        <w:tab/>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96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 savings association as defined in Section 3(b) of the Federal Deposit Insurance Act (12 U.S.C. 1813);</w:t>
      </w:r>
    </w:p>
    <w:p>
      <w:pPr>
        <w:spacing w:after="0" w:line="160"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503" w:lineRule="exact"/>
        <w:rPr>
          <w:sz w:val="20"/>
          <w:szCs w:val="20"/>
          <w:color w:val="auto"/>
        </w:rPr>
      </w:pPr>
    </w:p>
    <w:p>
      <w:pPr>
        <w:sectPr>
          <w:pgSz w:w="11900" w:h="16845" w:orient="portrait"/>
          <w:cols w:equalWidth="0" w:num="2">
            <w:col w:w="2000" w:space="120"/>
            <w:col w:w="9140"/>
          </w:cols>
          <w:pgMar w:left="320" w:top="423" w:right="319" w:bottom="0" w:gutter="0" w:footer="0" w:header="0"/>
          <w:type w:val="continuous"/>
        </w:sect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340" w:hanging="413"/>
        <w:spacing w:after="0"/>
        <w:tabs>
          <w:tab w:leader="none" w:pos="1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340" w:right="200"/>
        <w:spacing w:after="0" w:line="251" w:lineRule="auto"/>
        <w:rPr>
          <w:rFonts w:ascii="Arial" w:cs="Arial" w:eastAsia="Arial" w:hAnsi="Arial"/>
          <w:sz w:val="22"/>
          <w:szCs w:val="22"/>
          <w:color w:val="auto"/>
        </w:rPr>
      </w:pPr>
      <w:r>
        <w:rPr>
          <w:rFonts w:ascii="Arial" w:cs="Arial" w:eastAsia="Arial" w:hAnsi="Arial"/>
          <w:sz w:val="22"/>
          <w:szCs w:val="22"/>
          <w:color w:val="auto"/>
        </w:rPr>
        <w:t>By reason of advisory and other relationships with the person who owns the Shares, Harris may be deemed to be the beneficial owner of the following shares: 69,103,790</w:t>
      </w:r>
    </w:p>
    <w:p>
      <w:pPr>
        <w:spacing w:after="0" w:line="200" w:lineRule="exact"/>
        <w:rPr>
          <w:rFonts w:ascii="Arial" w:cs="Arial" w:eastAsia="Arial" w:hAnsi="Arial"/>
          <w:sz w:val="22"/>
          <w:szCs w:val="22"/>
          <w:color w:val="auto"/>
        </w:rPr>
      </w:pPr>
    </w:p>
    <w:p>
      <w:pPr>
        <w:jc w:val="both"/>
        <w:ind w:left="1340" w:right="220"/>
        <w:spacing w:after="0" w:line="297" w:lineRule="auto"/>
        <w:rPr>
          <w:rFonts w:ascii="Arial" w:cs="Arial" w:eastAsia="Arial" w:hAnsi="Arial"/>
          <w:sz w:val="22"/>
          <w:szCs w:val="22"/>
          <w:color w:val="auto"/>
        </w:rPr>
      </w:pPr>
      <w:r>
        <w:rPr>
          <w:rFonts w:ascii="Arial" w:cs="Arial" w:eastAsia="Arial" w:hAnsi="Arial"/>
          <w:sz w:val="19"/>
          <w:szCs w:val="19"/>
          <w:color w:val="auto"/>
        </w:rPr>
        <w:t>Harris has been granted the power to vote Shares in circumstances it determines to be appropriate in connection with assisting its advised clients to whom it renders financial advice in the ordinary course of business, by either providing information or advice to the persons having such power, or by exercising the power to vote.</w:t>
      </w:r>
    </w:p>
    <w:p>
      <w:pPr>
        <w:sectPr>
          <w:pgSz w:w="11900" w:h="16845" w:orient="portrait"/>
          <w:cols w:equalWidth="0" w:num="1">
            <w:col w:w="11260"/>
          </w:cols>
          <w:pgMar w:left="320" w:top="423" w:right="319" w:bottom="0" w:gutter="0" w:footer="0" w:header="0"/>
          <w:type w:val="continuous"/>
        </w:sectPr>
      </w:pPr>
    </w:p>
    <w:p>
      <w:pPr>
        <w:spacing w:after="0" w:line="53" w:lineRule="exact"/>
        <w:rPr>
          <w:sz w:val="20"/>
          <w:szCs w:val="20"/>
          <w:color w:val="auto"/>
        </w:rPr>
      </w:pPr>
    </w:p>
    <w:p>
      <w:pPr>
        <w:ind w:left="1340" w:hanging="413"/>
        <w:spacing w:after="0"/>
        <w:tabs>
          <w:tab w:leader="none" w:pos="1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340"/>
        <w:spacing w:after="0"/>
        <w:rPr>
          <w:rFonts w:ascii="Arial" w:cs="Arial" w:eastAsia="Arial" w:hAnsi="Arial"/>
          <w:sz w:val="22"/>
          <w:szCs w:val="22"/>
          <w:color w:val="auto"/>
        </w:rPr>
      </w:pPr>
      <w:r>
        <w:rPr>
          <w:rFonts w:ascii="Arial" w:cs="Arial" w:eastAsia="Arial" w:hAnsi="Arial"/>
          <w:sz w:val="22"/>
          <w:szCs w:val="22"/>
          <w:color w:val="auto"/>
        </w:rPr>
        <w:t>7.0%</w:t>
      </w:r>
    </w:p>
    <w:p>
      <w:pPr>
        <w:spacing w:after="0" w:line="125" w:lineRule="exact"/>
        <w:rPr>
          <w:rFonts w:ascii="Arial" w:cs="Arial" w:eastAsia="Arial" w:hAnsi="Arial"/>
          <w:sz w:val="22"/>
          <w:szCs w:val="22"/>
          <w:color w:val="auto"/>
        </w:rPr>
      </w:pPr>
    </w:p>
    <w:p>
      <w:pPr>
        <w:ind w:left="1340" w:hanging="413"/>
        <w:spacing w:after="0"/>
        <w:tabs>
          <w:tab w:leader="none" w:pos="1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120" w:hanging="787"/>
        <w:spacing w:after="0"/>
        <w:tabs>
          <w:tab w:leader="none" w:pos="2120" w:val="left"/>
        </w:tabs>
        <w:numPr>
          <w:ilvl w:val="1"/>
          <w:numId w:val="6"/>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120" w:hanging="787"/>
        <w:spacing w:after="0"/>
        <w:tabs>
          <w:tab w:leader="none" w:pos="212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120" w:hanging="787"/>
        <w:spacing w:after="0" w:line="183" w:lineRule="auto"/>
        <w:tabs>
          <w:tab w:leader="none" w:pos="2120" w:val="left"/>
        </w:tabs>
        <w:numPr>
          <w:ilvl w:val="1"/>
          <w:numId w:val="6"/>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120" w:hanging="787"/>
        <w:spacing w:after="0"/>
        <w:tabs>
          <w:tab w:leader="none" w:pos="212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power to dispose or to direct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9"/>
          <w:szCs w:val="19"/>
          <w:color w:val="auto"/>
        </w:rPr>
        <w:t>67,855,580</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69,103,790</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ectPr>
          <w:pgSz w:w="11900" w:h="16845" w:orient="portrait"/>
          <w:cols w:equalWidth="0" w:num="2">
            <w:col w:w="6320" w:space="340"/>
            <w:col w:w="4600"/>
          </w:cols>
          <w:pgMar w:left="320" w:top="423" w:right="319" w:bottom="0" w:gutter="0" w:footer="0" w:header="0"/>
          <w:type w:val="continuous"/>
        </w:sectPr>
      </w:pPr>
    </w:p>
    <w:bookmarkStart w:id="4" w:name="page5"/>
    <w:bookmarkEnd w:id="4"/>
    <w:p>
      <w:pPr>
        <w:ind w:left="2120"/>
        <w:spacing w:after="0"/>
        <w:rPr>
          <w:sz w:val="20"/>
          <w:szCs w:val="20"/>
          <w:color w:val="auto"/>
        </w:rPr>
      </w:pPr>
      <w:r>
        <w:rPr>
          <w:rFonts w:ascii="Arial" w:cs="Arial" w:eastAsia="Arial" w:hAnsi="Arial"/>
          <w:sz w:val="22"/>
          <w:szCs w:val="22"/>
          <w:color w:val="auto"/>
        </w:rPr>
        <w:t>disposition of</w:t>
      </w:r>
    </w:p>
    <w:p>
      <w:pPr>
        <w:spacing w:after="0" w:line="120"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36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ind w:left="920" w:right="440" w:hanging="917"/>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100"/>
          </w:cols>
          <w:pgMar w:left="320" w:top="118" w:right="479" w:bottom="1440" w:gutter="0" w:footer="0" w:header="0"/>
        </w:sectPr>
      </w:pPr>
    </w:p>
    <w:bookmarkStart w:id="5" w:name="page6"/>
    <w:bookmarkEnd w:id="5"/>
    <w:p>
      <w:pPr>
        <w:jc w:val="center"/>
        <w:ind w:right="-2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t>SIGNATURE</w:t>
      </w:r>
    </w:p>
    <w:p>
      <w:pPr>
        <w:spacing w:after="0" w:line="334" w:lineRule="exact"/>
        <w:rPr>
          <w:sz w:val="20"/>
          <w:szCs w:val="20"/>
          <w:color w:val="auto"/>
        </w:rPr>
      </w:pPr>
    </w:p>
    <w:p>
      <w:pPr>
        <w:ind w:left="240" w:right="2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Harris Associates L.P.</w:t>
      </w:r>
    </w:p>
    <w:p>
      <w:pPr>
        <w:spacing w:after="0" w:line="44"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Rana J. Wright</w:t>
      </w:r>
    </w:p>
    <w:p>
      <w:pPr>
        <w:spacing w:after="0" w:line="44"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Date: February 14, 2018</w:t>
      </w:r>
    </w:p>
    <w:p>
      <w:pPr>
        <w:spacing w:after="0" w:line="44"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Name: Rana J. Wright</w:t>
      </w:r>
    </w:p>
    <w:p>
      <w:pPr>
        <w:spacing w:after="0" w:line="44"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Title: General Counsel</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**Harris Associates Inc., for itself and as General Partner of Harris Associates L.P.</w:t>
      </w:r>
    </w:p>
    <w:sectPr>
      <w:pgSz w:w="11900" w:h="16838" w:orient="portrait"/>
      <w:cols w:equalWidth="0" w:num="1">
        <w:col w:w="9259"/>
      </w:cols>
      <w:pgMar w:left="120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2019-12-08T10:41:49Z</dcterms:created>
  <dcterms:modified xsi:type="dcterms:W3CDTF">2019-12-08T10:41:49Z</dcterms:modified>
</cp:coreProperties>
</file>