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Mills Desmond J</w:t>
              </w:r>
            </w:hyperlink>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0000EE"/>
            </w:tcBorders>
            <w:gridSpan w:val="2"/>
            <w:vMerge w:val="continue"/>
          </w:tcPr>
          <w:p>
            <w:pPr>
              <w:spacing w:after="0"/>
              <w:rPr>
                <w:sz w:val="9"/>
                <w:szCs w:val="9"/>
                <w:color w:val="auto"/>
              </w:rPr>
            </w:pPr>
          </w:p>
        </w:tc>
        <w:tc>
          <w:tcPr>
            <w:tcW w:w="92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06/01/2021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92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0"/>
                <w:szCs w:val="10"/>
                <w:color w:val="auto"/>
              </w:rPr>
              <w:t>(Last)</w:t>
            </w:r>
          </w:p>
        </w:tc>
        <w:tc>
          <w:tcPr>
            <w:tcW w:w="1180" w:type="dxa"/>
            <w:vAlign w:val="bottom"/>
            <w:gridSpan w:val="2"/>
          </w:tcPr>
          <w:p>
            <w:pPr>
              <w:ind w:left="2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2000 ST. JAMES PLACE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860" w:type="dxa"/>
            <w:vAlign w:val="bottom"/>
            <w:gridSpan w:val="3"/>
          </w:tcPr>
          <w:p>
            <w:pPr>
              <w:spacing w:after="0"/>
              <w:rPr>
                <w:sz w:val="20"/>
                <w:szCs w:val="20"/>
                <w:color w:val="auto"/>
              </w:rPr>
            </w:pPr>
            <w:r>
              <w:rPr>
                <w:rFonts w:ascii="Arial" w:cs="Arial" w:eastAsia="Arial" w:hAnsi="Arial"/>
                <w:sz w:val="10"/>
                <w:szCs w:val="10"/>
                <w:color w:val="auto"/>
              </w:rPr>
              <w:t>(Street)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0000FF"/>
              </w:rPr>
              <w:t>HOUSTON</w:t>
            </w:r>
          </w:p>
        </w:tc>
        <w:tc>
          <w:tcPr>
            <w:tcW w:w="1180" w:type="dxa"/>
            <w:vAlign w:val="bottom"/>
            <w:gridSpan w:val="2"/>
          </w:tcPr>
          <w:p>
            <w:pPr>
              <w:ind w:left="220"/>
              <w:spacing w:after="0"/>
              <w:rPr>
                <w:sz w:val="20"/>
                <w:szCs w:val="20"/>
                <w:color w:val="auto"/>
              </w:rPr>
            </w:pPr>
            <w:r>
              <w:rPr>
                <w:rFonts w:ascii="Arial" w:cs="Arial" w:eastAsia="Arial" w:hAnsi="Arial"/>
                <w:sz w:val="13"/>
                <w:szCs w:val="13"/>
                <w:color w:val="0000FF"/>
              </w:rPr>
              <w:t>TX</w:t>
            </w:r>
          </w:p>
        </w:tc>
        <w:tc>
          <w:tcPr>
            <w:tcW w:w="1140" w:type="dxa"/>
            <w:vAlign w:val="bottom"/>
          </w:tcPr>
          <w:p>
            <w:pPr>
              <w:ind w:left="100"/>
              <w:spacing w:after="0"/>
              <w:rPr>
                <w:sz w:val="20"/>
                <w:szCs w:val="20"/>
                <w:color w:val="auto"/>
              </w:rPr>
            </w:pPr>
            <w:r>
              <w:rPr>
                <w:rFonts w:ascii="Arial" w:cs="Arial" w:eastAsia="Arial" w:hAnsi="Arial"/>
                <w:sz w:val="13"/>
                <w:szCs w:val="13"/>
                <w:color w:val="0000FF"/>
              </w:rPr>
              <w:t>77056</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Weatherford International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WFRD</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2840" w:type="dxa"/>
            <w:vAlign w:val="bottom"/>
            <w:gridSpan w:val="2"/>
            <w:vMerge w:val="restart"/>
          </w:tcPr>
          <w:p>
            <w:pPr>
              <w:ind w:left="360"/>
              <w:spacing w:after="0"/>
              <w:rPr>
                <w:sz w:val="20"/>
                <w:szCs w:val="20"/>
                <w:color w:val="auto"/>
              </w:rPr>
            </w:pPr>
            <w:r>
              <w:rPr>
                <w:rFonts w:ascii="Arial" w:cs="Arial" w:eastAsia="Arial" w:hAnsi="Arial"/>
                <w:sz w:val="13"/>
                <w:szCs w:val="13"/>
                <w:color w:val="0000FF"/>
              </w:rPr>
              <w:t>VP &amp; Chief Accounting Officer</w:t>
            </w: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8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40" w:type="dxa"/>
            <w:vAlign w:val="bottom"/>
            <w:vMerge w:val="restart"/>
          </w:tcPr>
          <w:p>
            <w:pPr>
              <w:ind w:left="3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1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940" w:type="dxa"/>
            <w:vAlign w:val="bottom"/>
          </w:tcPr>
          <w:p>
            <w:pPr>
              <w:ind w:left="3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840" w:type="dxa"/>
            <w:vAlign w:val="bottom"/>
            <w:vMerge w:val="continue"/>
          </w:tcPr>
          <w:p>
            <w:pPr>
              <w:spacing w:after="0"/>
              <w:rPr>
                <w:sz w:val="11"/>
                <w:szCs w:val="11"/>
                <w:color w:val="auto"/>
              </w:rPr>
            </w:pPr>
          </w:p>
        </w:tc>
        <w:tc>
          <w:tcPr>
            <w:tcW w:w="940" w:type="dxa"/>
            <w:vAlign w:val="bottom"/>
          </w:tcPr>
          <w:p>
            <w:pPr>
              <w:ind w:left="3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580" w:type="dxa"/>
            <w:vAlign w:val="bottom"/>
          </w:tcPr>
          <w:p>
            <w:pPr>
              <w:jc w:val="center"/>
              <w:spacing w:after="0"/>
              <w:rPr>
                <w:sz w:val="20"/>
                <w:szCs w:val="20"/>
                <w:color w:val="auto"/>
              </w:rPr>
            </w:pPr>
            <w:r>
              <w:rPr>
                <w:rFonts w:ascii="Arial" w:cs="Arial" w:eastAsia="Arial" w:hAnsi="Arial"/>
                <w:sz w:val="8"/>
                <w:szCs w:val="8"/>
                <w:color w:val="008000"/>
              </w:rPr>
              <w:t>(1)</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right"/>
              <w:ind w:right="82"/>
              <w:spacing w:after="0"/>
              <w:rPr>
                <w:sz w:val="20"/>
                <w:szCs w:val="20"/>
                <w:color w:val="auto"/>
              </w:rPr>
            </w:pPr>
            <w:r>
              <w:rPr>
                <w:rFonts w:ascii="Arial" w:cs="Arial" w:eastAsia="Arial" w:hAnsi="Arial"/>
                <w:sz w:val="13"/>
                <w:szCs w:val="13"/>
                <w:color w:val="0000FF"/>
              </w:rPr>
              <w:t>30,879</w:t>
            </w:r>
          </w:p>
        </w:tc>
        <w:tc>
          <w:tcPr>
            <w:tcW w:w="720" w:type="dxa"/>
            <w:vAlign w:val="bottom"/>
          </w:tcPr>
          <w:p>
            <w:pPr>
              <w:ind w:left="340"/>
              <w:spacing w:after="0"/>
              <w:rPr>
                <w:sz w:val="20"/>
                <w:szCs w:val="20"/>
                <w:color w:val="auto"/>
              </w:rPr>
            </w:pPr>
            <w:r>
              <w:rPr>
                <w:rFonts w:ascii="Arial" w:cs="Arial" w:eastAsia="Arial" w:hAnsi="Arial"/>
                <w:sz w:val="8"/>
                <w:szCs w:val="8"/>
                <w:color w:val="008000"/>
              </w:rPr>
              <w:t>(1)</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Performance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(2)</w:t>
            </w:r>
          </w:p>
        </w:tc>
        <w:tc>
          <w:tcPr>
            <w:tcW w:w="580" w:type="dxa"/>
            <w:vAlign w:val="bottom"/>
          </w:tcPr>
          <w:p>
            <w:pPr>
              <w:jc w:val="center"/>
              <w:spacing w:after="0"/>
              <w:rPr>
                <w:sz w:val="20"/>
                <w:szCs w:val="20"/>
                <w:color w:val="auto"/>
              </w:rPr>
            </w:pPr>
            <w:r>
              <w:rPr>
                <w:rFonts w:ascii="Arial" w:cs="Arial" w:eastAsia="Arial" w:hAnsi="Arial"/>
                <w:sz w:val="8"/>
                <w:szCs w:val="8"/>
                <w:color w:val="008000"/>
              </w:rPr>
              <w:t>(2)</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right"/>
              <w:ind w:right="82"/>
              <w:spacing w:after="0"/>
              <w:rPr>
                <w:sz w:val="20"/>
                <w:szCs w:val="20"/>
                <w:color w:val="auto"/>
              </w:rPr>
            </w:pPr>
            <w:r>
              <w:rPr>
                <w:rFonts w:ascii="Arial" w:cs="Arial" w:eastAsia="Arial" w:hAnsi="Arial"/>
                <w:sz w:val="13"/>
                <w:szCs w:val="13"/>
                <w:color w:val="0000FF"/>
              </w:rPr>
              <w:t>15,439</w:t>
            </w:r>
          </w:p>
        </w:tc>
        <w:tc>
          <w:tcPr>
            <w:tcW w:w="720" w:type="dxa"/>
            <w:vAlign w:val="bottom"/>
          </w:tcPr>
          <w:p>
            <w:pPr>
              <w:ind w:left="340"/>
              <w:spacing w:after="0"/>
              <w:rPr>
                <w:sz w:val="20"/>
                <w:szCs w:val="20"/>
                <w:color w:val="auto"/>
              </w:rPr>
            </w:pPr>
            <w:r>
              <w:rPr>
                <w:rFonts w:ascii="Arial" w:cs="Arial" w:eastAsia="Arial" w:hAnsi="Arial"/>
                <w:sz w:val="8"/>
                <w:szCs w:val="8"/>
                <w:color w:val="008000"/>
              </w:rPr>
              <w:t>(2)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20" w:type="dxa"/>
            <w:vAlign w:val="bottom"/>
          </w:tcPr>
          <w:p>
            <w:pPr>
              <w:ind w:left="40"/>
              <w:spacing w:after="0"/>
              <w:rPr>
                <w:sz w:val="20"/>
                <w:szCs w:val="20"/>
                <w:color w:val="auto"/>
              </w:rPr>
            </w:pPr>
            <w:r>
              <w:rPr>
                <w:rFonts w:ascii="Arial" w:cs="Arial" w:eastAsia="Arial" w:hAnsi="Arial"/>
                <w:sz w:val="13"/>
                <w:szCs w:val="13"/>
                <w:color w:val="0000FF"/>
              </w:rPr>
              <w:t>Phantom Restricted Share Units</w:t>
            </w:r>
          </w:p>
        </w:tc>
        <w:tc>
          <w:tcPr>
            <w:tcW w:w="660" w:type="dxa"/>
            <w:vAlign w:val="bottom"/>
          </w:tcPr>
          <w:p>
            <w:pPr>
              <w:ind w:left="280"/>
              <w:spacing w:after="0"/>
              <w:rPr>
                <w:sz w:val="20"/>
                <w:szCs w:val="20"/>
                <w:color w:val="auto"/>
              </w:rPr>
            </w:pPr>
            <w:r>
              <w:rPr>
                <w:rFonts w:ascii="Arial" w:cs="Arial" w:eastAsia="Arial" w:hAnsi="Arial"/>
                <w:sz w:val="8"/>
                <w:szCs w:val="8"/>
                <w:color w:val="008000"/>
              </w:rPr>
              <w:t>(3)</w:t>
            </w:r>
          </w:p>
        </w:tc>
        <w:tc>
          <w:tcPr>
            <w:tcW w:w="580" w:type="dxa"/>
            <w:vAlign w:val="bottom"/>
          </w:tcPr>
          <w:p>
            <w:pPr>
              <w:jc w:val="center"/>
              <w:spacing w:after="0"/>
              <w:rPr>
                <w:sz w:val="20"/>
                <w:szCs w:val="20"/>
                <w:color w:val="auto"/>
              </w:rPr>
            </w:pPr>
            <w:r>
              <w:rPr>
                <w:rFonts w:ascii="Arial" w:cs="Arial" w:eastAsia="Arial" w:hAnsi="Arial"/>
                <w:sz w:val="8"/>
                <w:szCs w:val="8"/>
                <w:color w:val="008000"/>
              </w:rPr>
              <w:t>(3)</w:t>
            </w:r>
          </w:p>
        </w:tc>
        <w:tc>
          <w:tcPr>
            <w:tcW w:w="184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940" w:type="dxa"/>
            <w:vAlign w:val="bottom"/>
          </w:tcPr>
          <w:p>
            <w:pPr>
              <w:jc w:val="right"/>
              <w:ind w:right="82"/>
              <w:spacing w:after="0"/>
              <w:rPr>
                <w:sz w:val="20"/>
                <w:szCs w:val="20"/>
                <w:color w:val="auto"/>
              </w:rPr>
            </w:pPr>
            <w:r>
              <w:rPr>
                <w:rFonts w:ascii="Arial" w:cs="Arial" w:eastAsia="Arial" w:hAnsi="Arial"/>
                <w:sz w:val="13"/>
                <w:szCs w:val="13"/>
                <w:color w:val="0000FF"/>
              </w:rPr>
              <w:t>22,648</w:t>
            </w:r>
          </w:p>
        </w:tc>
        <w:tc>
          <w:tcPr>
            <w:tcW w:w="720" w:type="dxa"/>
            <w:vAlign w:val="bottom"/>
          </w:tcPr>
          <w:p>
            <w:pPr>
              <w:ind w:left="340"/>
              <w:spacing w:after="0"/>
              <w:rPr>
                <w:sz w:val="20"/>
                <w:szCs w:val="20"/>
                <w:color w:val="auto"/>
              </w:rPr>
            </w:pPr>
            <w:r>
              <w:rPr>
                <w:rFonts w:ascii="Arial" w:cs="Arial" w:eastAsia="Arial" w:hAnsi="Arial"/>
                <w:sz w:val="8"/>
                <w:szCs w:val="8"/>
                <w:color w:val="008000"/>
              </w:rPr>
              <w:t>(3)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Represents restricted share units ("RSUs") granted on April 15, 2021 pursuant to Issuer's Second Amended and Restated 2019 Equity Incentive Plan (the "2019 EIP"). The RSUs vest in two equal installments over the two-year period from the date of grant.</w:t>
      </w:r>
    </w:p>
    <w:p>
      <w:pPr>
        <w:spacing w:after="0" w:line="46" w:lineRule="exact"/>
        <w:rPr>
          <w:rFonts w:ascii="Arial" w:cs="Arial" w:eastAsia="Arial" w:hAnsi="Arial"/>
          <w:sz w:val="9"/>
          <w:szCs w:val="9"/>
          <w:color w:val="008000"/>
        </w:rPr>
      </w:pPr>
    </w:p>
    <w:p>
      <w:pPr>
        <w:ind w:left="40" w:right="48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performance share units ("PSUs") granted on April 15, 2021 under the 2019 EIP. The number of PSUs reported is the target award and may be subject to a payout ranging from 0% to 200% of target award depending on the actual achievement of the performance goals at the end of the performance period. The performance period is the Issuer's fiscal year ending December 21, 2022.</w:t>
      </w:r>
    </w:p>
    <w:p>
      <w:pPr>
        <w:spacing w:after="0" w:line="15" w:lineRule="exact"/>
        <w:rPr>
          <w:rFonts w:ascii="Arial" w:cs="Arial" w:eastAsia="Arial" w:hAnsi="Arial"/>
          <w:sz w:val="10"/>
          <w:szCs w:val="10"/>
          <w:color w:val="008000"/>
        </w:rPr>
      </w:pPr>
    </w:p>
    <w:p>
      <w:pPr>
        <w:ind w:left="40" w:right="48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Represents phantom restricted share units granted on April 15, 2021 pursuant to the 2019 EIP. These phantom restricted share units vest in two equal installments over the two-year period from the date of grant and may be settled in cash, ordinary shares or any combination of cash and ordinary shares.</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89"/>
              </w:rPr>
              <w:t>Jonathan B. Wolens by Power of</w:t>
            </w:r>
          </w:p>
        </w:tc>
        <w:tc>
          <w:tcPr>
            <w:tcW w:w="1100" w:type="dxa"/>
            <w:vAlign w:val="bottom"/>
            <w:gridSpan w:val="2"/>
            <w:vMerge w:val="restart"/>
          </w:tcPr>
          <w:p>
            <w:pPr>
              <w:ind w:left="500"/>
              <w:spacing w:after="0"/>
              <w:rPr>
                <w:sz w:val="20"/>
                <w:szCs w:val="20"/>
                <w:color w:val="auto"/>
              </w:rPr>
            </w:pPr>
            <w:r>
              <w:rPr>
                <w:rFonts w:ascii="Arial" w:cs="Arial" w:eastAsia="Arial" w:hAnsi="Arial"/>
                <w:sz w:val="13"/>
                <w:szCs w:val="13"/>
                <w:color w:val="0000FF"/>
                <w:w w:val="89"/>
              </w:rPr>
              <w:t>06/10/2021</w:t>
            </w: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40" w:type="dxa"/>
            <w:vAlign w:val="bottom"/>
            <w:vMerge w:val="restart"/>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2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4"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Scott C. Weatherholt, Christine M. Morrison and Jo</w:t>
      </w:r>
    </w:p>
    <w:p>
      <w:pPr>
        <w:spacing w:after="0" w:line="163" w:lineRule="exact"/>
        <w:rPr>
          <w:sz w:val="20"/>
          <w:szCs w:val="20"/>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3" w:lineRule="exact"/>
        <w:rPr>
          <w:rFonts w:ascii="Courier New" w:cs="Courier New" w:eastAsia="Courier New" w:hAnsi="Courier New"/>
          <w:sz w:val="13"/>
          <w:szCs w:val="13"/>
          <w:color w:val="auto"/>
        </w:rPr>
      </w:pPr>
    </w:p>
    <w:p>
      <w:pPr>
        <w:jc w:val="both"/>
        <w:ind w:left="320" w:firstLine="227"/>
        <w:spacing w:after="0" w:line="488" w:lineRule="auto"/>
        <w:tabs>
          <w:tab w:leader="none" w:pos="78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7th day of May, 2021.</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Desmond J. Mills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Desmond J. Mills</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104165</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61969"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2021-06-10T17:46:57Z</dcterms:created>
  <dcterms:modified xsi:type="dcterms:W3CDTF">2021-06-10T17:46:57Z</dcterms:modified>
</cp:coreProperties>
</file>