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4"/>
          <w:szCs w:val="3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wp:posOffset>
            </wp:positionH>
            <wp:positionV relativeFrom="paragraph">
              <wp:posOffset>-236855</wp:posOffset>
            </wp:positionV>
            <wp:extent cx="7226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6300" cy="8890"/>
                    </a:xfrm>
                    <a:prstGeom prst="rect">
                      <a:avLst/>
                    </a:prstGeom>
                    <a:noFill/>
                  </pic:spPr>
                </pic:pic>
              </a:graphicData>
            </a:graphic>
          </wp:anchor>
        </w:drawing>
      </w:r>
    </w:p>
    <w:p>
      <w:pPr>
        <w:spacing w:after="0" w:line="28"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SECURITIES AND EXCHANGE COMMISSION</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WASHINGTON, D.C. 20549</w:t>
      </w:r>
    </w:p>
    <w:p>
      <w:pPr>
        <w:spacing w:after="0" w:line="236"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FORM 8-K</w:t>
      </w:r>
    </w:p>
    <w:p>
      <w:pPr>
        <w:spacing w:after="0" w:line="329"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CURRENT REPORT</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Pursuant to Section 13 or 15(d)</w:t>
      </w:r>
    </w:p>
    <w:p>
      <w:pPr>
        <w:spacing w:after="0" w:line="8"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209"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Date of Report (Date of earliest event reported): February 13, 2019</w:t>
      </w:r>
    </w:p>
    <w:p>
      <w:pPr>
        <w:spacing w:after="0" w:line="257" w:lineRule="exact"/>
        <w:rPr>
          <w:sz w:val="24"/>
          <w:szCs w:val="24"/>
          <w:color w:val="auto"/>
        </w:rPr>
      </w:pPr>
    </w:p>
    <w:p>
      <w:pPr>
        <w:jc w:val="center"/>
        <w:ind w:right="-5"/>
        <w:spacing w:after="0"/>
        <w:rPr>
          <w:sz w:val="20"/>
          <w:szCs w:val="20"/>
          <w:color w:val="auto"/>
        </w:rPr>
      </w:pPr>
      <w:r>
        <w:rPr>
          <w:rFonts w:ascii="Arial" w:cs="Arial" w:eastAsia="Arial" w:hAnsi="Arial"/>
          <w:sz w:val="42"/>
          <w:szCs w:val="42"/>
          <w:b w:val="1"/>
          <w:bCs w:val="1"/>
          <w:u w:val="single" w:color="auto"/>
          <w:color w:val="auto"/>
        </w:rPr>
        <w:t>Weatherford International public limited company</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387" w:lineRule="exact"/>
        <w:rPr>
          <w:sz w:val="24"/>
          <w:szCs w:val="24"/>
          <w:color w:val="auto"/>
        </w:rPr>
      </w:pPr>
    </w:p>
    <w:tbl>
      <w:tblPr>
        <w:tblLayout w:type="fixed"/>
        <w:tblInd w:w="306" w:type="dxa"/>
        <w:tblCellMar>
          <w:top w:w="0" w:type="dxa"/>
          <w:left w:w="0" w:type="dxa"/>
          <w:bottom w:w="0" w:type="dxa"/>
          <w:right w:w="0" w:type="dxa"/>
        </w:tblCellMar>
      </w:tblPr>
      <w:tr>
        <w:trPr>
          <w:trHeight w:val="247"/>
        </w:trPr>
        <w:tc>
          <w:tcPr>
            <w:tcW w:w="3880" w:type="dxa"/>
            <w:vAlign w:val="bottom"/>
            <w:gridSpan w:val="2"/>
          </w:tcPr>
          <w:p>
            <w:pPr>
              <w:jc w:val="center"/>
              <w:ind w:right="160"/>
              <w:spacing w:after="0"/>
              <w:rPr>
                <w:sz w:val="20"/>
                <w:szCs w:val="20"/>
                <w:color w:val="auto"/>
              </w:rPr>
            </w:pPr>
            <w:r>
              <w:rPr>
                <w:rFonts w:ascii="Arial" w:cs="Arial" w:eastAsia="Arial" w:hAnsi="Arial"/>
                <w:sz w:val="19"/>
                <w:szCs w:val="19"/>
                <w:b w:val="1"/>
                <w:bCs w:val="1"/>
                <w:color w:val="auto"/>
                <w:w w:val="96"/>
              </w:rPr>
              <w:t>Ireland</w:t>
            </w:r>
          </w:p>
        </w:tc>
        <w:tc>
          <w:tcPr>
            <w:tcW w:w="3640" w:type="dxa"/>
            <w:vAlign w:val="bottom"/>
          </w:tcPr>
          <w:p>
            <w:pPr>
              <w:jc w:val="right"/>
              <w:ind w:right="1265"/>
              <w:spacing w:after="0"/>
              <w:rPr>
                <w:sz w:val="20"/>
                <w:szCs w:val="20"/>
                <w:color w:val="auto"/>
              </w:rPr>
            </w:pPr>
            <w:r>
              <w:rPr>
                <w:rFonts w:ascii="Arial" w:cs="Arial" w:eastAsia="Arial" w:hAnsi="Arial"/>
                <w:sz w:val="19"/>
                <w:szCs w:val="19"/>
                <w:b w:val="1"/>
                <w:bCs w:val="1"/>
                <w:color w:val="auto"/>
              </w:rPr>
              <w:t>001-36504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20" w:type="dxa"/>
            <w:vAlign w:val="bottom"/>
          </w:tcPr>
          <w:p>
            <w:pPr>
              <w:jc w:val="center"/>
              <w:spacing w:after="0"/>
              <w:rPr>
                <w:sz w:val="20"/>
                <w:szCs w:val="20"/>
                <w:color w:val="auto"/>
              </w:rPr>
            </w:pPr>
            <w:r>
              <w:rPr>
                <w:rFonts w:ascii="Arial" w:cs="Arial" w:eastAsia="Arial" w:hAnsi="Arial"/>
                <w:sz w:val="19"/>
                <w:szCs w:val="19"/>
                <w:b w:val="1"/>
                <w:bCs w:val="1"/>
                <w:color w:val="auto"/>
                <w:w w:val="90"/>
              </w:rPr>
              <w:t>98-0606750</w:t>
            </w:r>
          </w:p>
        </w:tc>
      </w:tr>
      <w:tr>
        <w:trPr>
          <w:trHeight w:val="58"/>
        </w:trPr>
        <w:tc>
          <w:tcPr>
            <w:tcW w:w="3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50"/>
        </w:trPr>
        <w:tc>
          <w:tcPr>
            <w:tcW w:w="3880" w:type="dxa"/>
            <w:vAlign w:val="bottom"/>
            <w:gridSpan w:val="2"/>
          </w:tcPr>
          <w:p>
            <w:pPr>
              <w:jc w:val="center"/>
              <w:ind w:right="140"/>
              <w:spacing w:after="0"/>
              <w:rPr>
                <w:sz w:val="20"/>
                <w:szCs w:val="20"/>
                <w:color w:val="auto"/>
              </w:rPr>
            </w:pPr>
            <w:r>
              <w:rPr>
                <w:rFonts w:ascii="Arial" w:cs="Arial" w:eastAsia="Arial" w:hAnsi="Arial"/>
                <w:sz w:val="19"/>
                <w:szCs w:val="19"/>
                <w:color w:val="auto"/>
                <w:w w:val="93"/>
              </w:rPr>
              <w:t>(State or other jurisdiction of incorporation)</w:t>
            </w:r>
          </w:p>
        </w:tc>
        <w:tc>
          <w:tcPr>
            <w:tcW w:w="3880" w:type="dxa"/>
            <w:vAlign w:val="bottom"/>
            <w:gridSpan w:val="3"/>
          </w:tcPr>
          <w:p>
            <w:pPr>
              <w:jc w:val="center"/>
              <w:ind w:right="140"/>
              <w:spacing w:after="0"/>
              <w:rPr>
                <w:sz w:val="20"/>
                <w:szCs w:val="20"/>
                <w:color w:val="auto"/>
              </w:rPr>
            </w:pPr>
            <w:r>
              <w:rPr>
                <w:rFonts w:ascii="Arial" w:cs="Arial" w:eastAsia="Arial" w:hAnsi="Arial"/>
                <w:sz w:val="19"/>
                <w:szCs w:val="19"/>
                <w:color w:val="auto"/>
                <w:w w:val="92"/>
              </w:rPr>
              <w:t>(Commission File Number)</w:t>
            </w:r>
          </w:p>
        </w:tc>
        <w:tc>
          <w:tcPr>
            <w:tcW w:w="3620" w:type="dxa"/>
            <w:vAlign w:val="bottom"/>
          </w:tcPr>
          <w:p>
            <w:pPr>
              <w:jc w:val="center"/>
              <w:spacing w:after="0"/>
              <w:rPr>
                <w:sz w:val="20"/>
                <w:szCs w:val="20"/>
                <w:color w:val="auto"/>
              </w:rPr>
            </w:pPr>
            <w:r>
              <w:rPr>
                <w:rFonts w:ascii="Arial" w:cs="Arial" w:eastAsia="Arial" w:hAnsi="Arial"/>
                <w:sz w:val="19"/>
                <w:szCs w:val="19"/>
                <w:color w:val="auto"/>
                <w:w w:val="94"/>
              </w:rPr>
              <w:t>(I.R.S. Employer Identification Number)</w:t>
            </w:r>
          </w:p>
        </w:tc>
      </w:tr>
      <w:tr>
        <w:trPr>
          <w:trHeight w:val="428"/>
        </w:trPr>
        <w:tc>
          <w:tcPr>
            <w:tcW w:w="7760" w:type="dxa"/>
            <w:vAlign w:val="bottom"/>
            <w:gridSpan w:val="5"/>
          </w:tcPr>
          <w:p>
            <w:pPr>
              <w:jc w:val="center"/>
              <w:ind w:right="180"/>
              <w:spacing w:after="0"/>
              <w:rPr>
                <w:sz w:val="20"/>
                <w:szCs w:val="20"/>
                <w:color w:val="auto"/>
              </w:rPr>
            </w:pPr>
            <w:r>
              <w:rPr>
                <w:rFonts w:ascii="Arial" w:cs="Arial" w:eastAsia="Arial" w:hAnsi="Arial"/>
                <w:sz w:val="19"/>
                <w:szCs w:val="19"/>
                <w:b w:val="1"/>
                <w:bCs w:val="1"/>
                <w:color w:val="auto"/>
                <w:w w:val="88"/>
              </w:rPr>
              <w:t>Weststrasse 1, 6340 Baar, Switzerland</w:t>
            </w:r>
          </w:p>
        </w:tc>
        <w:tc>
          <w:tcPr>
            <w:tcW w:w="3620" w:type="dxa"/>
            <w:vAlign w:val="bottom"/>
          </w:tcPr>
          <w:p>
            <w:pPr>
              <w:jc w:val="center"/>
              <w:spacing w:after="0"/>
              <w:rPr>
                <w:sz w:val="20"/>
                <w:szCs w:val="20"/>
                <w:color w:val="auto"/>
              </w:rPr>
            </w:pPr>
            <w:r>
              <w:rPr>
                <w:rFonts w:ascii="Arial" w:cs="Arial" w:eastAsia="Arial" w:hAnsi="Arial"/>
                <w:sz w:val="19"/>
                <w:szCs w:val="19"/>
                <w:b w:val="1"/>
                <w:bCs w:val="1"/>
                <w:color w:val="auto"/>
                <w:w w:val="95"/>
              </w:rPr>
              <w:t>CH 6340</w:t>
            </w:r>
          </w:p>
        </w:tc>
      </w:tr>
      <w:tr>
        <w:trPr>
          <w:trHeight w:val="58"/>
        </w:trPr>
        <w:tc>
          <w:tcPr>
            <w:tcW w:w="7520" w:type="dxa"/>
            <w:vAlign w:val="bottom"/>
            <w:tcBorders>
              <w:bottom w:val="single" w:sz="8" w:color="auto"/>
            </w:tcBorders>
            <w:gridSpan w:val="3"/>
          </w:tcPr>
          <w:p>
            <w:pPr>
              <w:spacing w:after="0"/>
              <w:rPr>
                <w:sz w:val="5"/>
                <w:szCs w:val="5"/>
                <w:color w:val="auto"/>
              </w:rPr>
            </w:pPr>
          </w:p>
        </w:tc>
        <w:tc>
          <w:tcPr>
            <w:tcW w:w="240" w:type="dxa"/>
            <w:vAlign w:val="bottom"/>
            <w:gridSpan w:val="2"/>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50"/>
        </w:trPr>
        <w:tc>
          <w:tcPr>
            <w:tcW w:w="7760" w:type="dxa"/>
            <w:vAlign w:val="bottom"/>
            <w:gridSpan w:val="5"/>
          </w:tcPr>
          <w:p>
            <w:pPr>
              <w:jc w:val="center"/>
              <w:ind w:right="180"/>
              <w:spacing w:after="0"/>
              <w:rPr>
                <w:sz w:val="20"/>
                <w:szCs w:val="20"/>
                <w:color w:val="auto"/>
              </w:rPr>
            </w:pPr>
            <w:r>
              <w:rPr>
                <w:rFonts w:ascii="Arial" w:cs="Arial" w:eastAsia="Arial" w:hAnsi="Arial"/>
                <w:sz w:val="19"/>
                <w:szCs w:val="19"/>
                <w:color w:val="auto"/>
                <w:w w:val="92"/>
              </w:rPr>
              <w:t>(Address of principal executive offices)</w:t>
            </w:r>
          </w:p>
        </w:tc>
        <w:tc>
          <w:tcPr>
            <w:tcW w:w="3620" w:type="dxa"/>
            <w:vAlign w:val="bottom"/>
          </w:tcPr>
          <w:p>
            <w:pPr>
              <w:jc w:val="center"/>
              <w:spacing w:after="0"/>
              <w:rPr>
                <w:sz w:val="20"/>
                <w:szCs w:val="20"/>
                <w:color w:val="auto"/>
              </w:rPr>
            </w:pPr>
            <w:r>
              <w:rPr>
                <w:rFonts w:ascii="Arial" w:cs="Arial" w:eastAsia="Arial" w:hAnsi="Arial"/>
                <w:sz w:val="19"/>
                <w:szCs w:val="19"/>
                <w:color w:val="auto"/>
                <w:w w:val="93"/>
              </w:rPr>
              <w:t>(Zip Code)</w:t>
            </w:r>
          </w:p>
        </w:tc>
      </w:tr>
    </w:tbl>
    <w:p>
      <w:pPr>
        <w:spacing w:after="0" w:line="295" w:lineRule="exact"/>
        <w:rPr>
          <w:sz w:val="24"/>
          <w:szCs w:val="24"/>
          <w:color w:val="auto"/>
        </w:rPr>
      </w:pPr>
    </w:p>
    <w:p>
      <w:pPr>
        <w:ind w:left="3246"/>
        <w:spacing w:after="0"/>
        <w:rPr>
          <w:sz w:val="20"/>
          <w:szCs w:val="20"/>
          <w:color w:val="auto"/>
        </w:rPr>
      </w:pPr>
      <w:r>
        <w:rPr>
          <w:rFonts w:ascii="Arial" w:cs="Arial" w:eastAsia="Arial" w:hAnsi="Arial"/>
          <w:sz w:val="19"/>
          <w:szCs w:val="19"/>
          <w:b w:val="1"/>
          <w:bCs w:val="1"/>
          <w:color w:val="auto"/>
        </w:rPr>
        <w:t>Registrant’s telephone number, including area code: +41.22.816.1500</w:t>
      </w:r>
    </w:p>
    <w:p>
      <w:pPr>
        <w:spacing w:after="0" w:line="167" w:lineRule="exact"/>
        <w:rPr>
          <w:sz w:val="24"/>
          <w:szCs w:val="24"/>
          <w:color w:val="auto"/>
        </w:rPr>
      </w:pPr>
    </w:p>
    <w:p>
      <w:pPr>
        <w:ind w:left="5486"/>
        <w:spacing w:after="0"/>
        <w:rPr>
          <w:sz w:val="20"/>
          <w:szCs w:val="20"/>
          <w:color w:val="auto"/>
        </w:rPr>
      </w:pPr>
      <w:r>
        <w:rPr>
          <w:rFonts w:ascii="Arial" w:cs="Arial" w:eastAsia="Arial" w:hAnsi="Arial"/>
          <w:sz w:val="19"/>
          <w:szCs w:val="19"/>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633730</wp:posOffset>
            </wp:positionH>
            <wp:positionV relativeFrom="paragraph">
              <wp:posOffset>55245</wp:posOffset>
            </wp:positionV>
            <wp:extent cx="6438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8900" cy="8890"/>
                    </a:xfrm>
                    <a:prstGeom prst="rect">
                      <a:avLst/>
                    </a:prstGeom>
                    <a:noFill/>
                  </pic:spPr>
                </pic:pic>
              </a:graphicData>
            </a:graphic>
          </wp:anchor>
        </w:drawing>
      </w:r>
    </w:p>
    <w:p>
      <w:pPr>
        <w:spacing w:after="0" w:line="96" w:lineRule="exact"/>
        <w:rPr>
          <w:sz w:val="24"/>
          <w:szCs w:val="24"/>
          <w:color w:val="auto"/>
        </w:rPr>
      </w:pPr>
    </w:p>
    <w:p>
      <w:pPr>
        <w:jc w:val="center"/>
        <w:ind w:left="200"/>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66" w:lineRule="exact"/>
        <w:rPr>
          <w:sz w:val="24"/>
          <w:szCs w:val="24"/>
          <w:color w:val="auto"/>
        </w:rPr>
      </w:pPr>
    </w:p>
    <w:p>
      <w:pPr>
        <w:ind w:left="6"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9"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9"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193" w:lineRule="exact"/>
        <w:rPr>
          <w:sz w:val="24"/>
          <w:szCs w:val="24"/>
          <w:color w:val="auto"/>
        </w:rPr>
      </w:pPr>
    </w:p>
    <w:p>
      <w:pPr>
        <w:ind w:left="6" w:right="2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4"/>
          <w:szCs w:val="24"/>
          <w:color w:val="auto"/>
        </w:rPr>
      </w:pPr>
    </w:p>
    <w:p>
      <w:pPr>
        <w:ind w:left="346"/>
        <w:spacing w:after="0"/>
        <w:tabs>
          <w:tab w:leader="none" w:pos="2586"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Arial" w:cs="Arial" w:eastAsia="Arial" w:hAnsi="Arial"/>
          <w:sz w:val="17"/>
          <w:szCs w:val="17"/>
          <w:color w:val="auto"/>
        </w:rPr>
        <w:t>o</w:t>
      </w:r>
    </w:p>
    <w:p>
      <w:pPr>
        <w:spacing w:after="0" w:line="238" w:lineRule="exact"/>
        <w:rPr>
          <w:sz w:val="24"/>
          <w:szCs w:val="24"/>
          <w:color w:val="auto"/>
        </w:rPr>
      </w:pPr>
    </w:p>
    <w:p>
      <w:pPr>
        <w:ind w:left="6"/>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2240" w:h="15840" w:orient="portrait"/>
          <w:cols w:equalWidth="0" w:num="1">
            <w:col w:w="12006"/>
          </w:cols>
          <w:pgMar w:left="114" w:top="852" w:right="120" w:bottom="1440" w:gutter="0" w:footer="0" w:header="0"/>
        </w:sectPr>
      </w:pPr>
    </w:p>
    <w:bookmarkStart w:id="1" w:name="page2"/>
    <w:bookmarkEnd w:id="1"/>
    <w:p>
      <w:pPr>
        <w:ind w:left="20"/>
        <w:spacing w:after="0"/>
        <w:tabs>
          <w:tab w:leader="none" w:pos="1680" w:val="left"/>
        </w:tabs>
        <w:rPr>
          <w:sz w:val="20"/>
          <w:szCs w:val="20"/>
          <w:color w:val="auto"/>
        </w:rPr>
      </w:pPr>
      <w:r>
        <w:rPr>
          <w:rFonts w:ascii="Arial" w:cs="Arial" w:eastAsia="Arial" w:hAnsi="Arial"/>
          <w:sz w:val="19"/>
          <w:szCs w:val="19"/>
          <w:b w:val="1"/>
          <w:bCs w:val="1"/>
          <w:color w:val="auto"/>
        </w:rPr>
        <w:t>Item 5.08</w:t>
      </w:r>
      <w:r>
        <w:rPr>
          <w:sz w:val="20"/>
          <w:szCs w:val="20"/>
          <w:color w:val="auto"/>
        </w:rPr>
        <w:tab/>
      </w:r>
      <w:r>
        <w:rPr>
          <w:rFonts w:ascii="Arial" w:cs="Arial" w:eastAsia="Arial" w:hAnsi="Arial"/>
          <w:sz w:val="17"/>
          <w:szCs w:val="17"/>
          <w:b w:val="1"/>
          <w:bCs w:val="1"/>
          <w:color w:val="auto"/>
        </w:rPr>
        <w:t>Shareholder Director Nominations.</w:t>
      </w:r>
    </w:p>
    <w:p>
      <w:pPr>
        <w:spacing w:after="0" w:line="329" w:lineRule="exact"/>
        <w:rPr>
          <w:sz w:val="20"/>
          <w:szCs w:val="20"/>
          <w:color w:val="auto"/>
        </w:rPr>
      </w:pPr>
    </w:p>
    <w:p>
      <w:pPr>
        <w:jc w:val="both"/>
        <w:ind w:firstLine="342"/>
        <w:spacing w:after="0" w:line="269" w:lineRule="auto"/>
        <w:rPr>
          <w:sz w:val="20"/>
          <w:szCs w:val="20"/>
          <w:color w:val="auto"/>
        </w:rPr>
      </w:pPr>
      <w:r>
        <w:rPr>
          <w:rFonts w:ascii="Arial" w:cs="Arial" w:eastAsia="Arial" w:hAnsi="Arial"/>
          <w:sz w:val="18"/>
          <w:szCs w:val="18"/>
          <w:color w:val="auto"/>
        </w:rPr>
        <w:t>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color w:val="auto"/>
        </w:rPr>
        <w:t>”) will hold its 2019 annual meeting of shareholders (the “</w:t>
      </w:r>
      <w:r>
        <w:rPr>
          <w:rFonts w:ascii="Arial" w:cs="Arial" w:eastAsia="Arial" w:hAnsi="Arial"/>
          <w:sz w:val="18"/>
          <w:szCs w:val="18"/>
          <w:b w:val="1"/>
          <w:bCs w:val="1"/>
          <w:i w:val="1"/>
          <w:iCs w:val="1"/>
          <w:color w:val="auto"/>
        </w:rPr>
        <w:t>2019 Annual Meeting</w:t>
      </w:r>
      <w:r>
        <w:rPr>
          <w:rFonts w:ascii="Arial" w:cs="Arial" w:eastAsia="Arial" w:hAnsi="Arial"/>
          <w:sz w:val="18"/>
          <w:szCs w:val="18"/>
          <w:color w:val="auto"/>
        </w:rPr>
        <w:t>”) on June 25, 2019. Because the date of the 2019 Annual Meeting is more than 30 days from the anniversary date of Weatherford’s 2018 annual meeting of shareholders, Weatherford is providing the deadline for the submission of any qualified shareholder proposal or qualified shareholder nominations under the rules of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this Form 8-K. In accordance with Weatherford’s Articles of Association, any shareholder proposal or nomination intended to be considered for inclusion in Weatherford’s proxy materials for the 2019 Annual Meeting, including any notice on Schedule 14N, must be received by Weatherford at its principal executive offices at Weststrasse 1, 6340 Baar, Switzerland by no later than March 1, 2019, and directed to the Corporate Secretary. Shareholder proposals intended to be considered for inclusion in Weatherford’s proxy materials for the 2019 Annual Meeting must comply with the requirements set forth above, Weatherford’s Articles of Association and all applicable rules and regulations promulgated by the SEC under the Securities Exchange Act of 1934.</w:t>
      </w:r>
    </w:p>
    <w:p>
      <w:pPr>
        <w:spacing w:after="0" w:line="194"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9"/>
          <w:szCs w:val="19"/>
          <w:color w:val="auto"/>
        </w:rPr>
        <w:t>Shareholders who intend to submit a proposal regarding a director nomination or other matter of business at the 2019 Annual Meeting, and who do not desire to have those proposals included in Weatherford’s proxy materials for the 2019 Annual Meeting, must ensure that notice of any such proposal (including certain additional information specified in Weatherford’s Articles of Association) is received by the Corporate Secretary at Weatherford’s principal executive offices on or before the close of business on March 1, 2019.</w:t>
      </w:r>
    </w:p>
    <w:p>
      <w:pPr>
        <w:sectPr>
          <w:pgSz w:w="12240" w:h="15840" w:orient="portrait"/>
          <w:cols w:equalWidth="0" w:num="1">
            <w:col w:w="12000"/>
          </w:cols>
          <w:pgMar w:left="120" w:top="635" w:right="120"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460"/>
        <w:spacing w:after="0"/>
        <w:rPr>
          <w:sz w:val="20"/>
          <w:szCs w:val="20"/>
          <w:color w:val="auto"/>
        </w:rPr>
      </w:pPr>
      <w:r>
        <w:rPr>
          <w:rFonts w:ascii="Arial" w:cs="Arial" w:eastAsia="Arial" w:hAnsi="Arial"/>
          <w:sz w:val="19"/>
          <w:szCs w:val="19"/>
          <w:b w:val="1"/>
          <w:bCs w:val="1"/>
          <w:color w:val="auto"/>
        </w:rPr>
        <w:t>Weatherford International plc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February 19,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400"/>
        <w:spacing w:after="0"/>
        <w:rPr>
          <w:sz w:val="20"/>
          <w:szCs w:val="20"/>
          <w:color w:val="auto"/>
        </w:rPr>
      </w:pPr>
      <w:r>
        <w:rPr>
          <w:rFonts w:ascii="Arial" w:cs="Arial" w:eastAsia="Arial" w:hAnsi="Arial"/>
          <w:sz w:val="19"/>
          <w:szCs w:val="19"/>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51435</wp:posOffset>
            </wp:positionV>
            <wp:extent cx="4871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71720" cy="8890"/>
                    </a:xfrm>
                    <a:prstGeom prst="rect">
                      <a:avLst/>
                    </a:prstGeom>
                    <a:noFill/>
                  </pic:spPr>
                </pic:pic>
              </a:graphicData>
            </a:graphic>
          </wp:anchor>
        </w:drawing>
      </w:r>
    </w:p>
    <w:p>
      <w:pPr>
        <w:spacing w:after="0" w:line="90" w:lineRule="exact"/>
        <w:rPr>
          <w:sz w:val="20"/>
          <w:szCs w:val="20"/>
          <w:color w:val="auto"/>
        </w:rPr>
      </w:pPr>
    </w:p>
    <w:p>
      <w:pPr>
        <w:jc w:val="center"/>
        <w:ind w:left="3400"/>
        <w:spacing w:after="0"/>
        <w:rPr>
          <w:sz w:val="20"/>
          <w:szCs w:val="20"/>
          <w:color w:val="auto"/>
        </w:rPr>
      </w:pPr>
      <w:r>
        <w:rPr>
          <w:rFonts w:ascii="Arial" w:cs="Arial" w:eastAsia="Arial" w:hAnsi="Arial"/>
          <w:sz w:val="19"/>
          <w:szCs w:val="19"/>
          <w:color w:val="auto"/>
        </w:rPr>
        <w:t>Christina M. Ibrahim</w:t>
      </w:r>
    </w:p>
    <w:p>
      <w:pPr>
        <w:spacing w:after="0" w:line="95"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Executive Vice President, General Counsel, Chief Compliance Officer and Corporate Secretary</w:t>
      </w:r>
    </w:p>
    <w:sectPr>
      <w:pgSz w:w="12240" w:h="15840" w:orient="portrait"/>
      <w:cols w:equalWidth="0" w:num="1">
        <w:col w:w="11540"/>
      </w:cols>
      <w:pgMar w:left="120" w:top="464" w:right="5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2019-12-15T18:57:29Z</dcterms:created>
  <dcterms:modified xsi:type="dcterms:W3CDTF">2019-12-15T18:57:29Z</dcterms:modified>
</cp:coreProperties>
</file>