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10-Q</w:t>
      </w:r>
    </w:p>
    <w:p>
      <w:pPr>
        <w:spacing w:after="0" w:line="230"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2017</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48"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Ireland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CH 6340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3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650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0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5"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Non-accelerated filer (Do</w:t>
            </w:r>
          </w:p>
        </w:tc>
        <w:tc>
          <w:tcPr>
            <w:tcW w:w="2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vMerge w:val="restart"/>
          </w:tcPr>
          <w:p>
            <w:pPr>
              <w:spacing w:after="0" w:line="207" w:lineRule="exact"/>
              <w:rPr>
                <w:sz w:val="20"/>
                <w:szCs w:val="20"/>
                <w:color w:val="auto"/>
              </w:rPr>
            </w:pPr>
            <w:r>
              <w:rPr>
                <w:rFonts w:ascii="Arial" w:cs="Arial" w:eastAsia="Arial" w:hAnsi="Arial"/>
                <w:sz w:val="18"/>
                <w:szCs w:val="18"/>
                <w:color w:val="auto"/>
                <w:w w:val="96"/>
              </w:rPr>
              <w:t xml:space="preserve">Large accelerated filer </w:t>
            </w:r>
            <w:r>
              <w:rPr>
                <w:rFonts w:ascii="MS PGothic" w:cs="MS PGothic" w:eastAsia="MS PGothic" w:hAnsi="MS PGothic"/>
                <w:sz w:val="18"/>
                <w:szCs w:val="18"/>
                <w:color w:val="auto"/>
                <w:w w:val="96"/>
              </w:rPr>
              <w:t>☑</w:t>
            </w:r>
          </w:p>
        </w:tc>
        <w:tc>
          <w:tcPr>
            <w:tcW w:w="16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not check if a smaller</w:t>
            </w:r>
          </w:p>
        </w:tc>
        <w:tc>
          <w:tcPr>
            <w:tcW w:w="2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60" w:type="dxa"/>
            <w:vAlign w:val="bottom"/>
            <w:vMerge w:val="continue"/>
          </w:tcPr>
          <w:p>
            <w:pPr>
              <w:spacing w:after="0"/>
              <w:rPr>
                <w:sz w:val="21"/>
                <w:szCs w:val="21"/>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Accelerated filer o</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reporting company) o</w:t>
            </w:r>
          </w:p>
        </w:tc>
        <w:tc>
          <w:tcPr>
            <w:tcW w:w="2540" w:type="dxa"/>
            <w:vAlign w:val="bottom"/>
          </w:tcPr>
          <w:p>
            <w:pPr>
              <w:ind w:left="200"/>
              <w:spacing w:after="0"/>
              <w:rPr>
                <w:sz w:val="20"/>
                <w:szCs w:val="20"/>
                <w:color w:val="auto"/>
              </w:rPr>
            </w:pPr>
            <w:r>
              <w:rPr>
                <w:rFonts w:ascii="Arial" w:cs="Arial" w:eastAsia="Arial" w:hAnsi="Arial"/>
                <w:sz w:val="18"/>
                <w:szCs w:val="18"/>
                <w:color w:val="auto"/>
              </w:rPr>
              <w:t>Smaller reporting company o</w:t>
            </w:r>
          </w:p>
        </w:tc>
        <w:tc>
          <w:tcPr>
            <w:tcW w:w="2340" w:type="dxa"/>
            <w:vAlign w:val="bottom"/>
          </w:tcPr>
          <w:p>
            <w:pPr>
              <w:ind w:left="240"/>
              <w:spacing w:after="0"/>
              <w:rPr>
                <w:sz w:val="20"/>
                <w:szCs w:val="20"/>
                <w:color w:val="auto"/>
              </w:rPr>
            </w:pPr>
            <w:r>
              <w:rPr>
                <w:rFonts w:ascii="Arial" w:cs="Arial" w:eastAsia="Arial" w:hAnsi="Arial"/>
                <w:sz w:val="18"/>
                <w:szCs w:val="18"/>
                <w:color w:val="auto"/>
                <w:w w:val="90"/>
              </w:rPr>
              <w:t>Emerging growth company o</w:t>
            </w: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18, 2017, there were 989,035,049 shares of Weatherford ordinary shares, $0.001 par value per share, outstanding.</w:t>
      </w:r>
    </w:p>
    <w:p>
      <w:pPr>
        <w:sectPr>
          <w:pgSz w:w="11900" w:h="16838" w:orient="portrait"/>
          <w:cols w:equalWidth="0" w:num="1">
            <w:col w:w="11420"/>
          </w:cols>
          <w:pgMar w:left="240" w:top="1075" w:right="239" w:bottom="1440" w:gutter="0" w:footer="0" w:header="0"/>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Form 10-Q for the Second Quarter and Six Months Ended June 30, 2017</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16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5"/>
          </w:tcPr>
          <w:p>
            <w:pPr>
              <w:spacing w:after="0"/>
              <w:rPr>
                <w:sz w:val="20"/>
                <w:szCs w:val="20"/>
                <w:color w:val="auto"/>
              </w:rPr>
            </w:pPr>
            <w:r>
              <w:rPr>
                <w:rFonts w:ascii="Arial" w:cs="Arial" w:eastAsia="Arial" w:hAnsi="Arial"/>
                <w:sz w:val="17"/>
                <w:szCs w:val="17"/>
                <w:b w:val="1"/>
                <w:bCs w:val="1"/>
                <w:color w:val="auto"/>
                <w:w w:val="98"/>
              </w:rPr>
              <w:t>Three Months Ended June 30,</w:t>
            </w:r>
          </w:p>
        </w:tc>
        <w:tc>
          <w:tcPr>
            <w:tcW w:w="160" w:type="dxa"/>
            <w:vAlign w:val="bottom"/>
          </w:tcPr>
          <w:p>
            <w:pPr>
              <w:spacing w:after="0"/>
              <w:rPr>
                <w:sz w:val="19"/>
                <w:szCs w:val="19"/>
                <w:color w:val="auto"/>
              </w:rPr>
            </w:pPr>
          </w:p>
        </w:tc>
        <w:tc>
          <w:tcPr>
            <w:tcW w:w="2220" w:type="dxa"/>
            <w:vAlign w:val="bottom"/>
            <w:gridSpan w:val="4"/>
          </w:tcPr>
          <w:p>
            <w:pPr>
              <w:jc w:val="right"/>
              <w:ind w:right="95"/>
              <w:spacing w:after="0"/>
              <w:rPr>
                <w:sz w:val="20"/>
                <w:szCs w:val="20"/>
                <w:color w:val="auto"/>
              </w:rPr>
            </w:pPr>
            <w:r>
              <w:rPr>
                <w:rFonts w:ascii="Arial" w:cs="Arial" w:eastAsia="Arial" w:hAnsi="Arial"/>
                <w:sz w:val="17"/>
                <w:szCs w:val="17"/>
                <w:b w:val="1"/>
                <w:bCs w:val="1"/>
                <w:color w:val="auto"/>
                <w:w w:val="91"/>
              </w:rPr>
              <w:t>Six Months Ended June 30,</w:t>
            </w:r>
          </w:p>
        </w:tc>
        <w:tc>
          <w:tcPr>
            <w:tcW w:w="0" w:type="dxa"/>
            <w:vAlign w:val="bottom"/>
          </w:tcPr>
          <w:p>
            <w:pPr>
              <w:spacing w:after="0"/>
              <w:rPr>
                <w:sz w:val="1"/>
                <w:szCs w:val="1"/>
                <w:color w:val="auto"/>
              </w:rPr>
            </w:pPr>
          </w:p>
        </w:tc>
      </w:tr>
      <w:tr>
        <w:trPr>
          <w:trHeight w:val="31"/>
        </w:trPr>
        <w:tc>
          <w:tcPr>
            <w:tcW w:w="65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35"/>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Products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479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999</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1,039</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1,948</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1,363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1,402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2,749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2,987</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Products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1,095</w:t>
            </w: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Cost of Services</w:t>
            </w:r>
          </w:p>
        </w:tc>
        <w:tc>
          <w:tcPr>
            <w:tcW w:w="12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716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1,436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1,617</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Selling, General and Administrative Attributable to Segments</w:t>
            </w:r>
          </w:p>
        </w:tc>
        <w:tc>
          <w:tcPr>
            <w:tcW w:w="12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Asset Write-Downs and Other</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Restructuring Charges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Litigation Charges, Net</w:t>
            </w: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31"/>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3,894</w:t>
            </w:r>
          </w:p>
        </w:tc>
        <w:tc>
          <w:tcPr>
            <w:tcW w:w="0" w:type="dxa"/>
            <w:vAlign w:val="bottom"/>
          </w:tcPr>
          <w:p>
            <w:pPr>
              <w:spacing w:after="0"/>
              <w:rPr>
                <w:sz w:val="1"/>
                <w:szCs w:val="1"/>
                <w:color w:val="auto"/>
              </w:rPr>
            </w:pPr>
          </w:p>
        </w:tc>
      </w:tr>
      <w:tr>
        <w:trPr>
          <w:trHeight w:val="318"/>
        </w:trPr>
        <w:tc>
          <w:tcPr>
            <w:tcW w:w="6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Loss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Bond Tender Premium,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Warrant Fair Value Adjustment</w:t>
            </w:r>
          </w:p>
        </w:tc>
        <w:tc>
          <w:tcPr>
            <w:tcW w:w="12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Currency Devaluation Charges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Other Expense, Net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31"/>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Loss Before Income Taxes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(1,256)</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(Provision) Benefit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rPr>
                <w:sz w:val="20"/>
                <w:szCs w:val="20"/>
                <w:color w:val="auto"/>
              </w:rPr>
            </w:pPr>
            <w:r>
              <w:rPr>
                <w:rFonts w:ascii="Arial" w:cs="Arial" w:eastAsia="Arial" w:hAnsi="Arial"/>
                <w:sz w:val="17"/>
                <w:szCs w:val="17"/>
                <w:color w:val="auto"/>
              </w:rPr>
              <w:t>Net Loss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(1,053)</w:t>
            </w: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Net Loss Attributable to Weatherford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(1,063)</w:t>
            </w:r>
          </w:p>
        </w:tc>
        <w:tc>
          <w:tcPr>
            <w:tcW w:w="0" w:type="dxa"/>
            <w:vAlign w:val="bottom"/>
          </w:tcPr>
          <w:p>
            <w:pPr>
              <w:spacing w:after="0"/>
              <w:rPr>
                <w:sz w:val="1"/>
                <w:szCs w:val="1"/>
                <w:color w:val="auto"/>
              </w:rPr>
            </w:pPr>
          </w:p>
        </w:tc>
      </w:tr>
      <w:tr>
        <w:trPr>
          <w:trHeight w:val="311"/>
        </w:trPr>
        <w:tc>
          <w:tcPr>
            <w:tcW w:w="6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Basic &amp;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 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40"/>
              <w:spacing w:after="0"/>
              <w:rPr>
                <w:sz w:val="20"/>
                <w:szCs w:val="20"/>
                <w:color w:val="auto"/>
              </w:rPr>
            </w:pPr>
            <w:r>
              <w:rPr>
                <w:rFonts w:ascii="Arial" w:cs="Arial" w:eastAsia="Arial" w:hAnsi="Arial"/>
                <w:sz w:val="17"/>
                <w:szCs w:val="17"/>
                <w:color w:val="auto"/>
              </w:rPr>
              <w:t>Basic &amp; Diluted</w:t>
            </w:r>
          </w:p>
        </w:tc>
        <w:tc>
          <w:tcPr>
            <w:tcW w:w="12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990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899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989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49" w:right="239" w:bottom="1440" w:gutter="0" w:footer="0" w:header="0"/>
          <w:type w:val="continuous"/>
        </w:sectPr>
      </w:pPr>
    </w:p>
    <w:bookmarkStart w:id="3" w:name="page4"/>
    <w:bookmarkEnd w:id="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80" w:right="2380"/>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32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1"/>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20" w:type="dxa"/>
            <w:vAlign w:val="bottom"/>
            <w:gridSpan w:val="2"/>
          </w:tcPr>
          <w:p>
            <w:pPr>
              <w:jc w:val="center"/>
              <w:ind w:left="155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4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280" w:type="dxa"/>
            <w:vAlign w:val="bottom"/>
          </w:tcPr>
          <w:p>
            <w:pPr>
              <w:spacing w:after="0"/>
              <w:rPr>
                <w:sz w:val="23"/>
                <w:szCs w:val="23"/>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Accounts Receivable, Net of Allowance for Uncollectible Accounts of $91 in 2017 and $129 in 2016</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4,910</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Property, Plant and Equipment, Net of Accumulated Depreciation of $7,518 in 2017 and $7,362 in 2016</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4,480</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2,797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 of $836 in 2017 and $801 in 2016</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Equity Investments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97"/>
        </w:trPr>
        <w:tc>
          <w:tcPr>
            <w:tcW w:w="8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12,664</w:t>
            </w:r>
          </w:p>
        </w:tc>
      </w:tr>
      <w:tr>
        <w:trPr>
          <w:trHeight w:val="28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Liabilities Held for Sale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2,428</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765</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10,596</w:t>
            </w:r>
          </w:p>
        </w:tc>
      </w:tr>
      <w:tr>
        <w:trPr>
          <w:trHeight w:val="29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240" w:type="dxa"/>
            <w:vAlign w:val="bottom"/>
            <w:gridSpan w:val="3"/>
          </w:tcPr>
          <w:p>
            <w:pPr>
              <w:ind w:left="40"/>
              <w:spacing w:after="0"/>
              <w:rPr>
                <w:sz w:val="20"/>
                <w:szCs w:val="20"/>
                <w:color w:val="auto"/>
              </w:rPr>
            </w:pPr>
            <w:r>
              <w:rPr>
                <w:rFonts w:ascii="Arial" w:cs="Arial" w:eastAsia="Arial" w:hAnsi="Arial"/>
                <w:sz w:val="18"/>
                <w:szCs w:val="18"/>
                <w:color w:val="auto"/>
                <w:w w:val="88"/>
              </w:rPr>
              <w:t>Shares - Par Value $0.001; Authorized 1,356 shares, Issued and Outstanding 986 shares at June 30, 2017 and 983</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shares at December 31, 2016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6,571</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Retained Deficit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(2,950)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Weatherford Shareholders’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2,012</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2,068</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12,664</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32"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32" w:right="239" w:bottom="1440" w:gutter="0" w:footer="0" w:header="0"/>
          <w:type w:val="continuous"/>
        </w:sectPr>
      </w:pPr>
    </w:p>
    <w:bookmarkStart w:id="5" w:name="page6"/>
    <w:bookmarkEnd w:id="5"/>
    <w:p>
      <w:pPr>
        <w:spacing w:after="0" w:line="13" w:lineRule="exact"/>
        <w:rPr>
          <w:sz w:val="20"/>
          <w:szCs w:val="20"/>
          <w:color w:val="auto"/>
        </w:rPr>
      </w:pPr>
    </w:p>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9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499</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Share-Based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Asset Write-Downs and Other Charges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Charges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Defined Benefit Pension Plan Gains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Bond Tender Premium</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 (Benefit)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Currency Devaluation Charges</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Fair Value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Operating Assets and Liabilities, Net of Effect of Businesses Acquired: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Accrued Litigation and Settlements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64"/>
        </w:trPr>
        <w:tc>
          <w:tcPr>
            <w:tcW w:w="90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Capital Expenditures for Property, Plant and Equipment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Assets Held for Sale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Acquisition of Intellectual Property</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Proceeds Related to Asset Casualty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Proceeds from Sale of Assets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Related to Sale of Businesses,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Investing Activities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64"/>
        </w:trPr>
        <w:tc>
          <w:tcPr>
            <w:tcW w:w="90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Borrowings of Long-term Debt</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3,156</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Repayments of Short-term Debt,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(1,381)</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Ordinary Common Shares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Bond Tender Premium</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9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9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Paid, Net of Refunds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9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51" w:orient="portrait"/>
          <w:cols w:equalWidth="0" w:num="1">
            <w:col w:w="11420"/>
          </w:cols>
          <w:pgMar w:left="240" w:top="449" w:right="239" w:bottom="0" w:gutter="0" w:footer="0" w:header="0"/>
        </w:sectPr>
      </w:pPr>
    </w:p>
    <w:p>
      <w:pPr>
        <w:spacing w:after="0" w:line="299"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51" w:orient="portrait"/>
          <w:cols w:equalWidth="0" w:num="1">
            <w:col w:w="11420"/>
          </w:cols>
          <w:pgMar w:left="240" w:top="449" w:right="239" w:bottom="0" w:gutter="0" w:footer="0" w:header="0"/>
          <w:type w:val="continuous"/>
        </w:sectPr>
      </w:pPr>
    </w:p>
    <w:bookmarkStart w:id="6" w:name="page7"/>
    <w:bookmarkEnd w:id="6"/>
    <w:p>
      <w:pPr>
        <w:jc w:val="center"/>
        <w:ind w:right="-3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166" w:right="1440" w:bottom="1440" w:gutter="0" w:footer="0" w:header="0"/>
        </w:sectPr>
      </w:pPr>
    </w:p>
    <w:bookmarkStart w:id="7" w:name="page8"/>
    <w:bookmarkEnd w:id="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The accompanying unaudited Condensed Consolidated Financial Statements of Weatherford International plc (the “Company”) are prepared in accordance with generally accepted accounting principles in the United States of America (“U.S. GAAP”) and include all adjustments which, in our opinion, are considered necessary to present fairly our Condensed Consolidated Balance Sheets at June 30, 2017 and December 31, 2016, and Condensed Consolidated Statements of Operations, Condensed Consolidated Statements of Comprehensive Loss for the three and six months ended June 30, 2017 and 2016 and Condensed Consolidated Statements of Cash Flows for the six months ended June 30, 2017 and 2016. When referring to “Weatherford” and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191"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2016 included in our Annual Report on Form 10-K. The results of operations for the three and six months ended June 30, 2017 are not necessarily indicative of the results expected for the year ending December 31, 2017.</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net realizable value for inventories, equity investments, derivative financial instruments, intangible assets and goodwill, property, plant and equipment (PP&amp;E), income taxes, percentage-of-completion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prior year cash flow amounts have been reclassified to conform to the current year presentation related to the adoption of new accounting standards. Net income and shareholders’ equity were not affected by these reclassifications. See “Note 17 – New Accounting Pronouncements” for additional details.</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8" w:name="page9"/>
    <w:bookmarkEnd w:id="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second quarter of 2017, the Company changed its accounting for revenue related to an implied financing arrangement with our largest customer in Venezuela. We determined that beginning in the third quarter of 2016, the duration of time expected to collect revenue for goods and services provided to this customer significantly exceeded the contractual payment terms and represents an implied financing arrangement. Accordingly, we have modified our revenue recognition with this customer to record a discount reflecting the time value of money and accreting the discount as interest income over the expected collection period using the effective interest method. In connection with this development, the Company corrected this immaterial error for the three and six month periods ended June 30, 2017. The impact of the correction decreased revenue and increased interest income by approximately $31 million and $4 million, respectively, for the three month period ended June 30, 2017 and reduced accounts receivable by approximately $27 million as of June 30, 2017. As of June 30, 2017, to reflect the impact of payment delays and expectation that the time to collect may exceed one year, we have reclassified $150 million of our total $153 million “Accounts Receivable, Net of Allowance for Uncollectible Accounts” with this customer to “Other Non-Current Assets” on the accompanying Condensed Consolidated Balance Sheets. While we are continuing to experience delays with collections on our outstanding receivables with this customer, we believe the amounts are fully collectible.</w:t>
      </w:r>
    </w:p>
    <w:p>
      <w:pPr>
        <w:spacing w:after="0" w:line="18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This change in accounting would not have affected our compliance with financial covenants under our senior revolving and term loan credit facilities if it had been recorded in the prior periods, and the adjustment has no impact to cash flow from operating activities or any other cash flow measures.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Condensed Consolidated Statements of Operations. In the first six months of 2016, currency devaluation charges of $31 million reflected the impact of the devaluation of the Angolan kwanza. In the second quarter and first six months of 2017, we had no currency devaluation charges.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Combinations and Divestitures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Held for Sale</w:t>
      </w:r>
    </w:p>
    <w:p>
      <w:pPr>
        <w:spacing w:after="0" w:line="22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On March 24, 2017, we entered a master formation agreement with affiliates of Schlumberger Limited (“Schlumberger”) to form a joint venture named “OneStim</w:t>
      </w:r>
      <w:r>
        <w:rPr>
          <w:rFonts w:ascii="Arial" w:cs="Arial" w:eastAsia="Arial" w:hAnsi="Arial"/>
          <w:sz w:val="25"/>
          <w:szCs w:val="25"/>
          <w:color w:val="auto"/>
          <w:vertAlign w:val="superscript"/>
        </w:rPr>
        <w:t>SM</w:t>
      </w:r>
      <w:r>
        <w:rPr>
          <w:rFonts w:ascii="Arial" w:cs="Arial" w:eastAsia="Arial" w:hAnsi="Arial"/>
          <w:sz w:val="18"/>
          <w:szCs w:val="18"/>
          <w:color w:val="auto"/>
        </w:rPr>
        <w:t>,” which will provide completion products and services for the development of unconventional land reservoirs in the United States and Canada. Under the terms of the master formation agreement, both parties will contribute their respective pressure pumping assets, multistage completions, and pump-down perforating businesses on land in the lower contiguous 48 states of the United States and the provinces of British Columbia, Saskatchewan, Manitoba and Alberta in Canada. In addition, we will contribute manufacturing facilities and supply chain resources to OneStim, and Schlumberger will provide the joint venture with access to its surface and downhole technologies and advanced geo-engineered workflows. At closing, we will own a 30% equity interest in the OneStim joint venture, and Schlumberger will own 70%, and we will also receive a one-time $535 million cash payment from Schlumberger. The transaction is expected to close in the second half of 2017 and is subject to regulatory approvals and other customary closing conditions. The carrying amounts of the major classes of assets and liabilities from our North America segment to be contributed to OneStim have been classified as held for sale in the table below.</w:t>
      </w:r>
    </w:p>
    <w:p>
      <w:pPr>
        <w:spacing w:after="0" w:line="22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9" w:name="page10"/>
    <w:bookmarkEnd w:id="9"/>
    <w:tbl>
      <w:tblPr>
        <w:tblLayout w:type="fixed"/>
        <w:tblInd w:w="2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9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642"/>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912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3"/>
                <w:szCs w:val="23"/>
                <w:color w:val="auto"/>
              </w:rPr>
            </w:pPr>
          </w:p>
        </w:tc>
        <w:tc>
          <w:tcPr>
            <w:tcW w:w="15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900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Inventory, Net</w:t>
            </w: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r>
      <w:tr>
        <w:trPr>
          <w:trHeight w:val="243"/>
        </w:trPr>
        <w:tc>
          <w:tcPr>
            <w:tcW w:w="120" w:type="dxa"/>
            <w:vAlign w:val="bottom"/>
          </w:tcPr>
          <w:p>
            <w:pPr>
              <w:spacing w:after="0"/>
              <w:rPr>
                <w:sz w:val="21"/>
                <w:szCs w:val="21"/>
                <w:color w:val="auto"/>
              </w:rPr>
            </w:pPr>
          </w:p>
        </w:tc>
        <w:tc>
          <w:tcPr>
            <w:tcW w:w="9000" w:type="dxa"/>
            <w:vAlign w:val="bottom"/>
            <w:gridSpan w:val="2"/>
          </w:tcPr>
          <w:p>
            <w:pPr>
              <w:ind w:left="6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260</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120" w:type="dxa"/>
            <w:vAlign w:val="bottom"/>
            <w:tcBorders>
              <w:bottom w:val="single" w:sz="8" w:color="CCEEFF"/>
            </w:tcBorders>
            <w:shd w:val="clear" w:color="auto" w:fill="CCEEFF"/>
          </w:tcPr>
          <w:p>
            <w:pPr>
              <w:spacing w:after="0"/>
              <w:rPr>
                <w:sz w:val="23"/>
                <w:szCs w:val="23"/>
                <w:color w:val="auto"/>
              </w:rPr>
            </w:pPr>
          </w:p>
        </w:tc>
        <w:tc>
          <w:tcPr>
            <w:tcW w:w="90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r>
      <w:tr>
        <w:trPr>
          <w:trHeight w:val="297"/>
        </w:trPr>
        <w:tc>
          <w:tcPr>
            <w:tcW w:w="120" w:type="dxa"/>
            <w:vAlign w:val="bottom"/>
            <w:tcBorders>
              <w:bottom w:val="single" w:sz="8" w:color="CCEEFF"/>
            </w:tcBorders>
          </w:tcPr>
          <w:p>
            <w:pPr>
              <w:spacing w:after="0"/>
              <w:rPr>
                <w:sz w:val="24"/>
                <w:szCs w:val="24"/>
                <w:color w:val="auto"/>
              </w:rPr>
            </w:pPr>
          </w:p>
        </w:tc>
        <w:tc>
          <w:tcPr>
            <w:tcW w:w="90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902</w:t>
            </w:r>
          </w:p>
        </w:tc>
      </w:tr>
      <w:tr>
        <w:trPr>
          <w:trHeight w:val="311"/>
        </w:trPr>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912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Held for Sale:</w:t>
            </w: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120" w:type="dxa"/>
            <w:vAlign w:val="bottom"/>
          </w:tcPr>
          <w:p>
            <w:pPr>
              <w:spacing w:after="0"/>
              <w:rPr>
                <w:sz w:val="21"/>
                <w:szCs w:val="21"/>
                <w:color w:val="auto"/>
              </w:rPr>
            </w:pPr>
          </w:p>
        </w:tc>
        <w:tc>
          <w:tcPr>
            <w:tcW w:w="9000" w:type="dxa"/>
            <w:vAlign w:val="bottom"/>
            <w:gridSpan w:val="2"/>
          </w:tcPr>
          <w:p>
            <w:pPr>
              <w:ind w:left="6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120" w:type="dxa"/>
            <w:vAlign w:val="bottom"/>
            <w:tcBorders>
              <w:bottom w:val="single" w:sz="8" w:color="CCEEFF"/>
            </w:tcBorders>
            <w:shd w:val="clear" w:color="auto" w:fill="CCEEFF"/>
          </w:tcPr>
          <w:p>
            <w:pPr>
              <w:spacing w:after="0"/>
              <w:rPr>
                <w:sz w:val="23"/>
                <w:szCs w:val="23"/>
                <w:color w:val="auto"/>
              </w:rPr>
            </w:pPr>
          </w:p>
        </w:tc>
        <w:tc>
          <w:tcPr>
            <w:tcW w:w="90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57"/>
        </w:trPr>
        <w:tc>
          <w:tcPr>
            <w:tcW w:w="120" w:type="dxa"/>
            <w:vAlign w:val="bottom"/>
          </w:tcPr>
          <w:p>
            <w:pPr>
              <w:spacing w:after="0"/>
              <w:rPr>
                <w:sz w:val="22"/>
                <w:szCs w:val="22"/>
                <w:color w:val="auto"/>
              </w:rPr>
            </w:pPr>
          </w:p>
        </w:tc>
        <w:tc>
          <w:tcPr>
            <w:tcW w:w="9000" w:type="dxa"/>
            <w:vAlign w:val="bottom"/>
            <w:gridSpan w:val="2"/>
          </w:tcPr>
          <w:p>
            <w:pPr>
              <w:ind w:left="6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2017, we also had $27 million of PP&amp;E held for sale unrelated to the OneStim joint venture.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Restructuring Charges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the ongoing lower than anticipated levels of exploration and production spending, we continue to reduce our overall cost structure and workforce to better align with current activity levels. The ongoing cost reduction plans which began in 2016 (the “2016 Plan”) included a workforce reduction and other cost reduction measures initiated across our geographic regions.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2016 Plan, we recognized restructuring charges of $31 million and $106 million in the second quarter and the first six months of 2017, respectively, which include termination (severance) charges of $22 million and $56 million, respectively, and other restructuring charges of $9 million and $38 million, respectively. The first six months of 2017 also includes restructuring related asset charges of $12 million. Other restructuring charges include contract termination costs, relocation and other associated costs.</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Also in connection with the 2016 Plan, we recognized restructuring charges of $51 million and $128 million in the second quarter and the first six months of 2016, respectively, which include termination (severance) charges of $36 million and $108 million, respectively, and other restructuring charges of $15 million and $20 million, respectively. Other restructuring charges also include contract termination costs, relocation and other associated costs.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the components of restructuring charges by segment for the second quarter and the first six months of 2017 and 2016.</w:t>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Three Months Ended June 30, 2017</w:t>
            </w:r>
          </w:p>
        </w:tc>
      </w:tr>
      <w:tr>
        <w:trPr>
          <w:trHeight w:val="27"/>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66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180" w:type="dxa"/>
            <w:vAlign w:val="bottom"/>
          </w:tcPr>
          <w:p>
            <w:pPr>
              <w:spacing w:after="0"/>
              <w:rPr>
                <w:sz w:val="23"/>
                <w:szCs w:val="23"/>
                <w:color w:val="auto"/>
              </w:rPr>
            </w:pPr>
          </w:p>
        </w:tc>
        <w:tc>
          <w:tcPr>
            <w:tcW w:w="166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jc w:val="right"/>
              <w:ind w:right="141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32"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42"/>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Three Months Ended June 30, 2016</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 Plan</w:t>
            </w:r>
          </w:p>
        </w:tc>
        <w:tc>
          <w:tcPr>
            <w:tcW w:w="180" w:type="dxa"/>
            <w:vAlign w:val="bottom"/>
          </w:tcPr>
          <w:p>
            <w:pPr>
              <w:spacing w:after="0"/>
              <w:rPr>
                <w:sz w:val="23"/>
                <w:szCs w:val="23"/>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gridSpan w:val="4"/>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81"/>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4"/>
          </w:tcPr>
          <w:p>
            <w:pPr>
              <w:jc w:val="center"/>
              <w:ind w:left="1310"/>
              <w:spacing w:after="0"/>
              <w:rPr>
                <w:sz w:val="20"/>
                <w:szCs w:val="20"/>
                <w:color w:val="auto"/>
              </w:rPr>
            </w:pPr>
            <w:r>
              <w:rPr>
                <w:rFonts w:ascii="Arial" w:cs="Arial" w:eastAsia="Arial" w:hAnsi="Arial"/>
                <w:sz w:val="18"/>
                <w:szCs w:val="18"/>
                <w:b w:val="1"/>
                <w:bCs w:val="1"/>
                <w:color w:val="auto"/>
                <w:w w:val="90"/>
              </w:rPr>
              <w:t>Six Months Ended June 30, 2017</w:t>
            </w:r>
          </w:p>
        </w:tc>
        <w:tc>
          <w:tcPr>
            <w:tcW w:w="154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 Plan</w:t>
            </w:r>
          </w:p>
        </w:tc>
        <w:tc>
          <w:tcPr>
            <w:tcW w:w="180" w:type="dxa"/>
            <w:vAlign w:val="bottom"/>
          </w:tcPr>
          <w:p>
            <w:pPr>
              <w:spacing w:after="0"/>
              <w:rPr>
                <w:sz w:val="23"/>
                <w:szCs w:val="23"/>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gridSpan w:val="4"/>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81"/>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4"/>
          </w:tcPr>
          <w:p>
            <w:pPr>
              <w:jc w:val="center"/>
              <w:ind w:left="1310"/>
              <w:spacing w:after="0"/>
              <w:rPr>
                <w:sz w:val="20"/>
                <w:szCs w:val="20"/>
                <w:color w:val="auto"/>
              </w:rPr>
            </w:pPr>
            <w:r>
              <w:rPr>
                <w:rFonts w:ascii="Arial" w:cs="Arial" w:eastAsia="Arial" w:hAnsi="Arial"/>
                <w:sz w:val="18"/>
                <w:szCs w:val="18"/>
                <w:b w:val="1"/>
                <w:bCs w:val="1"/>
                <w:color w:val="auto"/>
                <w:w w:val="90"/>
              </w:rPr>
              <w:t>Six Months Ended June 30, 2016</w:t>
            </w:r>
          </w:p>
        </w:tc>
        <w:tc>
          <w:tcPr>
            <w:tcW w:w="154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 Plan</w:t>
            </w:r>
          </w:p>
        </w:tc>
        <w:tc>
          <w:tcPr>
            <w:tcW w:w="180" w:type="dxa"/>
            <w:vAlign w:val="bottom"/>
          </w:tcPr>
          <w:p>
            <w:pPr>
              <w:spacing w:after="0"/>
              <w:rPr>
                <w:sz w:val="23"/>
                <w:szCs w:val="23"/>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662"/>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jc w:val="right"/>
              <w:ind w:right="141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000"/>
          </w:cols>
          <w:pgMar w:left="460" w:top="432" w:right="439" w:bottom="1440" w:gutter="0" w:footer="0" w:header="0"/>
        </w:sectPr>
      </w:pPr>
    </w:p>
    <w:bookmarkStart w:id="11" w:name="page12"/>
    <w:bookmarkEnd w:id="1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the severance accrued as part of earlier 2014 and 2015 Plans and the 2016 Plan and other executive severance matters that will be paid pursuant to the respective arrangements and statutory requirements.</w:t>
      </w:r>
    </w:p>
    <w:p>
      <w:pPr>
        <w:spacing w:after="0" w:line="12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At June 30, 2017</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2016 Plan</w:t>
            </w:r>
          </w:p>
        </w:tc>
        <w:tc>
          <w:tcPr>
            <w:tcW w:w="240" w:type="dxa"/>
            <w:vAlign w:val="bottom"/>
          </w:tcPr>
          <w:p>
            <w:pPr>
              <w:spacing w:after="0"/>
              <w:rPr>
                <w:sz w:val="20"/>
                <w:szCs w:val="20"/>
                <w:color w:val="auto"/>
              </w:rPr>
            </w:pPr>
          </w:p>
        </w:tc>
        <w:tc>
          <w:tcPr>
            <w:tcW w:w="22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2015 and 2014 Plans</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Severance</w:t>
            </w:r>
          </w:p>
        </w:tc>
        <w:tc>
          <w:tcPr>
            <w:tcW w:w="240" w:type="dxa"/>
            <w:vAlign w:val="bottom"/>
          </w:tcPr>
          <w:p>
            <w:pPr>
              <w:spacing w:after="0"/>
              <w:rPr>
                <w:sz w:val="23"/>
                <w:szCs w:val="23"/>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23"/>
                <w:szCs w:val="23"/>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Severance</w:t>
            </w:r>
          </w:p>
        </w:tc>
        <w:tc>
          <w:tcPr>
            <w:tcW w:w="240" w:type="dxa"/>
            <w:vAlign w:val="bottom"/>
          </w:tcPr>
          <w:p>
            <w:pPr>
              <w:spacing w:after="0"/>
              <w:rPr>
                <w:sz w:val="23"/>
                <w:szCs w:val="23"/>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and Other</w:t>
            </w:r>
          </w:p>
        </w:tc>
        <w:tc>
          <w:tcPr>
            <w:tcW w:w="0" w:type="dxa"/>
            <w:vAlign w:val="bottom"/>
          </w:tcPr>
          <w:p>
            <w:pPr>
              <w:spacing w:after="0"/>
              <w:rPr>
                <w:sz w:val="1"/>
                <w:szCs w:val="1"/>
                <w:color w:val="auto"/>
              </w:rPr>
            </w:pP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Liability</w:t>
            </w:r>
          </w:p>
        </w:tc>
        <w:tc>
          <w:tcPr>
            <w:tcW w:w="24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16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492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liability activity for the first six months of 2017.</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gridSpan w:val="6"/>
          </w:tcPr>
          <w:p>
            <w:pPr>
              <w:jc w:val="right"/>
              <w:ind w:right="550"/>
              <w:spacing w:after="0"/>
              <w:rPr>
                <w:sz w:val="20"/>
                <w:szCs w:val="20"/>
                <w:color w:val="auto"/>
              </w:rPr>
            </w:pPr>
            <w:r>
              <w:rPr>
                <w:rFonts w:ascii="Arial" w:cs="Arial" w:eastAsia="Arial" w:hAnsi="Arial"/>
                <w:sz w:val="18"/>
                <w:szCs w:val="18"/>
                <w:b w:val="1"/>
                <w:bCs w:val="1"/>
                <w:color w:val="auto"/>
              </w:rPr>
              <w:t>Six Months Ended June 30, 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 2017</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2016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2015 and 2014 Plan: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Percentage-of-Completion Contracts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our long-term early production facility construction contracts in Iraq under the percentage-of-completion method. In the second quarter and the first six months of 2017, there was no change to our cumulative estimated loss from the Iraq contracts, which was $532 million as of June 30, 2017 and December 31, 2016. As of June 30, 2017, we have no claims revenue and our percentage-of-completion project estimate includes zero back charges. Our net billings in excess of costs as of June 30, 2017 were $46 million and are shown in the “Other Current Liabilities” on the accompanying Condensed Consolidated Balance Sheets.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May 26, 2016, we entered into an agreement with our customer containing the terms and conditions of the settlement on the Zubair contract which included variation order requests, claims for extension of time, payments of remaining contract milestones and new project completion timelines that resulted in relief from the liquidated damages provisions. The settlement paid to us was a gross amount of $150 million, of which we received $62 million in the second quarter of 2016, $72 million in the third quarter of 2016 and $16 million in the first quarter of 2017.</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second quarter of 2016, we recognized an estimated project income of $52 million for our Zubair contract, and in the first six months of 2016 we were break-even. Cumulative estimated losses on these projects were $532 million, project estimates included no claims revenue, $25 million in newly approved change orders and $32 million of back charges at June 30, 2016.</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9" w:right="239" w:bottom="1440" w:gutter="0" w:footer="0" w:header="0"/>
        </w:sectPr>
      </w:pPr>
    </w:p>
    <w:bookmarkStart w:id="12" w:name="page13"/>
    <w:bookmarkEnd w:id="1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Accounts Receivable Factoring and Other Receivables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In the first six months of 2017, we sold accounts receivable of $78.1 million for $77.7 million, and received cash proceeds totaling $76.6 million. The loss recognized on these sales was $0.4 million. In the first six months of 2016, we sold approximately $77 million and recognized a loss of $0.3 million. Our factoring transactions in the first six months of 2017 and 2016 were recognized as sales, and the proceeds are included as operating cash flows in our Condensed Consolidated Statements of Cash Flows.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Weatherford converted trade receivables of $65 million into a note from the customer with a face value of $65 million. The note had a three year term at a 4.625% stated interest rate. We reported the note as a trading security within “Other Current Assets” at fair value on the Condensed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ind w:left="340"/>
              <w:spacing w:after="0"/>
              <w:rPr>
                <w:sz w:val="20"/>
                <w:szCs w:val="20"/>
                <w:color w:val="auto"/>
              </w:rPr>
            </w:pPr>
            <w:r>
              <w:rPr>
                <w:rFonts w:ascii="Arial" w:cs="Arial" w:eastAsia="Arial" w:hAnsi="Arial"/>
                <w:sz w:val="18"/>
                <w:szCs w:val="18"/>
                <w:b w:val="1"/>
                <w:bCs w:val="1"/>
                <w:color w:val="auto"/>
              </w:rPr>
              <w:t>6. Inventories, Net</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460" w:type="dxa"/>
            <w:vAlign w:val="bottom"/>
          </w:tcPr>
          <w:p>
            <w:pPr>
              <w:ind w:left="340"/>
              <w:spacing w:after="0"/>
              <w:rPr>
                <w:sz w:val="20"/>
                <w:szCs w:val="20"/>
                <w:color w:val="auto"/>
              </w:rPr>
            </w:pPr>
            <w:r>
              <w:rPr>
                <w:rFonts w:ascii="Arial" w:cs="Arial" w:eastAsia="Arial" w:hAnsi="Arial"/>
                <w:sz w:val="18"/>
                <w:szCs w:val="18"/>
                <w:color w:val="auto"/>
              </w:rPr>
              <w:t>Inventories, net of reserves, by category were as follows: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r>
      <w:tr>
        <w:trPr>
          <w:trHeight w:val="237"/>
        </w:trPr>
        <w:tc>
          <w:tcPr>
            <w:tcW w:w="84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1,802</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first six months ended June 30, 2017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Europe/</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North</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MENA/</w:t>
            </w: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SSA/</w:t>
            </w:r>
          </w:p>
        </w:tc>
        <w:tc>
          <w:tcPr>
            <w:tcW w:w="180" w:type="dxa"/>
            <w:vAlign w:val="bottom"/>
          </w:tcPr>
          <w:p>
            <w:pPr>
              <w:spacing w:after="0"/>
              <w:rPr>
                <w:sz w:val="18"/>
                <w:szCs w:val="18"/>
                <w:color w:val="auto"/>
              </w:rPr>
            </w:pPr>
          </w:p>
        </w:tc>
        <w:tc>
          <w:tcPr>
            <w:tcW w:w="9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Latin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Asia Pacific</w:t>
            </w:r>
          </w:p>
        </w:tc>
        <w:tc>
          <w:tcPr>
            <w:tcW w:w="18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4"/>
              </w:rPr>
              <w:t>Russia</w:t>
            </w:r>
          </w:p>
        </w:tc>
        <w:tc>
          <w:tcPr>
            <w:tcW w:w="180" w:type="dxa"/>
            <w:vAlign w:val="bottom"/>
          </w:tcPr>
          <w:p>
            <w:pPr>
              <w:spacing w:after="0"/>
              <w:rPr>
                <w:sz w:val="20"/>
                <w:szCs w:val="20"/>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8"/>
              </w:rPr>
              <w:t>America</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288</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Reclassification to assets held for sale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3"/>
              </w:rPr>
              <w:t>287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8. Short-term Borrowings and Other Debt Obligations</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short-term bank loans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Current portion of long-term debt and term loan agreement</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39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3" w:name="page14"/>
    <w:bookmarkEnd w:id="1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 and Secured Term Loan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April 17, 2017, we amended our revolving credit facility (the “Revolving Credit Agreement”) and our secured term loan agreement (the “Term Loan Agreement” and collectively with the Revolving Credit Agreement, the “Credit Agreements”). We modified the definition of consolidated adjusted earnings before interest, tax depreciation and amortization set forth in the Credit Agreements, as well as other definitional and covenant modifications, and reduced total commitments under the Revolving Credit Agreement from $1.38 billion to $1.199 billion. As of June 30, 2017, we had total commitments under the Revolving Credit Agreement of $1.199 billion and borrowings of $400 million under the Term Loan Agreement. At June 30, 2017, we had $1.1 billion available under the Credit Agreements, and there were $73 million in outstanding letters of credit.</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lenders that previously extended their commitments (“extending lenders”), the Revolving Credit Agreement matures in July of 2019. For lenders that did not extend their commitments (such lenders, representing $199 million, the “non-extending lenders”), the Revolving Credit Agreement matured in July of 2017, which will further reduce total commitments under the Revolving Credit Agreement to $1.0 billion in the third quarter of 2017. The Term Loan Agreement matures in July of 2020.</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Loans under the Credit Agreements are subject to varying interest rates based on whether the loan is Eurodollar loan or an alternate base rate loan. We also incur a quarterly facility fee on the amount of the Revolving Credit Agreement. For the three months ended June 30, 2017, the interest rate for the Revolving Credit Agreement was LIBOR plus a margin rate of 2.80%. For the three months ended June 30, 2017, the interest rate for the Term Loan Agreement was LIBOR plus a margin rate of 2.30%.</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Credit Agreements contain customary events of default, including our failure to comply with our financial covenants. We must maintain a leverage ratio of no greater than 2.5 to 1, a leverage and letters of credit ratio of no greater than 3.5 to 1 and an asset coverage ratio of at least 4.0 to 1. As of June 30, 2017, we were in compliance with these financial covenants.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26, 2017, we issued an additional $250 million aggregate principal amount of our 9.875% senior notes due 2024 (“Notes”) and received proceeds, net of underwriting fees, of $251 million. These Notes were issued as additional securities under an indenture pursuant to which we previously issued $540 million aggregate principal amount of our 9.875% senior notes due 2024.</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short-term borrowings with various domestic and international institutions pursuant to uncommitted credit facilities. At June 30, 2017, we had $7 million in short-term borrowings under these arrangements. In addition, we had $436 million of letters of credit under various uncommitted facilities, of which $69 million has been cash collateralized (included in “Cash and Cash Equivalents” in the accompanying Condensed Consolidated Balance Sheets), and $61 million of surety bonds, primarily performance bonds, issued by financial sureties against an indemnification from us at June 30, 2017.</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2017, we repaid $88 million of our 6.35% Senior Notes on the maturity date. At June 30, 2017, the current portion of long-term debt was primarily related to $66 million of our 6.00% Senior Notes due March 2018, the $50 million current portion of our Term Loan Agreement and $29 million of current portion of capital leases and other debt.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10 – Derivative Instruments”, we had no other material assets or liabilities measured and recognized at fair value on a recurring basis at June 30, 2017 and December 31, 2016.</w:t>
      </w:r>
    </w:p>
    <w:p>
      <w:pPr>
        <w:spacing w:after="0" w:line="200" w:lineRule="exact"/>
        <w:rPr>
          <w:sz w:val="20"/>
          <w:szCs w:val="20"/>
          <w:color w:val="auto"/>
        </w:rPr>
      </w:pPr>
    </w:p>
    <w:p>
      <w:pPr>
        <w:spacing w:after="0" w:line="20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4" w:name="page15"/>
    <w:bookmarkEnd w:id="1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cash and cash equivalents, accounts receivable, accounts payable, short-term borrowings and long-term debt. The carrying value of our cash and cash equivalents, accounts receivable, accounts payable, short-term borrowings approximates their fair value due to their short maturities.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6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9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8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June 30, 2017</w:t>
            </w:r>
          </w:p>
        </w:tc>
        <w:tc>
          <w:tcPr>
            <w:tcW w:w="2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6,739</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16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7,203</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7,028</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2016, in conjunction with the issuance of 84.5 million ordinary shares, we also issued a warrant that gives the holder the option to acquire an additional 84.5 million ordinary shares. The exercise price on the warrant is $6.43 per share and is exercisable any time prior to May 21, 2019. The warrant is classified as a liability and carried at fair value with changes in its fair value reported through earnings. The warrant participates in dividends and other distributions as if the shares subject to the warrants were outstanding. In addition, the warrant permits early redemption due to a change in control.</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warrant fair value is considered a Level 3 valuation and is estimated using a combination of the Black Scholes option valuation model and Monte-Carlo simulation. Inputs to these models include Weatherford’s share price, volatility and the risk free interest rate. The valuation also considers the probabilities of future share issuances and anticipated issuance discounts, which are considered Level 3 inputs. The fair value of the warrant was $156 million on December 31, 2016 and $91 million on June 30, 2017, generating an unrealized gain of $127 million for the second quarter of 2017 and $65 million for the first six months of 2017. The change in fair value of the warrant was principally due to a decrease in Weatherford’s stock price during the first six months of 2017. The warrant valuation would be negatively affected due to an increase in the likelihood of a future share issuance.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fixed-rate debt. The interest rate swap is recorded at fair value with changes in fair value recorded in earnings. The carrying value of fixed-rate debt is also adjusted for changes in interest rates, with the changes in value recorded in earnings. After termination of the hedge, any discount or premium on the fixed-rate debt is amortized to interest expense over the remaining term of the debt. As of June 30, 2017, we did not have any fair value hedge designated.</w:t>
      </w: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9" w:right="239" w:bottom="1440" w:gutter="0" w:footer="0" w:header="0"/>
        </w:sectPr>
      </w:pPr>
    </w:p>
    <w:bookmarkStart w:id="15" w:name="page16"/>
    <w:bookmarkEnd w:id="1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2017, we had net unamortized premiums on fixed-rate debt of $5 million associated with fair value hedge terminations. These premiums are being amortized over the remaining term of the originally hedged debt as a reduction in interest expense included in “Interest Expense, Net” on the accompanying Condensed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Income (Loss)” to interest expense over the remaining term of the debt. As of June 30, 2017, we had net unamortized losses of $9 million associated with our cash flow hedge terminations. As of June 30, 2017, we did not have any cash flow hedges designated.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and Warrant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June 30, 2017 and December 31, 2016, we had outstanding foreign currency forward contracts with notional amounts aggregating to $1.2 billion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each period in “Other Expense, Net” on the accompanying Condensed Consolidated Statements of Operations. The total estimated fair values of our foreign currency forward contracts and warrant derivative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2017</w:t>
            </w: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2016</w:t>
            </w:r>
          </w:p>
        </w:tc>
        <w:tc>
          <w:tcPr>
            <w:tcW w:w="2840" w:type="dxa"/>
            <w:vAlign w:val="bottom"/>
          </w:tcPr>
          <w:p>
            <w:pPr>
              <w:ind w:left="90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97"/>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Current Liabilities</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Warrant on Weatherford Shares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Non-current Liabilities</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Condensed Consolidated Statements of Operations is in the table below.</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Arial" w:cs="Arial" w:eastAsia="Arial" w:hAnsi="Arial"/>
                <w:sz w:val="18"/>
                <w:szCs w:val="18"/>
                <w:b w:val="1"/>
                <w:bCs w:val="1"/>
                <w:color w:val="auto"/>
                <w:w w:val="99"/>
              </w:rPr>
              <w:t>Three Months Ended June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79"/>
              </w:rPr>
              <w:t>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Six Months Ended June 30,</w:t>
            </w:r>
          </w:p>
        </w:tc>
        <w:tc>
          <w:tcPr>
            <w:tcW w:w="3080" w:type="dxa"/>
            <w:vAlign w:val="bottom"/>
          </w:tcPr>
          <w:p>
            <w:pPr>
              <w:spacing w:after="0"/>
              <w:rPr>
                <w:sz w:val="20"/>
                <w:szCs w:val="20"/>
                <w:color w:val="auto"/>
              </w:rPr>
            </w:pPr>
          </w:p>
        </w:tc>
      </w:tr>
      <w:tr>
        <w:trPr>
          <w:trHeight w:val="27"/>
        </w:trPr>
        <w:tc>
          <w:tcPr>
            <w:tcW w:w="34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37"/>
        </w:trPr>
        <w:tc>
          <w:tcPr>
            <w:tcW w:w="34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80" w:type="dxa"/>
            <w:vAlign w:val="bottom"/>
          </w:tcPr>
          <w:p>
            <w:pPr>
              <w:ind w:left="102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Other Expense, Net</w:t>
            </w:r>
          </w:p>
        </w:tc>
      </w:tr>
      <w:tr>
        <w:trPr>
          <w:trHeight w:val="243"/>
        </w:trPr>
        <w:tc>
          <w:tcPr>
            <w:tcW w:w="3420" w:type="dxa"/>
            <w:vAlign w:val="bottom"/>
            <w:gridSpan w:val="2"/>
          </w:tcPr>
          <w:p>
            <w:pPr>
              <w:ind w:left="160"/>
              <w:spacing w:after="0"/>
              <w:rPr>
                <w:sz w:val="20"/>
                <w:szCs w:val="20"/>
                <w:color w:val="auto"/>
              </w:rPr>
            </w:pPr>
            <w:r>
              <w:rPr>
                <w:rFonts w:ascii="Arial" w:cs="Arial" w:eastAsia="Arial" w:hAnsi="Arial"/>
                <w:sz w:val="18"/>
                <w:szCs w:val="18"/>
                <w:color w:val="auto"/>
              </w:rPr>
              <w:t>Warrant on Weatherford Shares</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7"/>
                <w:szCs w:val="17"/>
                <w:i w:val="1"/>
                <w:iCs w:val="1"/>
                <w:color w:val="auto"/>
              </w:rPr>
              <w:t>Warrant Fair Value Adjustment</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and pre-tax losses for which no benefit has been recognized) for the reporting period. For the three month and six month periods ended June 30, 2017, we determined that since small changes in estimated ordinary annual income would result in significant changes in the estimated annual effective tax rate, the use of a discrete effective tax rate is appropriate for the current quarter. The discrete method treats the year-to-date period as if it was the annual period and determines the income tax expense or benefit on that basis. We will use this method each quarter until the annual effective tax rate method is deemed appropriate. For the second quarter and the first six months of 2017, we had a tax expense of $17 million and $50 million, respectively, on a loss before income taxes of $148 million and $558 million, respectively. Results for the second quarter and the</w:t>
      </w:r>
    </w:p>
    <w:p>
      <w:pPr>
        <w:spacing w:after="0" w:line="20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6" w:name="page17"/>
    <w:bookmarkEnd w:id="1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six months of 2017 include losses with no significant tax benefit. The tax expense for the second quarter and the first six months of 2017 also includes withholding taxes and deemed profit taxes that do not directly correlate to ordinary income or loss.</w:t>
      </w:r>
    </w:p>
    <w:p>
      <w:pPr>
        <w:spacing w:after="0" w:line="170"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$10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For both the second quarter and the first six months of 2016, we had a tax benefit of $102 million and $203 million, respectively, on a loss before income taxes of $664 million and $1.26 billion, respectively. Our results for the second quarter of 2016 include charges with no significant tax benefit principally related to $75 million of settlement charges, $78 million of bond tender premium, and $84 million of a note adjustment related to our largest customer in Venezuela, partially offset by $52 million of Zubair project gain with no significant tax expense. Our results for the first six months of 2016 include charges with no significant tax benefit principally related to $140 million of settlement charges, $31 million of currency devaluation related to the Angolan kwanza, $78 million of bond tender premium, and $84 million related to a note adjustment for our largest customer in Venezuela.</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shareholders’ equity activity for the first six months of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Par Value of</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 in</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9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Issued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Excess of Par</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Shares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Issuance of Exchangeable Notes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June 30, 2016</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71"/>
        </w:trPr>
        <w:tc>
          <w:tcPr>
            <w:tcW w:w="3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2017</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2016, we issued 115 million ordinary shares, and the amount in excess of par value of $623 million is reported in “Capital in Excess of Par Value” on the accompanying Condensed Consolidated Balance Sheets.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7, 2016, we issued exchangeable notes with a par value of $1.265 billion. The exchange feature carrying value of $97 million is included in the line captioned “Capital in Excess of Par Value” on the accompanying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7" w:name="page18"/>
    <w:bookmarkEnd w:id="1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accumulated other comprehensive loss by component for the second quarter of 2017 and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Defined Benefit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Deferred Loss 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Derivatives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Defined benefit pension reclassifications relate to amortization of unrecognized net gains associated primarily with our supplemental executive retirement plan.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adjusted for the dilutive effect of our stock options, restricted shares and performance share units. The following table presents our basic and diluted weighted average shares outstanding for the second quarter and the first six months of 2017 and 2016:</w:t>
      </w:r>
    </w:p>
    <w:p>
      <w:pPr>
        <w:spacing w:after="0" w:line="130"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 June</w:t>
            </w:r>
          </w:p>
        </w:tc>
      </w:tr>
      <w:tr>
        <w:trPr>
          <w:trHeight w:val="234"/>
        </w:trPr>
        <w:tc>
          <w:tcPr>
            <w:tcW w:w="5280" w:type="dxa"/>
            <w:vAlign w:val="bottom"/>
          </w:tcPr>
          <w:p>
            <w:pPr>
              <w:spacing w:after="0"/>
              <w:rPr>
                <w:sz w:val="20"/>
                <w:szCs w:val="20"/>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10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w w:val="87"/>
              </w:rPr>
              <w:t>30,</w:t>
            </w:r>
          </w:p>
        </w:tc>
      </w:tr>
      <w:tr>
        <w:trPr>
          <w:trHeight w:val="27"/>
        </w:trPr>
        <w:tc>
          <w:tcPr>
            <w:tcW w:w="5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2016</w:t>
            </w:r>
          </w:p>
        </w:tc>
      </w:tr>
      <w:tr>
        <w:trPr>
          <w:trHeight w:val="27"/>
        </w:trPr>
        <w:tc>
          <w:tcPr>
            <w:tcW w:w="5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856</w:t>
            </w:r>
          </w:p>
        </w:tc>
      </w:tr>
      <w:tr>
        <w:trPr>
          <w:trHeight w:val="27"/>
        </w:trPr>
        <w:tc>
          <w:tcPr>
            <w:tcW w:w="5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basic and diluted weighted average shares outstanding for the periods presented are equivalent due to the net loss attributable to shareholders. Diluted weighted average shares outstanding for the second quarter and the first six months of 2017 and 2016 exclude potential shares for stock options, restricted shares, performance share units, exchangeable notes, warrant outstanding and the Employee Stock Purchase Plan as we have net losses for those periods, and their inclusion would be anti-dilutive. The following table presents the number of anti-dilutive shares excluded for the second quarter and the first six months of 2017 and 2016:</w:t>
      </w:r>
    </w:p>
    <w:p>
      <w:pPr>
        <w:spacing w:after="0" w:line="130"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 June</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10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w w:val="87"/>
              </w:rPr>
              <w:t>30,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2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2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106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394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8" w:name="page19"/>
    <w:bookmarkEnd w:id="1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the following employee share-based compensation expense during the second quarter and the first six months of 2017 and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r>
    </w:tbl>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first six months of 2017, we granted to certain employees approximately 2.9 million performance share units that will vest with continued employment if the Company meets certain market-based performance goals. The performance share units have a weighted average grant date fair value of $6.26 per share based on the Monte Carlo simulation method. The assumptions used in the Monte Carlo simulation included a weighted average risk-free rate of 1.16%, volatility of 67% and a zero dividend yield. As of June 30, 2017, there was $16 million of unrecognized compensation expense related to our performance share units. This cost is expected to be recognized over a weighted average period of 2 years.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six months of 2017, we also granted 3.9 million restricted share units at a weighted average grant date fair value of $5.38 per share. As of June 30, 2017, there was $68 million of unrecognized compensation expense related to our unvested restricted share grants. This cost is expected to be recognized over a weighted average period of 2 years.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Form 10-K.</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4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1"/>
              </w:rPr>
              <w:t>Three Months Ended June 30, 2017</w:t>
            </w:r>
          </w:p>
        </w:tc>
        <w:tc>
          <w:tcPr>
            <w:tcW w:w="15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Income (Loss)</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from</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Revenues</w:t>
            </w: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Operations</w:t>
            </w:r>
          </w:p>
        </w:tc>
        <w:tc>
          <w:tcPr>
            <w:tcW w:w="380" w:type="dxa"/>
            <w:vAlign w:val="bottom"/>
          </w:tcPr>
          <w:p>
            <w:pPr>
              <w:spacing w:after="0"/>
              <w:rPr>
                <w:sz w:val="20"/>
                <w:szCs w:val="20"/>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70"/>
        </w:trPr>
        <w:tc>
          <w:tcPr>
            <w:tcW w:w="53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Asset Write-Downs and Other</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500" w:hanging="330"/>
        <w:spacing w:after="0" w:line="261"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discussed in “Note 1 – General”, in the second quarter of 2017, the Company changed its accounting for revenue related to an implied financing arrangement with our largest customer in Venezuela. The total impact of this change in the second quarter of 2017 related to prior periods is a reduction in revenues and income from operations of approximately $31 million: $8 million for the first quarter of 2017 and $23 million for the second half of 2016.</w:t>
      </w:r>
    </w:p>
    <w:p>
      <w:pPr>
        <w:spacing w:after="0" w:line="20" w:lineRule="exact"/>
        <w:rPr>
          <w:rFonts w:ascii="Arial" w:cs="Arial" w:eastAsia="Arial" w:hAnsi="Arial"/>
          <w:sz w:val="16"/>
          <w:szCs w:val="16"/>
          <w:color w:val="auto"/>
        </w:rPr>
      </w:pPr>
    </w:p>
    <w:p>
      <w:pPr>
        <w:ind w:left="500" w:right="20" w:hanging="330"/>
        <w:spacing w:after="0" w:line="275"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restructuring charges of $31 million: $8 million in Europe/SSA/Russia, $8 million in Latin America, $8 million in North America, $5 million in MENA/Asia Pacific, $1 million in Corporate and Research and Development, and $1 million in Land Drilling Rigs.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9" w:name="page20"/>
    <w:bookmarkEnd w:id="19"/>
    <w:tbl>
      <w:tblPr>
        <w:tblLayout w:type="fixed"/>
        <w:tblInd w:w="320" w:type="dxa"/>
        <w:tblCellMar>
          <w:top w:w="0" w:type="dxa"/>
          <w:left w:w="0" w:type="dxa"/>
          <w:bottom w:w="0" w:type="dxa"/>
          <w:right w:w="0" w:type="dxa"/>
        </w:tblCellMar>
      </w:tblPr>
      <w:tr>
        <w:trPr>
          <w:trHeight w:val="207"/>
        </w:trPr>
        <w:tc>
          <w:tcPr>
            <w:tcW w:w="5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42"/>
        </w:trPr>
        <w:tc>
          <w:tcPr>
            <w:tcW w:w="126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40" w:type="dxa"/>
            <w:vAlign w:val="bottom"/>
            <w:gridSpan w:val="6"/>
          </w:tcPr>
          <w:p>
            <w:pPr>
              <w:jc w:val="center"/>
              <w:ind w:left="1110"/>
              <w:spacing w:after="0"/>
              <w:rPr>
                <w:sz w:val="20"/>
                <w:szCs w:val="20"/>
                <w:color w:val="auto"/>
              </w:rPr>
            </w:pPr>
            <w:r>
              <w:rPr>
                <w:rFonts w:ascii="Arial" w:cs="Arial" w:eastAsia="Arial" w:hAnsi="Arial"/>
                <w:sz w:val="18"/>
                <w:szCs w:val="18"/>
                <w:b w:val="1"/>
                <w:bCs w:val="1"/>
                <w:color w:val="auto"/>
                <w:w w:val="90"/>
              </w:rPr>
              <w:t>Three Months Ended June 30, 2016</w:t>
            </w:r>
          </w:p>
        </w:tc>
        <w:tc>
          <w:tcPr>
            <w:tcW w:w="1500" w:type="dxa"/>
            <w:vAlign w:val="bottom"/>
          </w:tcPr>
          <w:p>
            <w:pPr>
              <w:spacing w:after="0"/>
              <w:rPr>
                <w:sz w:val="24"/>
                <w:szCs w:val="24"/>
                <w:color w:val="auto"/>
              </w:rPr>
            </w:pP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26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Income (Loss)</w:t>
            </w:r>
          </w:p>
        </w:tc>
        <w:tc>
          <w:tcPr>
            <w:tcW w:w="380" w:type="dxa"/>
            <w:vAlign w:val="bottom"/>
          </w:tcPr>
          <w:p>
            <w:pPr>
              <w:spacing w:after="0"/>
              <w:rPr>
                <w:sz w:val="18"/>
                <w:szCs w:val="18"/>
                <w:color w:val="auto"/>
              </w:rPr>
            </w:pPr>
          </w:p>
        </w:tc>
        <w:tc>
          <w:tcPr>
            <w:tcW w:w="150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2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380" w:type="dxa"/>
            <w:vAlign w:val="bottom"/>
          </w:tcPr>
          <w:p>
            <w:pPr>
              <w:spacing w:after="0"/>
              <w:rPr>
                <w:sz w:val="18"/>
                <w:szCs w:val="18"/>
                <w:color w:val="auto"/>
              </w:rPr>
            </w:pPr>
          </w:p>
        </w:tc>
        <w:tc>
          <w:tcPr>
            <w:tcW w:w="150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51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380" w:type="dxa"/>
            <w:vAlign w:val="bottom"/>
          </w:tcPr>
          <w:p>
            <w:pPr>
              <w:spacing w:after="0"/>
              <w:rPr>
                <w:sz w:val="20"/>
                <w:szCs w:val="20"/>
                <w:color w:val="auto"/>
              </w:rPr>
            </w:pPr>
          </w:p>
        </w:tc>
        <w:tc>
          <w:tcPr>
            <w:tcW w:w="1500" w:type="dxa"/>
            <w:vAlign w:val="bottom"/>
          </w:tcPr>
          <w:p>
            <w:pPr>
              <w:jc w:val="center"/>
              <w:ind w:right="29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12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1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Asset Write-Downs and Other Charges </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51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Litigation Charges, Net</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57"/>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249</w:t>
            </w:r>
          </w:p>
        </w:tc>
      </w:tr>
      <w:tr>
        <w:trPr>
          <w:trHeight w:val="20"/>
        </w:trPr>
        <w:tc>
          <w:tcPr>
            <w:tcW w:w="1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80" w:hanging="330"/>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$84 million to adjust a note from our largest customer in Venezuela to fair value and other impairments and write-offs of $70 million.</w:t>
      </w:r>
    </w:p>
    <w:p>
      <w:pPr>
        <w:spacing w:after="0" w:line="19" w:lineRule="exact"/>
        <w:rPr>
          <w:rFonts w:ascii="Arial" w:cs="Arial" w:eastAsia="Arial" w:hAnsi="Arial"/>
          <w:sz w:val="16"/>
          <w:szCs w:val="16"/>
          <w:color w:val="auto"/>
        </w:rPr>
      </w:pPr>
    </w:p>
    <w:p>
      <w:pPr>
        <w:ind w:left="480" w:right="20" w:hanging="330"/>
        <w:spacing w:after="0" w:line="257"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restructuring charges of $51 million: $15 million in North America, $10 million in Europe/SSA/Russia, $12 million in Latin America, $11 million in MENA/Asia Pacific, $2 million in Corporate and Research and Development, and $1 million in Land Drilling Rigs.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80" w:type="dxa"/>
            <w:vAlign w:val="bottom"/>
            <w:gridSpan w:val="6"/>
          </w:tcPr>
          <w:p>
            <w:pPr>
              <w:jc w:val="center"/>
              <w:ind w:left="1210"/>
              <w:spacing w:after="0"/>
              <w:rPr>
                <w:sz w:val="20"/>
                <w:szCs w:val="20"/>
                <w:color w:val="auto"/>
              </w:rPr>
            </w:pPr>
            <w:r>
              <w:rPr>
                <w:rFonts w:ascii="Arial" w:cs="Arial" w:eastAsia="Arial" w:hAnsi="Arial"/>
                <w:sz w:val="18"/>
                <w:szCs w:val="18"/>
                <w:b w:val="1"/>
                <w:bCs w:val="1"/>
                <w:color w:val="auto"/>
                <w:w w:val="89"/>
              </w:rPr>
              <w:t>Six Months Ended June 30, 2017</w:t>
            </w:r>
          </w:p>
        </w:tc>
        <w:tc>
          <w:tcPr>
            <w:tcW w:w="162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Income (Loss)</w:t>
            </w:r>
          </w:p>
        </w:tc>
        <w:tc>
          <w:tcPr>
            <w:tcW w:w="320" w:type="dxa"/>
            <w:vAlign w:val="bottom"/>
          </w:tcPr>
          <w:p>
            <w:pPr>
              <w:spacing w:after="0"/>
              <w:rPr>
                <w:sz w:val="18"/>
                <w:szCs w:val="18"/>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from</w:t>
            </w:r>
          </w:p>
        </w:tc>
        <w:tc>
          <w:tcPr>
            <w:tcW w:w="320" w:type="dxa"/>
            <w:vAlign w:val="bottom"/>
          </w:tcPr>
          <w:p>
            <w:pPr>
              <w:spacing w:after="0"/>
              <w:rPr>
                <w:sz w:val="18"/>
                <w:szCs w:val="18"/>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Revenues</w:t>
            </w: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Operations</w:t>
            </w:r>
          </w:p>
        </w:tc>
        <w:tc>
          <w:tcPr>
            <w:tcW w:w="320" w:type="dxa"/>
            <w:vAlign w:val="bottom"/>
          </w:tcPr>
          <w:p>
            <w:pPr>
              <w:spacing w:after="0"/>
              <w:rPr>
                <w:sz w:val="20"/>
                <w:szCs w:val="20"/>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r>
      <w:tr>
        <w:trPr>
          <w:trHeight w:val="270"/>
        </w:trPr>
        <w:tc>
          <w:tcPr>
            <w:tcW w:w="53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Asset Write-Downs and Other</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480" w:hanging="330"/>
        <w:spacing w:after="0" w:line="261"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discussed in “Note 1 – General”, in the second quarter of 2017, the Company changed its accounting for revenue related to an implied financing arrangement with our largest customer in Venezuela. The total impact of this change for the first six months of 2017 related to prior periods is a reduction in revenues and income from operations of approximately $23 million for the second half of 2016.</w:t>
      </w:r>
    </w:p>
    <w:p>
      <w:pPr>
        <w:spacing w:after="0" w:line="20" w:lineRule="exact"/>
        <w:rPr>
          <w:rFonts w:ascii="Arial" w:cs="Arial" w:eastAsia="Arial" w:hAnsi="Arial"/>
          <w:sz w:val="16"/>
          <w:szCs w:val="16"/>
          <w:color w:val="auto"/>
        </w:rPr>
      </w:pPr>
    </w:p>
    <w:p>
      <w:pPr>
        <w:ind w:left="480" w:hanging="330"/>
        <w:spacing w:after="0" w:line="275"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restructuring charges of $106 million: $29 million in Europe/SSA/Russia, $27 million in Corporate and Research and Development, $23 million in North America, $16 million in Latin America, $9 million in MENA/Asia Pacific, and $2 million in Land Drilling Rigs.</w:t>
      </w:r>
    </w:p>
    <w:p>
      <w:pPr>
        <w:spacing w:after="0" w:line="38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432" w:right="239" w:bottom="1440" w:gutter="0" w:footer="0" w:header="0"/>
        </w:sectPr>
      </w:pPr>
    </w:p>
    <w:bookmarkStart w:id="20" w:name="page21"/>
    <w:bookmarkEnd w:id="20"/>
    <w:tbl>
      <w:tblPr>
        <w:tblLayout w:type="fixed"/>
        <w:tblInd w:w="340" w:type="dxa"/>
        <w:tblCellMar>
          <w:top w:w="0" w:type="dxa"/>
          <w:left w:w="0" w:type="dxa"/>
          <w:bottom w:w="0" w:type="dxa"/>
          <w:right w:w="0" w:type="dxa"/>
        </w:tblCellMar>
      </w:tblPr>
      <w:tr>
        <w:trPr>
          <w:trHeight w:val="207"/>
        </w:trPr>
        <w:tc>
          <w:tcPr>
            <w:tcW w:w="5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6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gridSpan w:val="6"/>
          </w:tcPr>
          <w:p>
            <w:pPr>
              <w:jc w:val="center"/>
              <w:ind w:left="1170"/>
              <w:spacing w:after="0"/>
              <w:rPr>
                <w:sz w:val="20"/>
                <w:szCs w:val="20"/>
                <w:color w:val="auto"/>
              </w:rPr>
            </w:pPr>
            <w:r>
              <w:rPr>
                <w:rFonts w:ascii="Arial" w:cs="Arial" w:eastAsia="Arial" w:hAnsi="Arial"/>
                <w:sz w:val="18"/>
                <w:szCs w:val="18"/>
                <w:b w:val="1"/>
                <w:bCs w:val="1"/>
                <w:color w:val="auto"/>
                <w:w w:val="90"/>
              </w:rPr>
              <w:t>Six Months Ended June 30, 2016</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26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Income (Loss)</w:t>
            </w:r>
          </w:p>
        </w:tc>
        <w:tc>
          <w:tcPr>
            <w:tcW w:w="320" w:type="dxa"/>
            <w:vAlign w:val="bottom"/>
          </w:tcPr>
          <w:p>
            <w:pPr>
              <w:spacing w:after="0"/>
              <w:rPr>
                <w:sz w:val="18"/>
                <w:szCs w:val="18"/>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Depreciation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2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320" w:type="dxa"/>
            <w:vAlign w:val="bottom"/>
          </w:tcPr>
          <w:p>
            <w:pPr>
              <w:spacing w:after="0"/>
              <w:rPr>
                <w:sz w:val="18"/>
                <w:szCs w:val="18"/>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and</w:t>
            </w:r>
          </w:p>
        </w:tc>
        <w:tc>
          <w:tcPr>
            <w:tcW w:w="0" w:type="dxa"/>
            <w:vAlign w:val="bottom"/>
          </w:tcPr>
          <w:p>
            <w:pPr>
              <w:spacing w:after="0"/>
              <w:rPr>
                <w:sz w:val="1"/>
                <w:szCs w:val="1"/>
                <w:color w:val="auto"/>
              </w:rPr>
            </w:pPr>
          </w:p>
        </w:tc>
      </w:tr>
      <w:tr>
        <w:trPr>
          <w:trHeight w:val="234"/>
        </w:trPr>
        <w:tc>
          <w:tcPr>
            <w:tcW w:w="51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32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1"/>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Asset Write-Downs and Other Charges </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260" w:type="dxa"/>
            <w:vAlign w:val="bottom"/>
            <w:tcBorders>
              <w:bottom w:val="single" w:sz="8" w:color="CCEEFF"/>
            </w:tcBorders>
            <w:shd w:val="clear" w:color="auto" w:fill="CCEEFF"/>
          </w:tcPr>
          <w:p>
            <w:pPr>
              <w:spacing w:after="0"/>
              <w:rPr>
                <w:sz w:val="10"/>
                <w:szCs w:val="10"/>
                <w:color w:val="auto"/>
              </w:rPr>
            </w:pPr>
          </w:p>
        </w:tc>
        <w:tc>
          <w:tcPr>
            <w:tcW w:w="39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1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Litigation Charges, Net</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line="275"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$84 million to adjust a note from our largest customer in Venezuela to fair value, $92 million related to impairments, write-offs and other charges and $35 million of pressure pumping related charges.</w:t>
      </w:r>
    </w:p>
    <w:p>
      <w:pPr>
        <w:spacing w:after="0" w:line="10" w:lineRule="exact"/>
        <w:rPr>
          <w:rFonts w:ascii="Arial" w:cs="Arial" w:eastAsia="Arial" w:hAnsi="Arial"/>
          <w:sz w:val="16"/>
          <w:szCs w:val="16"/>
          <w:color w:val="auto"/>
        </w:rPr>
      </w:pPr>
    </w:p>
    <w:p>
      <w:pPr>
        <w:ind w:left="500" w:hanging="330"/>
        <w:spacing w:after="0" w:line="275"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restructuring charges of $128 million: $39 million in North America, $27 million in Latin America, $25 million in Europe/SSA/Russia, $20 million in MENA/Asia Pacific, $12 million in Corporate and Research and Development and $5 million in Land Drilling Rigs.</w:t>
      </w:r>
    </w:p>
    <w:p>
      <w:pPr>
        <w:spacing w:after="0" w:line="164" w:lineRule="exact"/>
        <w:rPr>
          <w:rFonts w:ascii="Arial" w:cs="Arial" w:eastAsia="Arial" w:hAnsi="Arial"/>
          <w:sz w:val="16"/>
          <w:szCs w:val="16"/>
          <w:color w:val="auto"/>
        </w:rPr>
      </w:pPr>
    </w:p>
    <w:p>
      <w:pPr>
        <w:ind w:left="600" w:hanging="268"/>
        <w:spacing w:after="0"/>
        <w:tabs>
          <w:tab w:leader="none" w:pos="60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Arial" w:cs="Arial" w:eastAsia="Arial" w:hAnsi="Arial"/>
          <w:sz w:val="17"/>
          <w:szCs w:val="17"/>
          <w:i w:val="1"/>
          <w:iCs w:val="1"/>
          <w:color w:val="auto"/>
        </w:rPr>
        <w:t>Neff v. Brady, et al.</w:t>
      </w:r>
      <w:r>
        <w:rPr>
          <w:rFonts w:ascii="Arial" w:cs="Arial" w:eastAsia="Arial" w:hAnsi="Arial"/>
          <w:sz w:val="17"/>
          <w:szCs w:val="17"/>
          <w:color w:val="auto"/>
        </w:rPr>
        <w:t>, No. 2010040764 (collectively referred to as the “</w:t>
      </w:r>
      <w:r>
        <w:rPr>
          <w:rFonts w:ascii="Arial" w:cs="Arial" w:eastAsia="Arial" w:hAnsi="Arial"/>
          <w:sz w:val="17"/>
          <w:szCs w:val="17"/>
          <w:i w:val="1"/>
          <w:iCs w:val="1"/>
          <w:color w:val="auto"/>
        </w:rPr>
        <w:t>Neff Case</w:t>
      </w:r>
      <w:r>
        <w:rPr>
          <w:rFonts w:ascii="Arial" w:cs="Arial" w:eastAsia="Arial" w:hAnsi="Arial"/>
          <w:sz w:val="17"/>
          <w:szCs w:val="17"/>
          <w:color w:val="auto"/>
        </w:rPr>
        <w:t xml:space="preserv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w:t>
      </w:r>
      <w:r>
        <w:rPr>
          <w:rFonts w:ascii="Arial" w:cs="Arial" w:eastAsia="Arial" w:hAnsi="Arial"/>
          <w:sz w:val="17"/>
          <w:szCs w:val="17"/>
          <w:i w:val="1"/>
          <w:iCs w:val="1"/>
          <w:color w:val="auto"/>
        </w:rPr>
        <w:t>Neff Case</w:t>
      </w:r>
      <w:r>
        <w:rPr>
          <w:rFonts w:ascii="Arial" w:cs="Arial" w:eastAsia="Arial" w:hAnsi="Arial"/>
          <w:sz w:val="17"/>
          <w:szCs w:val="17"/>
          <w:color w:val="auto"/>
        </w:rPr>
        <w:t xml:space="preserve">. That case, captioned </w:t>
      </w:r>
      <w:r>
        <w:rPr>
          <w:rFonts w:ascii="Arial" w:cs="Arial" w:eastAsia="Arial" w:hAnsi="Arial"/>
          <w:sz w:val="17"/>
          <w:szCs w:val="17"/>
          <w:i w:val="1"/>
          <w:iCs w:val="1"/>
          <w:color w:val="auto"/>
        </w:rPr>
        <w:t xml:space="preserve">Erste-Sparinvest KAG v. Duroc-Danner, et al., </w:t>
      </w:r>
      <w:r>
        <w:rPr>
          <w:rFonts w:ascii="Arial" w:cs="Arial" w:eastAsia="Arial" w:hAnsi="Arial"/>
          <w:sz w:val="17"/>
          <w:szCs w:val="17"/>
          <w:color w:val="auto"/>
        </w:rPr>
        <w:t>No. 201420933 (Harris County, Texas) was consolidated into the</w:t>
      </w:r>
      <w:r>
        <w:rPr>
          <w:rFonts w:ascii="Arial" w:cs="Arial" w:eastAsia="Arial" w:hAnsi="Arial"/>
          <w:sz w:val="17"/>
          <w:szCs w:val="17"/>
          <w:i w:val="1"/>
          <w:iCs w:val="1"/>
          <w:color w:val="auto"/>
        </w:rPr>
        <w:t xml:space="preserve"> Neff Case </w:t>
      </w:r>
      <w:r>
        <w:rPr>
          <w:rFonts w:ascii="Arial" w:cs="Arial" w:eastAsia="Arial" w:hAnsi="Arial"/>
          <w:sz w:val="17"/>
          <w:szCs w:val="17"/>
          <w:color w:val="auto"/>
        </w:rPr>
        <w:t>in September 2014. A motion to dismiss was granted May 15,</w:t>
      </w:r>
      <w:r>
        <w:rPr>
          <w:rFonts w:ascii="Arial" w:cs="Arial" w:eastAsia="Arial" w:hAnsi="Arial"/>
          <w:sz w:val="17"/>
          <w:szCs w:val="17"/>
          <w:i w:val="1"/>
          <w:iCs w:val="1"/>
          <w:color w:val="auto"/>
        </w:rPr>
        <w:t xml:space="preserve"> </w:t>
      </w:r>
      <w:r>
        <w:rPr>
          <w:rFonts w:ascii="Arial" w:cs="Arial" w:eastAsia="Arial" w:hAnsi="Arial"/>
          <w:sz w:val="17"/>
          <w:szCs w:val="17"/>
          <w:color w:val="auto"/>
        </w:rPr>
        <w:t>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We cannot reliably predict the outcome of the remaining claims, including the amount of any possible loss.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Class Action Settlement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On June 30, 2015, we signed a stipulation to settle a shareholder securities class action captioned </w:t>
      </w:r>
      <w:r>
        <w:rPr>
          <w:rFonts w:ascii="Arial" w:cs="Arial" w:eastAsia="Arial" w:hAnsi="Arial"/>
          <w:sz w:val="16"/>
          <w:szCs w:val="16"/>
          <w:i w:val="1"/>
          <w:iCs w:val="1"/>
          <w:color w:val="auto"/>
        </w:rPr>
        <w:t>Freedman v. Weatherford International Ltd., et al.</w:t>
      </w:r>
      <w:r>
        <w:rPr>
          <w:rFonts w:ascii="Arial" w:cs="Arial" w:eastAsia="Arial" w:hAnsi="Arial"/>
          <w:sz w:val="16"/>
          <w:szCs w:val="16"/>
          <w:color w:val="auto"/>
        </w:rPr>
        <w:t>,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1:12-cv-02121-LAK (S.D.N.Y.) for $120 million subject to notice to the class and court approval. The </w:t>
      </w:r>
      <w:r>
        <w:rPr>
          <w:rFonts w:ascii="Arial" w:cs="Arial" w:eastAsia="Arial" w:hAnsi="Arial"/>
          <w:sz w:val="16"/>
          <w:szCs w:val="16"/>
          <w:i w:val="1"/>
          <w:iCs w:val="1"/>
          <w:color w:val="auto"/>
        </w:rPr>
        <w:t>Freedman</w:t>
      </w:r>
      <w:r>
        <w:rPr>
          <w:rFonts w:ascii="Arial" w:cs="Arial" w:eastAsia="Arial" w:hAnsi="Arial"/>
          <w:sz w:val="16"/>
          <w:szCs w:val="16"/>
          <w:color w:val="auto"/>
        </w:rPr>
        <w:t xml:space="preserve"> lawsuit had been filed in the U.S.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for the Southern District of New York in March 2012, and alleged that we and certain current and former officers of Weatherford violated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laws in connection with the restatements of the Company’s historical financial statements announced on February 21, 2012 and July 24, 2012.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4, 2015, the U.S. District Court for the Southern District of New York entered a final judgment and an order approving the settlement.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settlement, we were required to pay $120 million, which was partially funded by insurance proceeds. There was no admission of liability or fault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party in connection with the settlement. We are pursuing reimbursement from our insurance carriers and recovered $23 million of the settlement amount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of which $4 million was recovered in the second quarter of 2017.</w:t>
      </w:r>
    </w:p>
    <w:p>
      <w:pPr>
        <w:spacing w:after="0" w:line="200" w:lineRule="exact"/>
        <w:rPr>
          <w:sz w:val="20"/>
          <w:szCs w:val="20"/>
          <w:color w:val="auto"/>
        </w:rPr>
      </w:pPr>
    </w:p>
    <w:p>
      <w:pPr>
        <w:spacing w:after="0" w:line="25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32" w:right="239" w:bottom="1440" w:gutter="0" w:footer="0" w:header="0"/>
        </w:sectPr>
      </w:pPr>
    </w:p>
    <w:bookmarkStart w:id="21" w:name="page22"/>
    <w:bookmarkEnd w:id="2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Other Investigations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SEC and the U.S. Department of Justice (“DOJ”) investigated certain accounting issues associated with the material weakness in our internal control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During the first quarter 2016, we recorded a loss contingency in the amount of $65 million and increased it to $140 million in the second quarter to reflect our best estimate of the potential settlement. As disclosed in the Form 8-K filed on September 27, 2016, the Company settled with the SEC without admitting or denying the findings of the SEC, by consenting to the entry of an administrative order that requires the Company to cease and desist from committing or causing any violations and any future violations of the anti-fraud provisions of the Securities Act of 1933 (as amended, the “Securities Act”), and the anti-fraud, reporting, books and records, and internal controls provisions of the Securities Exchange Act of 1934 (as amended, the “Exchange Act”), and the rules promulgated thereunder. As part of the terms of the SEC settlement, the Company agreed to pay a total civil monetary penalty of $140 million. In addition, certain reports and certifications regarding our tax internal controls must be delivered to the SEC during the two years following the settlement. A payment of $50 million was made during the fourth quarter of 2016, and a payment of $30 million was made in each of January and May 2017. A final payment of $30 million is due in September 2017.</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Spitzer Industries Litigation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August 2016, after a bench trial in Harris County, Texas, the court entered a judgment of $36 million against the Company in the case of </w:t>
      </w:r>
      <w:r>
        <w:rPr>
          <w:rFonts w:ascii="Arial" w:cs="Arial" w:eastAsia="Arial" w:hAnsi="Arial"/>
          <w:sz w:val="18"/>
          <w:szCs w:val="18"/>
          <w:i w:val="1"/>
          <w:iCs w:val="1"/>
          <w:color w:val="auto"/>
        </w:rPr>
        <w:t>Spitzer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Industries, Inc. (“Spitzer”) vs. Weatherford U.S., L.P. </w:t>
      </w:r>
      <w:r>
        <w:rPr>
          <w:rFonts w:ascii="Arial" w:cs="Arial" w:eastAsia="Arial" w:hAnsi="Arial"/>
          <w:sz w:val="18"/>
          <w:szCs w:val="18"/>
          <w:color w:val="auto"/>
        </w:rPr>
        <w:t>in connection with Spitzer’s fabrication work on two mobile capture vessels used in the cleanup of</w:t>
      </w:r>
      <w:r>
        <w:rPr>
          <w:rFonts w:ascii="Arial" w:cs="Arial" w:eastAsia="Arial" w:hAnsi="Arial"/>
          <w:sz w:val="18"/>
          <w:szCs w:val="18"/>
          <w:i w:val="1"/>
          <w:iCs w:val="1"/>
          <w:color w:val="auto"/>
        </w:rPr>
        <w:t xml:space="preserve"> </w:t>
      </w:r>
      <w:r>
        <w:rPr>
          <w:rFonts w:ascii="Arial" w:cs="Arial" w:eastAsia="Arial" w:hAnsi="Arial"/>
          <w:sz w:val="18"/>
          <w:szCs w:val="18"/>
          <w:color w:val="auto"/>
        </w:rPr>
        <w:t>marine oil spills. We continue to maintain a reserve in the amount of the judgment, and an appellate brief was filed on June 16, 2017 to the First Court of Appeals in Houston, Texas.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Completions and Packers Plus Litigation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Several subsidiaries of the Company are defendants in a patent infringement lawsuit filed by Rapid Completions LLC (“RC”) in U.S. District Court for the Eastern District of Texas on July 31, 2015. RC claims that we and other defendants are liable for infringement of six U.S. patents related to specific downhole completion equipment and the methods of using such equipment. These patents have been assigned to Packers Plus Energy Services, Inc., a Canadian corporation (“Packers Plus”), and purportedly exclusively licensed to RC. The litigation is currently stayed pending resolution of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each of the patents-in-suit which is pending before the Patent Trial and Appeal Board of the U.S. Patent and Trademark Office. RC is seeking a permanent injunction against further alleged infringement, unspecified damages for infringement, supplemental and enhanced damages, and additional relief such as attorneys’ fees.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The parties are awaiting a decision from the Court, estimated to be on or before August 31, 2017. If the Federal Court upholds the validity of the patent, a trial on infringement will be held on March 12, 2018. The parties mediated both the U.S. and Canadian cases on July 5, 2017 but were unable to reach a settlement.</w:t>
      </w:r>
    </w:p>
    <w:p>
      <w:pPr>
        <w:spacing w:after="0" w:line="188"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During the second quarter of 2017, the negotiations related to this matter progressed to a point where we recognized a liability for a loss contingency that we believe to be probable and for which a reasonable estimate could be made. In both cases, we will continue to defend ourselves vigorously. If one or more negative outcomes were to occur in either case, the impact to our financial position, results of operations or cash flows could be material.</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 and Litigation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aware of various disputes and potential claims and are a party in various litigation involving claims against us, including as a defendant in various employment claims alleging our failure to pay certain classes of workers overtime in compliance with the Fair Labor Standards Act for which an agreement was reached and settled during 2016. Some of these disputes and claims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2" w:name="page23"/>
    <w:bookmarkEnd w:id="2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June 30, 2017 and December 31, 2016 were $124 million and $181 million, respectively, and as of June 30, 2017 included the remaining SEC settlement obligation of $30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contractual residual value guarantee balance of $28 million in “Other Non-Current Liabilities” on the accompanying Condensed Consolidated Balance Sheets at December 31, 2016 was extinguished after the underlying leased equipment in our North America pressure pumping operations was purchased during the first quarter of 2017.</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minimum purchase commitments related to supply contracts and maintain a liability at June 30, 2017 of $127 million for losses incurred on the contracts, of which $22 million is recorded in “Other Current Liabilities,” $47 million is recorded in “Other Non-Current Liabilities” and $58 million to be contributed to the OneStim joint venture is recorded in “Liabilities Held for Sale” on our Condensed Consolidated Balance Sheets.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May 2017, the Financial Accounting Standards Board (“FASB”) issued ASU 2017-09, </w:t>
      </w:r>
      <w:r>
        <w:rPr>
          <w:rFonts w:ascii="Arial" w:cs="Arial" w:eastAsia="Arial" w:hAnsi="Arial"/>
          <w:sz w:val="18"/>
          <w:szCs w:val="18"/>
          <w:i w:val="1"/>
          <w:iCs w:val="1"/>
          <w:color w:val="auto"/>
        </w:rPr>
        <w:t>Compensation - 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which clarifies that modification accounting is required only if the fair value, the vesting conditions, or the classification of a share-based payment award changes as a result of changes in terms or conditions of the award. We have elected to early adopt ASU 2017-09 in the second quarter of 2017 and the adoption of this ASU had no impact on our Consolidated Financial Statements.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2016-09 requires all income tax effects related to share-based payments at settlement (or expiration) be recorded through the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including unrealized excess tax benefits. ASU 2016-09 also requires that all tax related cash flows resulting from share-based payments be presented as operating activities in the statement of cash flows. In addition, the guidance allows entities to increase the net-share settlement of an employee’s shares for tax withholding purposes without triggering liability accounting and to make a policy election to estimate forfeitures or recognize them as they occur. Finally, the new guidance requires all cash payments made to a taxing authority on an employee’s behalf for shares withheld be presented as financing activities in the statement of cash flows.</w:t>
      </w:r>
    </w:p>
    <w:p>
      <w:pPr>
        <w:spacing w:after="0" w:line="1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adopted ASU 2016-09 in the first quarter of 2017. We prospectively adopted the changes requiring all tax effects related to share-based payments to be recorded through the income statement and all tax related cash flows from share based payments to be presented as operating activities in the statement of cash flows. There is no cumulative effect as there is no impact from unrecognized excess tax benefits or minimum withholding requirements and prior periods have not been adjusted. We have also made an entity-wide accounting policy election to continue to estimate forfeitures and adjust the estimate when it is likely to change. We have retrospectively adopted the guidance to classify as a financing activity on the statement of cash flows all cash payments made to a taxing authority on an employee’s behalf for shares withheld for tax-withholding purposes. We have reclassified $5 million from other operating activities to other financing activities in the Statements of Cash Flows for the six months ended June 30, 2016.</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2017, the FASB issued ASU 2017-11, which amends the accounting for certain equity-linked financial instruments and states a down round feature no longer precludes equity classification when assessing wither the instrument is indexed to an entity’s own stock. For an equity-linked financial instrument no longer accounted for as a liability at fair value, the amendments require a down round to be treated as a dividend and a as a reduction of income available to common shareholders in basic earnings per share. The ASU is effective beginning with the first quarter of 2019, and early adoption is permitted. The ASU is required to be applied retrospectively to outstanding instruments. Weatherford is evaluating the impact that the ASU will have on our Consolidated Financial Statements and whether we will early adopt the ASU.</w:t>
      </w: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3" w:name="page24"/>
    <w:bookmarkEnd w:id="2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 -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which amends the presentation of net periodic pension and postretirement benefit cost (“net benefit cost”).</w:t>
      </w:r>
      <w:r>
        <w:rPr>
          <w:rFonts w:ascii="Arial" w:cs="Arial" w:eastAsia="Arial" w:hAnsi="Arial"/>
          <w:sz w:val="16"/>
          <w:szCs w:val="16"/>
          <w:i w:val="1"/>
          <w:iCs w:val="1"/>
          <w:color w:val="auto"/>
        </w:rPr>
        <w:t xml:space="preserve"> </w:t>
      </w:r>
      <w:r>
        <w:rPr>
          <w:rFonts w:ascii="Arial" w:cs="Arial" w:eastAsia="Arial" w:hAnsi="Arial"/>
          <w:sz w:val="16"/>
          <w:szCs w:val="16"/>
          <w:color w:val="auto"/>
        </w:rPr>
        <w:t>The service cost component of net benefit cost will be bifurcated and presented with other employee compensation costs, while other components of net benefit costs will be presented separately. The standard is required to be applied on a retrospective basis and will be effective beginning with the first quarter of 2018, although early adoption is permitted. We are evaluating the impact that this new standard will have on our Consolidated Financial Statements.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a lessee to recognize a lease asset and lease liability for most leases, including those classified as operating leases under existing U.S. GAAP. The ASU also changes the definition of a lease and requires expanded quantitative and qualitative disclosures for both lessees and lessors.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ASU 2016-02, we will revise our leasing policies to require most of the leases, where we are the lessee, to be recognized on the balance sheet as a lease asset and lease liability whereas currently we do not recognize operating leases on our balance sheet. Further, we will separate leases from other contracts where we are either the lessor or lessee when the rights conveyed under the contract indicate there is a lease, where we may not be required to do so under existing policies. While we cannot calculate the impact ASU 2016-02 will have on Weatherford’s financial statements, we anticipate that Weatherford’s assets and liabilities will increase by a significant amount.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standard will be effective for us beginning with the first quarter of 2019. We do not anticipate adopting ASU 2016-02 early, which is permitted under the standard. ASU 2016-02 requires lessees and lessors to recognize and measure leases at the beginning of the earliest period presented using a modified retrospective transition method but permits certain practical expedients to be applied, which may exclude certain leases that commenced before the effective date.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will replace most existing revenue recognition guidance in U.S. GAAP. ASU 2014-09 will require an entity to recognize revenue to depict the transfer of promised goods or services to customers in an amount that reflects the consideration to which the entity expects to be entitled in exchange for those goods or services. ASU 2014-09 requires a five-step approach to recognizing revenue: 1) identify the contract, 2) identify performance obligations, 3) determine the transaction price, 4) allocate the transaction price, and 5) recognize revenue. Subsequent to ASU 2014-09’s issuance, Topic 606 has been affected by other FASB updates that address certain aspects of Topic 606 or revised the effective date of the accounting changes.</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Under ASU 2014-09, we will revise our revenue recognition policy to require revenue recognition when control passes. This is a change from current policies, which generally require revenue recognition when delivery has occurred and risk and rewards of ownership have passed. The impact of these and other changes may be to delay the recognition of revenue in certain situations and to accelerate it in others. Our preliminary assessment is that the expected impact of ASU 2014-09 will have no impact for most of Weatherford’s activities, which are generally short-term in nature, although our assessment is still under evaluation. The changes are not expected to have any direct impact to our cash flows.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intend to adopt ASU 2014-09 as of its effective date in the first quarter of 2018. ASU 2014-09 permits two transition methods: the retrospective method or the modified retrospective method. Weatherford will be applying modified retrospective method which requires the recognition of a cumulative effect as an adjustment to opening retained earnings on the initial date of adoption.</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planned and commenced our implementation of ASU 2014-09. We are in the process of assessing differences between ASU 2014-09 and current accounting practices (gap analysis). Our approach involves comparing existing accounting requirements to the requirements under Topic 606 for each of our product lines and reviewing a sample of contracts within each product line and region. Remaining implementation matters include completing the gap analysis, implementing appropriate technology enhancements, establishing new policies, procedures, and controls, establishing appropriate presentation and disclosure changes and quantifying any adoption date adjustments.</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4" w:name="page25"/>
    <w:bookmarkEnd w:id="2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6.80% senior notes of Weatherford Delaware were guaranteed by Weatherford Bermuda at June 30, 2017 and December 31, 2016. At December 31, 2016, Weatherford Bermuda also guaranteed the 6.35% senior notes of Weatherford Delaware.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obligations of Weatherford Bermuda were guaranteed by Weatherford Delaware at June 30, 2017 and December 31, 2016: (1) Revolving Credit Agreement, (2) Term Loan Agreement, (3) 6.50% senior notes, (4) 6.00% senior notes, (5) 7.00% senior notes, (6) 9.625% senior notes, (7) 9.875% senior notes due 2039, (8) 5.125% senior notes, (9) 6.75% senior notes, (10) 4.50% senior notes, (11) 5.95% senior notes, (12) 5.875% exchangeable senior notes, (13) 7.75% senior notes, (14) 8.25% senior notes and (15) 9.875% senior notes due 2024.</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June 30,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5" w:name="page26"/>
    <w:bookmarkEnd w:id="2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June 30, 2016</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6" w:name="page27"/>
    <w:bookmarkEnd w:id="2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w w:val="97"/>
              </w:rPr>
              <w:t>Weatherford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Ireland</w:t>
            </w:r>
          </w:p>
        </w:tc>
        <w:tc>
          <w:tcPr>
            <w:tcW w:w="160" w:type="dxa"/>
            <w:vAlign w:val="bottom"/>
          </w:tcPr>
          <w:p>
            <w:pPr>
              <w:spacing w:after="0"/>
              <w:rPr>
                <w:sz w:val="18"/>
                <w:szCs w:val="18"/>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Bermuda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2,749</w:t>
            </w:r>
          </w:p>
        </w:tc>
        <w:tc>
          <w:tcPr>
            <w:tcW w:w="0" w:type="dxa"/>
            <w:vAlign w:val="bottom"/>
          </w:tcPr>
          <w:p>
            <w:pPr>
              <w:spacing w:after="0"/>
              <w:rPr>
                <w:sz w:val="1"/>
                <w:szCs w:val="1"/>
                <w:color w:val="auto"/>
              </w:rPr>
            </w:pP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(3,072)</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318"/>
        </w:trPr>
        <w:tc>
          <w:tcPr>
            <w:tcW w:w="25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2560" w:type="dxa"/>
            <w:vAlign w:val="bottom"/>
          </w:tcPr>
          <w:p>
            <w:pPr>
              <w:ind w:left="40"/>
              <w:spacing w:after="0"/>
              <w:rPr>
                <w:sz w:val="20"/>
                <w:szCs w:val="20"/>
                <w:color w:val="auto"/>
              </w:rPr>
            </w:pPr>
            <w:r>
              <w:rPr>
                <w:rFonts w:ascii="Arial" w:cs="Arial" w:eastAsia="Arial" w:hAnsi="Arial"/>
                <w:sz w:val="16"/>
                <w:szCs w:val="16"/>
                <w:color w:val="auto"/>
                <w:w w:val="96"/>
              </w:rPr>
              <w:t>Income (Loss) Before Income Taxes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(Provision) Benefit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25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33"/>
        </w:trPr>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256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(435)</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240" w:top="449" w:right="639" w:bottom="1440" w:gutter="0" w:footer="0" w:header="0"/>
        </w:sectPr>
      </w:pPr>
    </w:p>
    <w:bookmarkStart w:id="27" w:name="page28"/>
    <w:bookmarkEnd w:id="2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2016</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Bermuda</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2,987</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(3,894)</w:t>
            </w: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291"/>
        </w:trPr>
        <w:tc>
          <w:tcPr>
            <w:tcW w:w="2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7"/>
        </w:trPr>
        <w:tc>
          <w:tcPr>
            <w:tcW w:w="266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7"/>
        </w:trPr>
        <w:tc>
          <w:tcPr>
            <w:tcW w:w="26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266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59"/>
        </w:trPr>
        <w:tc>
          <w:tcPr>
            <w:tcW w:w="2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1,672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240" w:top="449" w:right="639" w:bottom="1440" w:gutter="0" w:footer="0" w:header="0"/>
        </w:sectPr>
      </w:pPr>
    </w:p>
    <w:bookmarkStart w:id="28" w:name="page29"/>
    <w:bookmarkEnd w:id="2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4,463</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5,047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8,496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8,526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6,991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7,005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12,052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2,533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10,528</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1,808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8,794</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9,038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16,534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(24,122)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12,052</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9" w:name="page30"/>
    <w:bookmarkEnd w:id="2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December 31, 2016</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4,338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8,301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7,751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7,754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7,403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10,596</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2,418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9,268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8,817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16,888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(24,727)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30" w:name="page31"/>
    <w:bookmarkEnd w:id="3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3"/>
              </w:rPr>
              <w:t>Payment Related to Sale of Businesses,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1" w:name="page32"/>
    <w:bookmarkEnd w:id="3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2016</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Insurance Proceeds Related to Rig Loss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Issuance of Ordinary</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Shares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2" w:name="page33"/>
    <w:bookmarkEnd w:id="3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approximately 90 countries and have service and sales locations in nearly all of the oil and natural gas producing regions in the world. Our operational performance is reviewed on a geographic basis, and we report the following regions as separate, distinct reporting segments: North America, MENA/Asia Pacific, Europe/SSA/Russia, Latin America and Land Drilling Rigs.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principally provide products, equipment and services to the oil and natural gas exploration and production industry, both on land and offshore, through our three business groups: (1) Formation Evaluation and Well Construction and (2) Completion and Production, and (3) Land Drilling Rigs, which together include the company’s product lines.</w:t>
      </w:r>
    </w:p>
    <w:p>
      <w:pPr>
        <w:spacing w:after="0" w:line="181" w:lineRule="exact"/>
        <w:rPr>
          <w:sz w:val="20"/>
          <w:szCs w:val="20"/>
          <w:color w:val="auto"/>
        </w:rPr>
      </w:pPr>
    </w:p>
    <w:p>
      <w:pPr>
        <w:jc w:val="both"/>
        <w:ind w:left="740" w:hanging="327"/>
        <w:spacing w:after="0" w:line="26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includes Managed-Pressure Drilling, Drilling Services, Tubular Running Services, Drilling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Rental Equipment, Wireline Services, Testing and Production Services, Re-entry and Fishing, Cementing Products, Liner Systems, Reservoir Solutions and Surface Logging Systems.</w:t>
      </w:r>
    </w:p>
    <w:p>
      <w:pPr>
        <w:spacing w:after="0" w:line="73"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includes Artificial Lift Systems, Stimulation and Completion Systems.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current and expected future prices of oil and natural gas. Changes in expenditures result in an increased or decreased demand for our products and services. Rig count is an indicator of the level of spending for exploration and production of oil and natural gas reserves. The following chart sets forth certain statistics that reflect current and historical market conditions: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2016</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2016</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Price per barrel of West Texas Intermediate (“WTI”) crude oil as of the date indicated at Cushing, Oklahoma – Source: Thomson Reuters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Price per MM/BTU as of the date indicated at Henry Hub Louisiana – Source: Thomson Reuters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Quarterly average rig count – Source: Baker Hughes Rig Count</w:t>
      </w:r>
    </w:p>
    <w:p>
      <w:pPr>
        <w:spacing w:after="0" w:line="2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first six months of 2017 oil prices ranged from a high of $54.45 per barrel in mid-February to a low of $42.53 per barrel in mid-June on the New York Mercantile Exchange. Natural gas ranged from a high of $3.42 MM/BTU in mid-January to a low of $2.56 MM/BTU in mid-February.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continued to be challenged by the continued volatility in oil prices and severe market contraction for our products and services. Market weakness and contraction has materially reduced capital spending by our customers, which has reduced our revenue, both through lower activity levels and pricing. We believe our industry will remain range bound within this ‘medium-for-longer’ price level for some time, until production growth is moderated. In the interim, we expect continuous short-term cyclical fluctuations. Adapting to this likely new paradigm, our industry must transform itself. We will continue to push innovation, both from a technical and a business model perspective, and we will deliver operational excellence to bring the cost of production down to a point at which market participants can make a decent return.</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2017, we expect growth in North America to be driven by completion systems, artificial lift, and drilling services as rig count increases, pricing power improves and supplies tighten. Internationally, we continue to anticipate growth in the Middle East and North Africa region as a result of recent market share gains that began in the second half 2016 which will be increasing to their full scope of work in 2017 while activity in Russia will increase and Europe is expected to remain stable. We believe Latin America will remain relatively subdued in 2017 while the deepwater markets in both Sub-Sahara Africa and Asia Pacific have likely reached their bottom with no expected improvements in the near term.</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current industry conditions, steadier oil prices and an increase in spending and activity, we continue to believe that over the longer term the outlook for our businesses is favorable. As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businesses over the longer term. However, the level of improvement in our businesses in the future will depend heavily on pricing, volume of work and our ability to offer solutions to more efficiently extract hydrocarbons, control costs and penetrate new and existing markets with our newly developed technologies.</w:t>
      </w:r>
    </w:p>
    <w:p>
      <w:pPr>
        <w:spacing w:after="0" w:line="1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objectives. We recently announced that we will be contributing our North America land pressure pumping assets, multistage completions, and pump-down perforating businesses into a joint venture with Schlumberger named OneStim</w:t>
      </w:r>
      <w:r>
        <w:rPr>
          <w:rFonts w:ascii="Arial" w:cs="Arial" w:eastAsia="Arial" w:hAnsi="Arial"/>
          <w:sz w:val="22"/>
          <w:szCs w:val="22"/>
          <w:color w:val="auto"/>
          <w:vertAlign w:val="superscript"/>
        </w:rPr>
        <w:t>SM</w:t>
      </w:r>
      <w:r>
        <w:rPr>
          <w:rFonts w:ascii="Arial" w:cs="Arial" w:eastAsia="Arial" w:hAnsi="Arial"/>
          <w:sz w:val="16"/>
          <w:szCs w:val="16"/>
          <w:color w:val="auto"/>
        </w:rPr>
        <w:t>. It is also our intention to divest our remaining land drilling rigs when market conditions improve. Upon completion, the cash proceeds from any divestitures are expected to be used for working capital or to repay or repurchase debt. Any such debt reduction may include the repurchase of our outstanding senior notes prior to their maturity in the open market or through a privately negotiated transaction or otherwise.</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OPEC and weather conditions and other factors, including those described in the section entitled “Forward-Looking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industry offers many opportunities and challenges. The cyclicality of the energy industry impacts the demand for our products and services. Certain of our products and services, such as our drilling and evaluation services, well installation services and well completion services, depend on the level of exploration and development activity and the completion phase of the well life cycle. Other products and services, such as our production optimization and artificial lift systems, are dependent on production activity. We have created a long-term strategy aimed at growing our businesses, servicing 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land drilling rigs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4" w:name="page35"/>
    <w:bookmarkEnd w:id="3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second quarter of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50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55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Land Drilling Rigs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50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(3,600)%</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Asset Write-Downs and Other</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108 %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Restructuring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Litigation Charges, Net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97"/>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Bond Tender Premium, Net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Warrant Fair Value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Other Expense,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Loss per Diluted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486"/>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5" w:name="page36"/>
    <w:bookmarkEnd w:id="3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first six months of 2017 and 2016:</w:t>
      </w:r>
    </w:p>
    <w:p>
      <w:pPr>
        <w:spacing w:after="0" w:line="16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5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280" w:type="dxa"/>
            <w:vAlign w:val="bottom"/>
          </w:tcPr>
          <w:p>
            <w:pPr>
              <w:ind w:left="6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(Unfavorable)</w:t>
            </w:r>
          </w:p>
        </w:tc>
        <w:tc>
          <w:tcPr>
            <w:tcW w:w="12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7"/>
        </w:trPr>
        <w:tc>
          <w:tcPr>
            <w:tcW w:w="5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MENA/Asia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Europe/SSA/Russia</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280" w:type="dxa"/>
            <w:vAlign w:val="bottom"/>
          </w:tcPr>
          <w:p>
            <w:pPr>
              <w:ind w:left="20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Land Drilling Rigs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528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5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Operating Income (Expense):</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5280" w:type="dxa"/>
            <w:vAlign w:val="bottom"/>
          </w:tcPr>
          <w:p>
            <w:pPr>
              <w:ind w:left="160"/>
              <w:spacing w:after="0"/>
              <w:rPr>
                <w:sz w:val="20"/>
                <w:szCs w:val="20"/>
                <w:color w:val="auto"/>
              </w:rPr>
            </w:pPr>
            <w:r>
              <w:rPr>
                <w:rFonts w:ascii="Arial" w:cs="Arial" w:eastAsia="Arial" w:hAnsi="Arial"/>
                <w:sz w:val="17"/>
                <w:szCs w:val="17"/>
                <w:color w:val="auto"/>
              </w:rPr>
              <w:t>Asset Write-Downs and Other</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107 %</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Restructuring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Litigation Charges, Net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97"/>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280" w:type="dxa"/>
            <w:vAlign w:val="bottom"/>
          </w:tcPr>
          <w:p>
            <w:pPr>
              <w:ind w:left="20"/>
              <w:spacing w:after="0"/>
              <w:rPr>
                <w:sz w:val="20"/>
                <w:szCs w:val="20"/>
                <w:color w:val="auto"/>
              </w:rPr>
            </w:pPr>
            <w:r>
              <w:rPr>
                <w:rFonts w:ascii="Arial" w:cs="Arial" w:eastAsia="Arial" w:hAnsi="Arial"/>
                <w:sz w:val="17"/>
                <w:szCs w:val="17"/>
                <w:color w:val="auto"/>
              </w:rPr>
              <w:t>Bond Tender Premium, Net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Warrant Fair Value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280" w:type="dxa"/>
            <w:vAlign w:val="bottom"/>
          </w:tcPr>
          <w:p>
            <w:pPr>
              <w:ind w:left="20"/>
              <w:spacing w:after="0"/>
              <w:rPr>
                <w:sz w:val="20"/>
                <w:szCs w:val="20"/>
                <w:color w:val="auto"/>
              </w:rPr>
            </w:pPr>
            <w:r>
              <w:rPr>
                <w:rFonts w:ascii="Arial" w:cs="Arial" w:eastAsia="Arial" w:hAnsi="Arial"/>
                <w:sz w:val="17"/>
                <w:szCs w:val="17"/>
                <w:color w:val="auto"/>
              </w:rPr>
              <w:t>Currency Devaluation Charges</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Diluted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891"/>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6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6" w:name="page37"/>
    <w:bookmarkEnd w:id="3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Percentage by Business Group</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chart contains the percentage distribution of our consolidated revenues by our business groups for the second quarter and the first six months of 2017 and 2016:</w:t>
      </w:r>
    </w:p>
    <w:p>
      <w:pPr>
        <w:spacing w:after="0" w:line="11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3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23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4540" w:type="dxa"/>
            <w:vAlign w:val="bottom"/>
          </w:tcPr>
          <w:p>
            <w:pPr>
              <w:spacing w:after="0"/>
              <w:rPr>
                <w:sz w:val="23"/>
                <w:szCs w:val="23"/>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23"/>
                <w:szCs w:val="23"/>
                <w:color w:val="auto"/>
              </w:rPr>
            </w:pPr>
          </w:p>
        </w:tc>
      </w:tr>
      <w:tr>
        <w:trPr>
          <w:trHeight w:val="27"/>
        </w:trPr>
        <w:tc>
          <w:tcPr>
            <w:tcW w:w="4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4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Formation Evaluation and Well Construction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4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Consolidated revenues decreased $39 million, or 3%, in the second quarter and $238 million, or 8%, during the first six months of 2017 compared to the second quarter and the first six months of 2016, respectively. Excluding the impact of our revenue recognition change in Venezuela, our second quarter revenues increased $3 million over the second quarter of 2016. Revenues in North America increased in the second quarter of 2017 and during the first six months of 2017 compared to the same periods in the prior year and decreased for the International segment and for Land Drilling Rigs in the second quarter of 2017 and during the first six months of 2017 compared to the same periods in the prior year as follows:</w:t>
      </w:r>
    </w:p>
    <w:p>
      <w:pPr>
        <w:spacing w:after="0" w:line="173" w:lineRule="exact"/>
        <w:rPr>
          <w:sz w:val="20"/>
          <w:szCs w:val="20"/>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North America revenues increased $74 million, or 18%, in the second quarter of 2017 and $21 million, or 2%, during the first six months of 2017 compared to the second quarter and the first six months of 2016, respectively, in most product lines due to higher activity and sales. The increase was related to the 115% increase in North American rig count since the second quarter of 2016, which was partially offset by the shutdown of our U.S. pressure pumping operations in the fourth quarter of 2016. Revenues, excluding pressure pumping operations, improved $126 million, or 37%, in the second quarter of 2017 and improved $158 million, or 20%, during the first six months of 2017 compared to the second quarter and the first six months of 2016, respectively.</w:t>
      </w:r>
    </w:p>
    <w:p>
      <w:pPr>
        <w:spacing w:after="0" w:line="19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segment revenues declined $105 million, or 12%, in the second quarter of 2017 and $221 million, or 12%, during the first six months of 2017 compared to the second quarter and the first six months of 2016, respectively. The revenue decline was primarily in Latin America, Asia Pacific and the Middle East.</w:t>
      </w:r>
    </w:p>
    <w:p>
      <w:pPr>
        <w:spacing w:after="0" w:line="181" w:lineRule="exact"/>
        <w:rPr>
          <w:rFonts w:ascii="Arial" w:cs="Arial" w:eastAsia="Arial" w:hAnsi="Arial"/>
          <w:sz w:val="18"/>
          <w:szCs w:val="18"/>
          <w:color w:val="auto"/>
        </w:rPr>
      </w:pPr>
    </w:p>
    <w:p>
      <w:pPr>
        <w:jc w:val="both"/>
        <w:ind w:left="1140" w:hanging="322"/>
        <w:spacing w:after="0" w:line="257"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Latin America, the second quarter and year-to-date declines compared to the same periods of the prior year were primarily due to a change in the accounting for revenue related to an implied financing arrangement with our largest customer in Venezuela as discussed in “Note 1 – General” to our Condensed Consolidated Financial Statements. The total reduction in revenues from this change in accounting in the second quarter of 2017 includes a reduction of $31 million related to prior periods and $11 million related to the second quarter of 2017, for a total of $42 million.</w:t>
      </w:r>
    </w:p>
    <w:p>
      <w:pPr>
        <w:spacing w:after="0" w:line="188"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MENA/Asia Pacific revenue decline in the second quarter of 2017 compared to the same period last year was primarily due to lower activity on the Zubair project. The MENA/Asia Pacific revenue decline in the first six months of 2017 compared to the same period last year was primarily due to an overall lower demand for services and continued pricing pressures, causing a broad decline in the Asia Pacific countries and in a concentration of countries in the Middle East.</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Land Drilling Rigs revenue declined $8 million, or 7%, in the second quarter of 2017 and $38 million, or 17%, during the first six months of 2017 primarily in Saudi Arabia and Oman, partially offset by an improved operational efficiency and fully operational contracts in Algeria and Kuwait.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operating loss improved $333 million, or 72%, in the second quarter of 2017 and $584 million, or 64%, during the first six months of 2017 compared to the second quarter and the first six months of 2016, respectively. Segment operating loss</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7" w:name="page38"/>
    <w:bookmarkEnd w:id="3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improved $27 million, or 41%, in the second quarter of 2017 and $132 million, or 59%, during the first six months of 2017 compared to the second quarter and the first six months of 2016, respectively. The operating loss improvement was primarily due to reduced expenses from the shutdown of our pressure pumping operations in North America, the realization of savings from cost reduction measures related to headcount reductions and facility closures, and lower depreciation and amortization due to decreased capital spending. These significant cost reduction measures helped minimize the operating losses despite the revenue declines.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Consolidated operating loss for the second quarter of 2017 and 2016 also included net charges of $19 million and $319 million, respectively, and are as follows:</w:t>
      </w:r>
    </w:p>
    <w:p>
      <w:pPr>
        <w:spacing w:after="0" w:line="17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$31 million in 2017 compared to $51 million in 2016 of severance and other restructuring charges;</w:t>
      </w:r>
    </w:p>
    <w:p>
      <w:pPr>
        <w:spacing w:after="0" w:line="117"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 million in net credits in 2017 primarily related to the amortization of unrecognized net gains associated with our supplemental executive retirement plan net of asset write-downs and other charges compared to other charges of $154 million in 2016, which primarily includes a fair value adjustment to a note from our largest customer in Venezuela, asset write-offs, pressure pumping business related charges, rig casualty loss and other charges; and</w:t>
      </w:r>
    </w:p>
    <w:p>
      <w:pPr>
        <w:spacing w:after="0" w:line="78"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$114 million in 2016 of litigation charges, net.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operating loss for the first six months of 2017 and 2016 also included net charges of $91 million and $521 million, respectively, and are as follows:</w:t>
      </w:r>
    </w:p>
    <w:p>
      <w:pPr>
        <w:spacing w:after="0" w:line="17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$106 million in 2017 compared to $128 million in 2016 of severance and other restructuring charges;</w:t>
      </w:r>
    </w:p>
    <w:p>
      <w:pPr>
        <w:spacing w:after="0" w:line="117"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 million in net credits in 2017 primarily related to the amortization of unrecognized net gains associated with our supplemental executive retirement plan net of asset write-downs and other charges compared to other charges of $212 million in 2016, which primarily includes a fair value adjustment to a note from our largest customer in Venezuela, asset write-offs, pressure pumping business related charges, rig casualty loss and other charges; and</w:t>
      </w:r>
    </w:p>
    <w:p>
      <w:pPr>
        <w:spacing w:after="0" w:line="78"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$181 million in 2016 of litigation charges,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regarding charges by segment, see the subsection entitled “Segment Results” below and “Note 3 – Restructuring Charges.”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in our North America segment increased $74 million, or 18%, in the second quarter of 2017 and $21 million, or 2%, during the first six months of 2017 compared to the second quarter and the first six months of 2016, respectively, in most product lines due to higher drilling and completion activity. This increase in activity is related to the 115% increase in North American rig count since the second quarter of 2016, which was partially offset by the shutdown of our U.S. pressure pumping operations in the fourth quarter of 2016. Revenues, excluding pressure pumping operations, improved $126 million, or 37%, in the second quarter of 2017 and improved $158 million, or 20%, during the first six months of 2017 compared to the second quarter and the first six months of 2016, respectively.</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Operating results in our North America segment improved $103 million, or 102%, in the second quarter of 2017 and $213 million, or 93%, during the first six months of 2017 compared to the second quarter of 2016 and the first six months of 2016, respectively. This improvement in operating results is due to reduced expenses from the shutdown of our U.S. pressure pumping operations, cost savings from facility closures, headcount reductions, and lower depreciation and amortization due to decreased capital spending. These strong cost reduction measures helped minimize the operating losses despite the revenue declines. In addition, increased activity and utilization in our artificial lift, well construction and drilling services product lines have contributed positively to improve the operating results in the second quarter and first six months of 2017.</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8" w:name="page39"/>
    <w:bookmarkEnd w:id="3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in our MENA/Asia Pacific segment decreased $60 million, or 15%, in the second quarter of 2017 and $100 million, or 13%, during the first six months of 2017 compared to the second quarter and the first six months of 2016, respectively. The revenue decline in the second quarter of 2017 compared to the same period last year was primarily due to lower activity on the Zubair project.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revenue decline in the first six months of 2017 compared to the same period last year was primarily due to an overall lower demand for services and continued pricing pressure. This caused a broad revenue decline in the Asia Pacific countries, and in the Middle East, the decline was concentrated in Iraq with the Zubair project, the United Arab Emirates, Saudi Arabia and Oman, offset by an increase in Kuwait. The product lines negatively impacted in the year-to-date revenue decline over the same period of the prior year were the early production facilities, completion, well construction and drilling services, partially offset by improvements in artificial lift and secure drilling services.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Operating income in the second quarter of 2017 declined $41 million, or 82%, in the second quarter of 2017 and improved $2 million, or 50%, during the first six months of 2017 compared to the second quarter and the first six months of 2016, respectively. The 2017 quarter-to-date decline is primarily attributable to decreased income related to the Zubair project compared to $50 million of Zubair project income recognized in the second quarter of 2016. The 2017 year-to-date improvement was primarily attributable to the absence of the $2 million of Zubair project losses realized in the first six months of 2016.</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Europe/SSA/Russia segment increased $1 million in the second quarter of 2017 from $243 million and decreased $12 million, or 2%, during the first six months of 2017 compared to the second quarter and the first six months of 2016, respectively. The second quarter of 2017 remained flat with increases in Russia offsetting decreases in Nigeria, Norway and Denmark. The decline in the first six months of 2017 was primarily concentrated in the tubular running services product line, Angola well construction and across most product lines in Kazakhstan and Norway, offset by improvements in Russia from an increase in customer activity compared to the first six months of 2016.</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increased $4 million, or 400%, in the second quarter of 2017 and decreased $5 million during the first six months of 2017 compared to the second quarter and the first six months of 2016, respectively. The increase in the second quarter was primarily driven by the drilling services product line and the decrease during the first six months of 2017 was primarily due to a decline in tubular running services offset by drilling services when compared to the same periods of the prior year.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Revenues in our Latin America segment decreased $46 million, or 18%, in the second quarter of 2017 and $109 million, or 20%, during the first six months of 2017 compared to the second quarter and the first six months of 2016, respectively. The revenues decrease in the second quarter of 2017 is primarily due to a change in the accounting for revenue related to an implied financing arrangement with our largest customer in Venezuela as discussed in “Note 1 – General” to our Condensed Consolidated Financial Statements. The total reduction in revenues from this change in accounting in the second quarter of 2017 includes a reduction of $31 million related to prior periods and $11 million related to the second quarter of 2017, for a total of $42 million.</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Excluding this negative impact, revenues decreased $4 million, or 2%, in the second quarter of 2017 and $67 million, or 12%, during the first six months of 2017 compared to the second quarter and the first six months of 2016, respectively. The adjusted decline in revenue was due to decreases concentrated in Venezuela and Trinidad in the second quarter of 2017 and Argentina, Brazil and Venezuela during the first six months of 2017 offset by improvements in Colombia from an increase in the number of operating rigs compared to the second quarter and the first six months of 2016, respectively. The product lines leading the decline were wireline and well construction.</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decreased $36 million, or 3,600%, in the second quarter of 2017 and $71 million, or 158%, during the first six months of 2017 compared to the second quarter and the first six months of 2016, respectively. The operating income decrease includes the impact from the change in accounting for revenue related to the implied financing arrangement. Additionally, there was also a decline across most product lines with a concentration in wireline, well construction, and pressure pumping as customer pricing pressures and reduced demand continue.</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9" w:name="page40"/>
    <w:bookmarkEnd w:id="3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Land Drilling Rigs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Land Drilling Rigs segment decreased $8 million, or 7%, in the second quarter of 2017 and $38 million, or 17% during the first six months of 2017 compared to the second quarter and the first six months of 2016, respectively. Operating loss deteriorated $3 million, or 18%, in the second quarter of 2017 and $7 million, or 16%, during the first six months of 2017 compared to the second quarter and the first six months of 2016, respectively. The decrease in revenues and operating results were primarily in Saudi Arabia and Oman, partially offset by an improved operational efficiency and fully operational contracts in Algeria and Kuwait.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Condensed Consolidated Statements of Operations. In the first six months of 2016, currency devaluation charges of $31 million reflected the impact of the devaluation of the Angolan kwanza. In the second quarter and first six months of 2017, we had no currency devaluation charges.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Included in “Other Expense, Net” on the accompanying Condensed Consolidated Statements of Operations are other net foreign currency losses of $7 million and $13 million in the second quarter and the first six months of 2017, respectively, compared to losses of $5 million and gains of $2 million in the second quarter and the first six months of 2016, respectively. Net foreign currency gains and losses are primarily due to either the strengthening or weakening U.S. dollar compared to our foreign denominated operations and the changes in fair value of our foreign currency forward contracts and cross-currency swap contracts.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interest expense was $138 million and $279 million for the second quarter and the first six months of 2017, respectively, compared to $119 million and $234 million for the second quarter and the first six months of 2016, respectively. The increase in interest expense for the second quarter and the first six months of 2017 is primarily from higher average borrowings and interest rates in 2017 compared to 2016.</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Included in net interest expense in the second quarter and the first six months of 2017 is interest income of $7 million related to the Company’s change in its accounting for revenue and receivables related to an implied financing arrangement with our largest customer in Venezuela. Please see “Note 1 – General” to our Condensed Consolidated Financial Statements for additional details.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and pre-tax losses for which no benefit has been recognized) for the reporting period. For the three month and six month periods ended June 30, 2017, we determined that since small changes in estimated ordinary annual income would result in significant changes in the estimated annual effective tax rate, the use of a discrete effective tax rate is appropriate for the current quarter. The discrete method treats the year-to-date period as if it was the annual period and determines the income tax expense or benefit on that basis. We will use this method each quarter until the annual effective tax rate method is deemed appropriate. For the second quarter and the first six months of 2017, we had a tax expense of $17 million and $50 million, respectively, on a loss before income taxes of $148 million and $558 million, respectively. Results for the second quarter and the first six months of 2017 include losses with no significant tax benefit. The tax expense for the second quarter and the first six months of 2017 also includes withholding taxes and deemed profit taxes that do not directly correlate to ordinary income or loss.</w:t>
      </w:r>
    </w:p>
    <w:p>
      <w:pPr>
        <w:spacing w:after="0" w:line="195"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$10 million in the next twelve months due to expiration of statutes of limitations, settlements and/or conclusions of tax examinations.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40" w:name="page41"/>
    <w:bookmarkEnd w:id="4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For both the second quarter and the first six months of 2016, we had a tax benefit of $102 million and $203 million, respectively, on a loss before income taxes of $664 million and $1.26 billion, respectively. Our results for the second quarter of 2016 include charges with no significant tax benefit principally related to $75 million of settlement charges, $78 million of bond tender premium, and $84 million of a note adjustment related to our largest customer in Venezuela, partially offset by $52 million of Zubair project gain with no significant tax expense. Our results for the first six months of 2016 include charges with no significant tax benefit principally related to $140 million of settlement charges, $31 million of currency devaluation related to the Angolan kwanza, $78 million of bond tender premium, and $84 million related to a note adjustment for our largest customer in Venezuela.</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the ongoing lower than anticipated levels of exploration and production spending, we continue to reduce our overall cost structure and workforce to better align with current activity levels. The ongoing cost reduction plans which began in 2016 (the “2016 Plan”) included a workforce reduction and other cost reduction measures initiated across our geographic regions.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2016 Plan, we recognized restructuring charges of $31 million and $106 million in the second quarter and the first six months of 2017, respectively, which include termination (severance) charges of $22 million and $56 million, respectively, and other restructuring charges of $9 million and $38 million, respectively. The first six months of 2017 also includes restructuring related asset charges of $12 million. Other restructuring charges include contract termination costs, relocation and other associated costs. Please see “Note 3 – Restructuring Charges” to our Condensed Consolidated Financial Statements for additional details of our charges by segment.</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Also in connection with the 2016 Plan, we recognized restructuring charges of $51 million and $128 million in the second quarter and the first six months of 2016, respectively, which include termination (severance) charges of $36 million and $108 million, respectively, and other restructuring charges of $15 million and $20 million, respectively. Other restructuring charges also include contract termination costs, relocation and other associated costs. Please see “Note 3 – Restructuring Charges” to our Condensed Consolidated Financial Statements for additional details of our charges by segment.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June 30, 2017, we had cash and cash equivalents of $584 million compared to $1 billion at December 31, 2016. The following table summarizes cash flows provided by (used in) each type of activity for the six months of 2017 and 2016:</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7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46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r>
      <w:tr>
        <w:trPr>
          <w:trHeight w:val="27"/>
        </w:trPr>
        <w:tc>
          <w:tcPr>
            <w:tcW w:w="7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7"/>
        </w:trPr>
        <w:tc>
          <w:tcPr>
            <w:tcW w:w="7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six months of 2017, cash used in operating activities was $241 million compared to cash used in operating activities of $339 million in the six months of 2016. The improvement in operating cash used in 2017 compared to 2016 was primarily attributable to a decline in operating loss due to cost reduction initiatives and improved operating margins.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first six months of 2017, the primary drivers of our investing cash flow activities are capital expenditures for property, plant and equipment and the purchase of assets held for sale. Capital expenditures were $82 million and $74 million for the six months of 2017 and 2016, respectively. The amount we spend for capital expenditures varies each year and is based on the types of contracts we enter into, our asset availability and our expectations with respect to industry activity levels in the following year. In addition, we purchased assets held for sale of $243 million related to previously leased pressure pumping equipment. Investing activities in 2017 also include cash proceeds of $25 million from the disposition of assets, partially offset by cash paid of $9 million to acquire intellectual property and other intangibles and $5 million related to the purchase of held to maturity bonds.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six months of 2016, we received $30 million of insurance proceeds from the casualty loss of a rig in Kuwait and $16 million from the disposition of assets. In the second quarter of 2016, we paid $20 million for a final working capital adjustment</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41" w:name="page42"/>
    <w:bookmarkEnd w:id="4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related to the 2014 sale of our engineered chemistry and Integrity drilling fluids businesses and purchased $8 million of intellectual property and other intangibles.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second quarter of 2017, we received proceeds, net of underwriting fees, of $251 million from the issuance of $250 million, aggregate principal amount of our 9.875% senior notes due in 2024 compared to net proceeds of $3.2 billion received in the second quarter of 2016 from the issuance of a series of offerings, including $1.265 billion aggregate principal amount of our 5.875% exchangeable senior notes, $750 million aggregate principal amount of our 7.75% senior notes, $750 million aggregate principal amount of our 8.25% senior notes and a $500 million secured term loan.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Long-term debt repayments in the first six months of 2017 were $36 million compared to approximately $1.9 billion in the first six months of 2016. The long-term debt repayments in 2016 were paid with the majority of the proceeds from the issuance of $3.2 billion in debt, mentioned previously, to fund a tender offer to buy back our 6.35% senior notes, 6.00% senior notes, 9.625% senior notes and 5.125% senior notes with a principal balance of approximately $1.9 billion. We recognized a cash loss of $78 million on the tender offer buyback transaction.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Short-term debt repayments were $96 million in the first six months of 2017 compared to $1.4 billion in the first six months of 2016. The short-term debt repayments in the first six months of 2017 were primarily for the repayment of our 6.35% senior notes with a principal balance of $88 million. The short-term debt repayments in the first six months of 2016 were primarily for the repayment of borrowings under our credit facility and repayment of our 5.50% senior notes with a principal balance of $350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six months of 2016, we received net proceeds of $623 million from the issuance of 115 million ordinary shares of the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from operations, accounts 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a revolving credit facility (the “Revolving Credit Agreement”) and a secured term loan agreement (the “Term Loan Agreement” and collectively with the Revolving Credit Agreement, the “Credit Agreements”). Our Credit Agreements contain customary events of default, including our failure to comply with the financial covenants. On April 17, 2017, we amended these facilities to modify the definition of consolidated adjusted earnings before interest, tax depreciation and amortization set forth in the Credit Agreements, as well as other definitional and covenant modifications, and to reduce total commitments under the Revolving Credit Agreement from $1.38 billion to $1.199 billion. As of June 30, 2017, we were in compliance with our financial covenants as defined in the Credit Agreements as well as under our indentures. For lenders that did not extend their commitments (such lenders, representing $199 million, the “non-extending lenders”), the Revolving Credit Agreement matured in July of 2017, which will further reduce total commitments under the Revolving Credit Agreement to $1.0 billion in the third quarter of 2017. Based on our current financial projections, we believe we will continue to remain in compliance with our covenants for the remainder of 2017.</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borrowing availability under the Credit Agreements at June 30, 2017 (dollars in millions):</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Less uses of facility:</w:t>
            </w: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 secured term loan before debt issuance cost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Letters of credit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Availability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4680"/>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0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42" w:name="page43"/>
    <w:bookmarkEnd w:id="4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June 30, 2017, we had $7 million in short-term borrowings under these arrangements.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 and Other Receivables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In the first six months of 2017, we sold accounts receivable of $78.1 million for $77.7 million, and received cash proceeds totaling $76.6 million. The loss recognized on these sales was $0.4 million. In the first six months of 2016, we sold approximately $77 million and recognized a loss of $0.3 million. Our factoring transactions in the first six months of 2017 and 2016 were recognized as sales, and the proceeds are included as operating cash flows in our Condensed Consolidated Statements of Cash Flows.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Weatherford converted trade receivables of $65 million into a note from the customer with a face value of $65 million. The note had a three year term at a 4.625% stated interest rate. We reported the note as a trading security within “Other Current Assets” at fair value on the Condensed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2017, our Standard &amp; Poor’s Global Ratings on our senior unsecured debt and short-term debt are currently B, both with a negative outlook.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Moody’s Investors Services credit rating on our senior unsecured debt is currently Caa1 and our short-term rating is SGL-3, both with a negative outlook.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have access and expect we will continue to have access to most credit markets.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During the second half of 2017, we anticipate our cash requirements will include payments for capital expenditures, repayment of debt, interest payments on our outstanding debt, SEC settlement payments, severance payments and payments for short-term working capital needs. Our cash requirements may also include opportunistic debt repurchases, business acquisitions and other amounts to settle litigation related matters. We anticipate funding these requirements from cash and cash equivalent balances, cash generated from operations, availability under our credit facilities, accounts receivable factoring, and if completed, proceeds from disposals of businesses or capital assets including the OneStim</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joint venture proceeds of $535 million that will be received upon closing of the joint venture formation. We anticipate that cash generated from operations will be augmented by working capital improvements, increased activity and improved margins. 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Capital expenditures for 2017 are projected to be approximately $250 million (excluding the purchase of certain leased equipment utilized in our North America pressure pumping operations for a total amount of $243 million in the first half of 2017) compared to capital expenditures of $204 million in 2016. The anticipated increase is due to higher anticipated activity in the oil and gas industry related to greater volumes of work and increased rig count. The amounts we ultimately spend will depend on a number of factors including the type of contracts we enter into, asset availability and our expectations with respect to industry activity levels in 2017. Expenditures are expected to be used primarily to support ongoing activities of our businesses and our sources of liquidity are anticipated to be sufficient to meet our needs.</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Cash and cash equivalents of $584 million at June 30, 2017 are held by subsidiaries outside of Ireland. Based on the nature of our structure, we are generally able to redeploy cash with no incremental tax. As of June 30, 2017, $139 million of our cash and cash equivalents balance was denominated in Angolan kwanza. The National Bank of Angola supervises all kwanza exchange operations and has limited U.S. Dollar conversions. Prolonged Angolan exchange limitations may and has limited our ability to repatriate earnings and exposes us to additional exchange rate risk.</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3" w:name="page44"/>
    <w:bookmarkEnd w:id="4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including the notes and credit facilities listed below.</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6.80% senior notes of Weatherford Delaware were guaranteed by Weatherford Bermuda at June 30, 2017 and December 31, 2016. At December 31, 2016, Weatherford Bermuda also guaranteed the 6.35% senior notes of Weatherford Delaware.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obligations of Weatherford Bermuda were guaranteed by Weatherford Delaware at June 30, 2017 and December 31, 2016: (1) Revolving Credit Agreement, (2) Term Loan Agreement, (3) 6.50% senior notes, (4) 6.00% senior notes, (5) 7.00% senior notes, (6) 9.625% senior notes, (7) 9.875% senior notes due 2039, (8) 5.125% senior notes, (9) 6.75% senior notes, (10) 4.50% senior notes, (11) 5.95% senior notes, (12) 5.875% exchangeable senior notes, (13) 7.75% senior notes, (14) 8.25% senior notes and (15) 9.875% senior notes due 2024.</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a result of certain of these guarantee arrangements, we are required to present condensed consolidating financial information. See “Note 18 – Condensed Consolidating Financial Statements” to our Condensed Consolidated Financial Statements for our guarantor financial information.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use letters of credit and performance and bid bonds in the normal course of our business. As of June 30, 2017, we had $509 million of letters of credit and performance and bid bonds outstanding, consisting of $436 million outstanding under various uncommitted credit facilities, of which $69 million has been cash collateralized (included in “Cash and Cash Equivalents” in the accompanying Condensed Consolidated Balance Sheets), and $73 million of letters of credit outstanding under our Revolving Credit Agreement. We also have $61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10 – Derivative Instruments” to our Condensed Consolidated Financial Statements for details regarding our use of interest rate swaps and derivative contracts we enter to hedge our exposure to currency fluctuations in various foreign currencies and other derivative activities.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for the year ended December 31, 2016.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17 – New Accounting Pronouncements”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9" w:right="239" w:bottom="1440" w:gutter="0" w:footer="0" w:header="0"/>
        </w:sectPr>
      </w:pPr>
    </w:p>
    <w:bookmarkStart w:id="44" w:name="page45"/>
    <w:bookmarkEnd w:id="4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167" w:lineRule="exact"/>
        <w:rPr>
          <w:sz w:val="20"/>
          <w:szCs w:val="20"/>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63"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8"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execute or close such acquisitions and dispositions;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740" w:right="20" w:hanging="327"/>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and support reduction plans;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740" w:right="100" w:hanging="327"/>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200" w:lineRule="exact"/>
        <w:rPr>
          <w:sz w:val="20"/>
          <w:szCs w:val="20"/>
          <w:color w:val="auto"/>
        </w:rPr>
      </w:pPr>
    </w:p>
    <w:p>
      <w:pPr>
        <w:spacing w:after="0" w:line="2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49" w:right="239" w:bottom="1440" w:gutter="0" w:footer="0" w:header="0"/>
        </w:sectPr>
      </w:pPr>
    </w:p>
    <w:bookmarkStart w:id="45" w:name="page46"/>
    <w:bookmarkEnd w:id="4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see “Part II – Other Information – Item 7A.– Quantitative and Qualitative Disclosures about Market Risk,” in our Annual Report on Form 10-K for the fiscal year ended December 31, 2016. Our exposure to market risk has not changed materially since December 31, 2016.</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June 30, 2017. Based on that evaluation, our CEO and CFO concluded that our disclosure controls and procedures were effective as of June 30, 2017.</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months ended June 30, 2017 that has materially affected, or is reasonably likely to materially affect, our internal control over financial reporting.</w:t>
      </w: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16 – Disputes, Litigation and Contingencies” to our Condensed Consolidated Financial Statements for details regarding our ongoing disputes and litigation.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There have been no material changes in our assessment of our risk factors from those set forth in our Annual Report on Form 10-K for the fiscal year ended December 31, 2016.</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6" w:name="page47"/>
    <w:bookmarkEnd w:id="46"/>
    <w:p>
      <w:pPr>
        <w:ind w:left="305"/>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25"/>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05"/>
        <w:spacing w:after="0"/>
        <w:rPr>
          <w:sz w:val="20"/>
          <w:szCs w:val="20"/>
          <w:color w:val="auto"/>
        </w:rPr>
      </w:pPr>
      <w:r>
        <w:rPr>
          <w:rFonts w:ascii="Arial" w:cs="Arial" w:eastAsia="Arial" w:hAnsi="Arial"/>
          <w:sz w:val="16"/>
          <w:szCs w:val="16"/>
          <w:color w:val="auto"/>
        </w:rPr>
        <w:t>All exhibits are incorporated herein by reference to a prior filing as indicated, unless otherwise designated with an dagger (†) or double dagger (††)</w:t>
      </w:r>
    </w:p>
    <w:p>
      <w:pPr>
        <w:spacing w:after="0" w:line="200" w:lineRule="exact"/>
        <w:rPr>
          <w:sz w:val="20"/>
          <w:szCs w:val="20"/>
          <w:color w:val="auto"/>
        </w:rPr>
      </w:pPr>
    </w:p>
    <w:p>
      <w:pPr>
        <w:spacing w:after="0" w:line="206" w:lineRule="exact"/>
        <w:rPr>
          <w:sz w:val="20"/>
          <w:szCs w:val="20"/>
          <w:color w:val="auto"/>
        </w:rPr>
      </w:pPr>
    </w:p>
    <w:p>
      <w:pPr>
        <w:ind w:left="205"/>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65"/>
        <w:spacing w:after="0"/>
        <w:tabs>
          <w:tab w:leader="none" w:pos="1125"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724662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42" w:lineRule="exact"/>
        <w:rPr>
          <w:sz w:val="20"/>
          <w:szCs w:val="20"/>
          <w:color w:val="auto"/>
        </w:rPr>
      </w:pPr>
    </w:p>
    <w:p>
      <w:pPr>
        <w:ind w:left="1145" w:right="60" w:hanging="766"/>
        <w:spacing w:after="0" w:line="277" w:lineRule="auto"/>
        <w:tabs>
          <w:tab w:leader="none" w:pos="1125"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Memorandum and Articles of Association of Weatherford International public limited company (incorporated by reference as Exhibit 2.1 of the Weatherford’s Form 8-K filed April 2, 2014, File No. 1-36504).</w:t>
      </w:r>
    </w:p>
    <w:p>
      <w:pPr>
        <w:spacing w:after="0" w:line="8" w:lineRule="exact"/>
        <w:rPr>
          <w:sz w:val="20"/>
          <w:szCs w:val="20"/>
          <w:color w:val="auto"/>
        </w:rPr>
      </w:pPr>
    </w:p>
    <w:p>
      <w:pPr>
        <w:ind w:left="1145" w:hanging="766"/>
        <w:spacing w:after="0" w:line="264" w:lineRule="auto"/>
        <w:tabs>
          <w:tab w:leader="none" w:pos="1125"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Registration Rights Agreement, dated June 29, 2017, by and among Weatherford International plc, Weatherford International Ltd., Weatherford International, LLC and Morgan Stanley &amp; Co. LLC. (incorporated by reference to Exhibit 4.2 to the Company’s Current Report on Form 8-K, File No. 001-36504, filed with the SEC on June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45" w:right="40" w:hanging="811"/>
        <w:spacing w:after="0" w:line="277" w:lineRule="auto"/>
        <w:tabs>
          <w:tab w:leader="none" w:pos="1125"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Change of Control Agreement, entered into by Mark M. McCollum on April 24, 2017 (incorporated by reference to Exhibit 10.1 of the Company's Current Report on Form 8-K filed December 15, 2016).</w:t>
      </w:r>
    </w:p>
    <w:p>
      <w:pPr>
        <w:spacing w:after="0" w:line="8" w:lineRule="exact"/>
        <w:rPr>
          <w:sz w:val="20"/>
          <w:szCs w:val="20"/>
          <w:color w:val="auto"/>
        </w:rPr>
      </w:pPr>
    </w:p>
    <w:p>
      <w:pPr>
        <w:ind w:left="1145" w:right="580" w:hanging="811"/>
        <w:spacing w:after="0" w:line="277" w:lineRule="auto"/>
        <w:tabs>
          <w:tab w:leader="none" w:pos="1125"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Deed of Indemnity of Weatherford International plc entered into by Mark M. McCollum on April 24, 2017 (incorporated by reference to Exhibit 10.11 of the Company's Current Report on Form 8-K12B filed June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wp:posOffset>
            </wp:positionV>
            <wp:extent cx="724662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1145" w:right="920" w:hanging="811"/>
        <w:spacing w:after="0" w:line="258" w:lineRule="auto"/>
        <w:tabs>
          <w:tab w:leader="none" w:pos="1125"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Deed of Indemnity of Weatherford International Ltd. (Bermuda) entered into by Mark M. McCollum on April 24, 2017 (incorporated by reference to Exhibit 10.12 of the Company's Current Report on Form 8-K12B</w:t>
      </w:r>
    </w:p>
    <w:p>
      <w:pPr>
        <w:spacing w:after="0" w:line="1" w:lineRule="exact"/>
        <w:rPr>
          <w:sz w:val="20"/>
          <w:szCs w:val="20"/>
          <w:color w:val="auto"/>
        </w:rPr>
      </w:pPr>
    </w:p>
    <w:p>
      <w:pPr>
        <w:ind w:left="1145"/>
        <w:spacing w:after="0"/>
        <w:rPr>
          <w:sz w:val="20"/>
          <w:szCs w:val="20"/>
          <w:color w:val="auto"/>
        </w:rPr>
      </w:pPr>
      <w:r>
        <w:rPr>
          <w:rFonts w:ascii="Arial" w:cs="Arial" w:eastAsia="Arial" w:hAnsi="Arial"/>
          <w:sz w:val="18"/>
          <w:szCs w:val="18"/>
          <w:color w:val="auto"/>
        </w:rPr>
        <w:t>filed June 17, 2014).</w:t>
      </w:r>
    </w:p>
    <w:p>
      <w:pPr>
        <w:spacing w:after="0" w:line="49" w:lineRule="exact"/>
        <w:rPr>
          <w:sz w:val="20"/>
          <w:szCs w:val="20"/>
          <w:color w:val="auto"/>
        </w:rPr>
      </w:pPr>
    </w:p>
    <w:p>
      <w:pPr>
        <w:ind w:left="285"/>
        <w:spacing w:after="0"/>
        <w:tabs>
          <w:tab w:leader="none" w:pos="1125"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5"/>
        <w:spacing w:after="0"/>
        <w:tabs>
          <w:tab w:leader="none" w:pos="1125"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Section 302 of the Sarbanes-Oxley Act of 2002.</w:t>
      </w:r>
    </w:p>
    <w:p>
      <w:pPr>
        <w:spacing w:after="0" w:line="63" w:lineRule="exact"/>
        <w:rPr>
          <w:sz w:val="20"/>
          <w:szCs w:val="20"/>
          <w:color w:val="auto"/>
        </w:rPr>
      </w:pPr>
    </w:p>
    <w:p>
      <w:pPr>
        <w:ind w:left="245"/>
        <w:spacing w:after="0"/>
        <w:tabs>
          <w:tab w:leader="none" w:pos="1125"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45"/>
        <w:spacing w:after="0"/>
        <w:tabs>
          <w:tab w:leader="none" w:pos="1125"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Section 906 of the Sarbanes-Oxley Act of 2002.</w:t>
      </w:r>
    </w:p>
    <w:p>
      <w:pPr>
        <w:spacing w:after="0" w:line="63" w:lineRule="exact"/>
        <w:rPr>
          <w:sz w:val="20"/>
          <w:szCs w:val="20"/>
          <w:color w:val="auto"/>
        </w:rPr>
      </w:pPr>
    </w:p>
    <w:p>
      <w:pPr>
        <w:ind w:left="1145" w:right="200" w:hanging="879"/>
        <w:spacing w:after="0" w:line="258" w:lineRule="auto"/>
        <w:tabs>
          <w:tab w:leader="none" w:pos="1125"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Weatherford International plc's Quarterly Report on Form 10-Q for the second quarter ended June 30, 2017, formatted in XBRL (eXtensible Business Reporting Language):</w:t>
      </w:r>
    </w:p>
    <w:p>
      <w:pPr>
        <w:spacing w:after="0" w:line="1" w:lineRule="exact"/>
        <w:rPr>
          <w:sz w:val="20"/>
          <w:szCs w:val="20"/>
          <w:color w:val="auto"/>
        </w:rPr>
      </w:pPr>
    </w:p>
    <w:p>
      <w:pPr>
        <w:ind w:left="1405" w:hanging="257"/>
        <w:spacing w:after="0"/>
        <w:tabs>
          <w:tab w:leader="none" w:pos="14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Sheets,</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Operations,</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Comprehensive Income (Loss),</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Cash Flows, and</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related notes to the unaudited Condensed Consolidated Financial Statements.</w:t>
      </w:r>
    </w:p>
    <w:p>
      <w:pPr>
        <w:spacing w:after="0" w:line="183" w:lineRule="exact"/>
        <w:rPr>
          <w:rFonts w:ascii="Arial" w:cs="Arial" w:eastAsia="Arial" w:hAnsi="Arial"/>
          <w:sz w:val="18"/>
          <w:szCs w:val="18"/>
          <w:color w:val="auto"/>
        </w:rPr>
      </w:pPr>
    </w:p>
    <w:p>
      <w:pPr>
        <w:ind w:left="1005" w:hanging="1005"/>
        <w:spacing w:after="0"/>
        <w:tabs>
          <w:tab w:leader="none" w:pos="100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Submitted pursuant to Rule 405 and 406T of Regulation S-T.</w:t>
      </w:r>
    </w:p>
    <w:p>
      <w:pPr>
        <w:spacing w:after="0" w:line="63" w:lineRule="exact"/>
        <w:rPr>
          <w:sz w:val="20"/>
          <w:szCs w:val="20"/>
          <w:color w:val="auto"/>
        </w:rPr>
      </w:pPr>
    </w:p>
    <w:p>
      <w:pPr>
        <w:ind w:left="1005" w:hanging="1005"/>
        <w:spacing w:after="0"/>
        <w:tabs>
          <w:tab w:leader="none" w:pos="100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63" w:lineRule="exact"/>
        <w:rPr>
          <w:sz w:val="20"/>
          <w:szCs w:val="20"/>
          <w:color w:val="auto"/>
        </w:rPr>
      </w:pPr>
    </w:p>
    <w:p>
      <w:pPr>
        <w:ind w:left="1005" w:hanging="1005"/>
        <w:spacing w:after="0"/>
        <w:tabs>
          <w:tab w:leader="none" w:pos="100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85"/>
          </w:cols>
          <w:pgMar w:left="275" w:top="449" w:right="339" w:bottom="1440" w:gutter="0" w:footer="0" w:header="0"/>
        </w:sectPr>
      </w:pPr>
    </w:p>
    <w:bookmarkStart w:id="47" w:name="page48"/>
    <w:bookmarkEnd w:id="4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180" w:type="dxa"/>
            <w:vAlign w:val="bottom"/>
          </w:tcPr>
          <w:p>
            <w:pPr>
              <w:spacing w:after="0"/>
              <w:rPr>
                <w:sz w:val="20"/>
                <w:szCs w:val="20"/>
                <w:color w:val="auto"/>
              </w:rPr>
            </w:pPr>
            <w:r>
              <w:rPr>
                <w:rFonts w:ascii="Arial" w:cs="Arial" w:eastAsia="Arial" w:hAnsi="Arial"/>
                <w:sz w:val="18"/>
                <w:szCs w:val="18"/>
                <w:color w:val="auto"/>
              </w:rPr>
              <w:t>Date: August 1, 2017</w:t>
            </w:r>
          </w:p>
        </w:tc>
        <w:tc>
          <w:tcPr>
            <w:tcW w:w="6000" w:type="dxa"/>
            <w:vAlign w:val="bottom"/>
            <w:gridSpan w:val="2"/>
          </w:tcPr>
          <w:p>
            <w:pPr>
              <w:ind w:left="1660"/>
              <w:spacing w:after="0"/>
              <w:rPr>
                <w:sz w:val="20"/>
                <w:szCs w:val="20"/>
                <w:color w:val="auto"/>
              </w:rPr>
            </w:pPr>
            <w:r>
              <w:rPr>
                <w:rFonts w:ascii="Arial" w:cs="Arial" w:eastAsia="Arial" w:hAnsi="Arial"/>
                <w:sz w:val="18"/>
                <w:szCs w:val="18"/>
                <w:color w:val="auto"/>
              </w:rPr>
              <w:t>By: /s/ Christoph Bausch</w:t>
            </w:r>
          </w:p>
        </w:tc>
      </w:tr>
      <w:tr>
        <w:trPr>
          <w:trHeight w:val="27"/>
        </w:trPr>
        <w:tc>
          <w:tcPr>
            <w:tcW w:w="3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Christoph Bausch</w:t>
            </w:r>
          </w:p>
        </w:tc>
      </w:tr>
      <w:tr>
        <w:trPr>
          <w:trHeight w:val="270"/>
        </w:trPr>
        <w:tc>
          <w:tcPr>
            <w:tcW w:w="3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18"/>
        </w:trPr>
        <w:tc>
          <w:tcPr>
            <w:tcW w:w="3180" w:type="dxa"/>
            <w:vAlign w:val="bottom"/>
          </w:tcPr>
          <w:p>
            <w:pPr>
              <w:spacing w:after="0"/>
              <w:rPr>
                <w:sz w:val="20"/>
                <w:szCs w:val="20"/>
                <w:color w:val="auto"/>
              </w:rPr>
            </w:pPr>
            <w:r>
              <w:rPr>
                <w:rFonts w:ascii="Arial" w:cs="Arial" w:eastAsia="Arial" w:hAnsi="Arial"/>
                <w:sz w:val="18"/>
                <w:szCs w:val="18"/>
                <w:color w:val="auto"/>
              </w:rPr>
              <w:t>Date: August 1, 2017</w:t>
            </w:r>
          </w:p>
        </w:tc>
        <w:tc>
          <w:tcPr>
            <w:tcW w:w="6000" w:type="dxa"/>
            <w:vAlign w:val="bottom"/>
            <w:gridSpan w:val="2"/>
          </w:tcPr>
          <w:p>
            <w:pPr>
              <w:ind w:left="1660"/>
              <w:spacing w:after="0"/>
              <w:rPr>
                <w:sz w:val="20"/>
                <w:szCs w:val="20"/>
                <w:color w:val="auto"/>
              </w:rPr>
            </w:pPr>
            <w:r>
              <w:rPr>
                <w:rFonts w:ascii="Arial" w:cs="Arial" w:eastAsia="Arial" w:hAnsi="Arial"/>
                <w:sz w:val="18"/>
                <w:szCs w:val="18"/>
                <w:color w:val="auto"/>
              </w:rPr>
              <w:t>By: /s/ Doug M. Mills</w:t>
            </w:r>
          </w:p>
        </w:tc>
      </w:tr>
      <w:tr>
        <w:trPr>
          <w:trHeight w:val="27"/>
        </w:trPr>
        <w:tc>
          <w:tcPr>
            <w:tcW w:w="3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Doug M. Mills</w:t>
            </w:r>
          </w:p>
        </w:tc>
      </w:tr>
      <w:tr>
        <w:trPr>
          <w:trHeight w:val="270"/>
        </w:trPr>
        <w:tc>
          <w:tcPr>
            <w:tcW w:w="3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70"/>
        </w:trPr>
        <w:tc>
          <w:tcPr>
            <w:tcW w:w="3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620"/>
          </w:cols>
          <w:pgMar w:left="240" w:top="449" w:right="10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McCollum,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August 1, 2017</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Mark A. McCollum</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 Bausch,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August 1, 2017</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Christoph Bausch</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June 30, 2017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A. McCollum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1,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June 30, 2017 as filed with the Securities and Exchange Commission on the date hereof (the "Report"), I, Christoph Bausch,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Christoph Bausch</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1,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3"/>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3"/>
    </w:lvl>
    <w:lvl w:ilvl="1">
      <w:lvlJc w:val="left"/>
      <w:lvlText w:val="%2."/>
      <w:numFmt w:val="decimal"/>
      <w:start w:val="16"/>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
      <w:numFmt w:val="bullet"/>
      <w:start w:val="1"/>
    </w:lvl>
    <w:lvl w:ilvl="1">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lvl w:ilvl="1">
      <w:lvlJc w:val="left"/>
      <w:lvlText w:val="(%2)"/>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2019-12-29T06:07:40Z</dcterms:created>
  <dcterms:modified xsi:type="dcterms:W3CDTF">2019-12-29T06:07:40Z</dcterms:modified>
</cp:coreProperties>
</file>