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27, 2018</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2018, Weatherford International plc (“we” or the “Company”) issued a news release announcing results for the second quarter ended June 30, 2018. A copy of the news release is furnished as Exhibit 99.1 and incorporated into this Item 2.02.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2018, we will hold a conference call at 8:30 a.m. eastern time (“ET”), 7:30 a.m. central time (“CT”), regarding the Company’s second quarter ended June 30, 2018 results. This scheduled conference call was previously announced on June 18, 2018. To access the call, please contact the conference call operator at 866-393-8572, or 706-643-6499 for international calls, approximately 10 minutes prior to the scheduled start time, and ask for the Weatherford conference call. The passcode is “Weatherford.” The Company invites investors to listen to the call live via the Company’s website, at https://www.weatherford.com/en/investor-relations/conference-call-details/. To access the conference call click on the webcast link. Presentation materials will also be posted on the Company’s website prior to the conference call. To view the presentation materials, go to https://www.weatherford.com/en/investor-relations/investor-presentations/.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ET, August 6, 2018. To access the webcast of the conference call replay, click on the Investor Relations link and then click on the webcast link. The number for the replay is 855-859-2056 or 404-537-3406 for international calls; passcode 5492213.</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2018, we issued a news release announcing results for the Company’s second quarter ended June 30, 2018.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July 27, 2018, announcing results for the second quarter ended June 30, 2018.</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Second Quarter 2018 Results</w:t>
      </w:r>
    </w:p>
    <w:p>
      <w:pPr>
        <w:spacing w:after="0" w:line="200" w:lineRule="exact"/>
        <w:rPr>
          <w:sz w:val="20"/>
          <w:szCs w:val="20"/>
          <w:color w:val="auto"/>
        </w:rPr>
      </w:pPr>
    </w:p>
    <w:p>
      <w:pPr>
        <w:spacing w:after="0" w:line="318"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BAAR, SWITZERLAND, July 27, 2018 - Weatherford International plc (NYSE: WFT) reported a net loss of $264 million, or a loss of $0.26 per share for the second quarter of 2018.</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Weatherford’s non-GAAP net loss for the second quarter of 2018, which excludes unusual charges and credits, was $156 million, or $0.16, diluted loss per share. This compares to a $188 million non-GAAP net loss in the prior quarter, or $0.19 diluted loss per share, and a $282 million non-GAAP net loss for the second quarter of 2017, or $0.28 diluted loss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Highlights</w:t>
      </w:r>
    </w:p>
    <w:p>
      <w:pPr>
        <w:spacing w:after="0" w:line="10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operating income improved by 73% sequentially and by 195% on a year-over-year basis.</w:t>
      </w:r>
    </w:p>
    <w:p>
      <w:pPr>
        <w:spacing w:after="0" w:line="103" w:lineRule="exact"/>
        <w:rPr>
          <w:rFonts w:ascii="Arial" w:cs="Arial" w:eastAsia="Arial" w:hAnsi="Arial"/>
          <w:sz w:val="18"/>
          <w:szCs w:val="18"/>
          <w:color w:val="auto"/>
        </w:rPr>
      </w:pPr>
    </w:p>
    <w:p>
      <w:pPr>
        <w:ind w:left="500" w:hanging="330"/>
        <w:spacing w:after="0" w:line="36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annualized impact of recurring transformation benefits improved to $192 million – an increase of 78% compared to first quarter 2018 and representing 19% of our transformation target.</w:t>
      </w:r>
    </w:p>
    <w:p>
      <w:pPr>
        <w:ind w:left="500" w:hanging="330"/>
        <w:spacing w:after="0" w:line="32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definitive agreement was signed to sell Weatherford’s land drilling rig business in Saudi Arabia, Kuwait and Algeria for cash proceeds of $287.5 million.</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Weatherford’s Magnus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push-the-bit rotary steerable system was successfully launched and completed jobs in multiple countries.</w:t>
      </w:r>
    </w:p>
    <w:p>
      <w:pPr>
        <w:spacing w:after="0" w:line="7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alliance with Valiant Artificial Lift Solutions was formed to jointly commercialize electrical submersible pumps (ESPs).</w:t>
      </w:r>
    </w:p>
    <w:p>
      <w:pPr>
        <w:spacing w:after="0" w:line="103"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sold its 50% interest in the Sunita Hydrocolloids Inc. joint venture in July 2018.</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Revenue in the second quarter of 2018 was $1.45 billion, which increased 2% from the $1.42 billion of revenue in the prior quarter and 6% from the $1.36 billion of revenue reported for the second quarter of 2017. Revenues increased sequentially on higher rig count and improved product mix in the U.S., integrated service projects in Mexico, seasonal improvement in the North Sea and higher activity levels in Saudi Arabia and Asia, offset by the seasonal slowdown associated with spring breakup in Canada.</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Year-over-year revenue growth was driven by results in the Western Hemisphere, attributable to increased production and completions work in the U.S. and additional integrated service projects activity in Mexico. In the Eastern Hemisphere, higher volume in Saudi Arabia was offset by a reduced number of offshore projects in West Africa and Asia combined with adverse exchange rate effects in Russia.</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jc w:val="both"/>
        <w:spacing w:after="0" w:line="395" w:lineRule="auto"/>
        <w:rPr>
          <w:sz w:val="20"/>
          <w:szCs w:val="20"/>
          <w:color w:val="auto"/>
        </w:rPr>
      </w:pPr>
      <w:r>
        <w:rPr>
          <w:rFonts w:ascii="Arial" w:cs="Arial" w:eastAsia="Arial" w:hAnsi="Arial"/>
          <w:sz w:val="17"/>
          <w:szCs w:val="17"/>
          <w:color w:val="auto"/>
        </w:rPr>
        <w:t>Operating loss for the second quarter of 2018 was $73 million. Excluding unusual charges and credits, segment operating income in the second quarter of 2018 was $69 million, up $29 million or 73%, sequentially and up $142 million, or 195%, year-over-year. The sequential improvement in the Western Hemisphere was due to overall increased activity levels, a favorable product mix and improved operational efficiency associated with Weatherford’s transformation efforts. Eastern Hemisphere operating income increased primarily due to transformation initiatives resulting in a lower cost structure.</w:t>
      </w:r>
    </w:p>
    <w:p>
      <w:pPr>
        <w:spacing w:after="0" w:line="26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year-over-year operating income improvements were driven by production and completions activity increases in the U.S. and market share gains in Latin America, combined with lower operating costs from the transformation initiatives in both the Western and Eastern Hemispheres.</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quarter, we recorded pre-tax charges of $109 million, which consist of $70 million in impairments and asset write-downs, primarily related to land drilling rigs, $38 million in restructuring and transformation charges and $11 million in Angolan kwanza currency devaluation charges, partially offset by a $10 million credit related to the fair value adjustment of the outstanding warrant.</w:t>
      </w:r>
    </w:p>
    <w:p>
      <w:pPr>
        <w:spacing w:after="0" w:line="277"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In the second quarter of 2018, incremental recurring benefits as a result of the transformation plan were $21 million. Total recognized recurring operating improvements during the second quarter were $48 million, or $192 million on an annualized basis, representing 19% of our $1 billion target.</w:t>
      </w:r>
    </w:p>
    <w:p>
      <w:pPr>
        <w:spacing w:after="0" w:line="241"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Mark A. McCollum, President and Chief Executive Officer, commented, “We have taken significant steps to strengthen our organization and lay the foundation for sustainable growth. Our second quarter results reflect improvement in revenues, segment operating income and adjusted EBITDA and confirm that we are on the path to becoming a stronger and healthier company. As global activity levels continue to improve and our transformation continues to gain momentum, I remain confident that we will reach our previously outlined operational and financial objectives, including achieving $1 billion in annualized recurring adjusted EBITDA benefit by year-end 2019.”</w:t>
      </w:r>
    </w:p>
    <w:p>
      <w:pPr>
        <w:spacing w:after="0" w:line="285"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McCollum continued, “Seasonal trends worked against us this quarter, causing us to miss our working capital objectives and, in turn, our cash flow target. The entire organization, however, remains intensely focused on delivering our objective of breakeven free cash flow for the year, and remedial actions have already been implemented to get us back on plan. With a clear mission, the right structure, and a solid strategy, our team is embracing this challenge head-on. We are continuing to drive significant change across all aspects of our business to better position Weatherford to create value for all of our stakeholders.”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 Drilling Rigs</w:t>
      </w:r>
    </w:p>
    <w:p>
      <w:pPr>
        <w:spacing w:after="0" w:line="108" w:lineRule="exact"/>
        <w:rPr>
          <w:sz w:val="20"/>
          <w:szCs w:val="20"/>
          <w:color w:val="auto"/>
        </w:rPr>
      </w:pPr>
    </w:p>
    <w:p>
      <w:pPr>
        <w:ind w:right="340"/>
        <w:spacing w:after="0" w:line="424" w:lineRule="auto"/>
        <w:rPr>
          <w:sz w:val="20"/>
          <w:szCs w:val="20"/>
          <w:color w:val="auto"/>
        </w:rPr>
      </w:pPr>
      <w:r>
        <w:rPr>
          <w:rFonts w:ascii="Arial" w:cs="Arial" w:eastAsia="Arial" w:hAnsi="Arial"/>
          <w:sz w:val="17"/>
          <w:szCs w:val="17"/>
          <w:color w:val="auto"/>
        </w:rPr>
        <w:t>Weatherford signed a definitive agreement with ADES International for the sale of the land drilling rig operations in Saudi Arabia, Kuwait and Algeria as well as two idle rigs in Iraq for cash proceeds of $287.5 million. The remainder of the fleet will be sold over the coming quarters.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land drilling rigs business during the quarter include:</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received award letters for contract extensions in Algeria, Colombia, Egypt, India, Iraq, Kuwait, Mexico and Saudi Arabia.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fleet achieved the lowest amount of nonproductive time during rig moves since 2016.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rigs have operated without a recordable incident for periods ranging from 1 to 17 years.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Net cash used by operating activities was $130 million for the second quarter of 2018, driven by cash payments of $99 million for debt interest and $29 million for cash severance, restructuring and transformation. Second quarter total capital expenditures of $48 million, including investments in held for sale land drilling rigs, increased by $10 million, or 26%, sequentially and increased $6 million or 14% from the same quarter in the prior year.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Operating Segments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6/30/2018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9"/>
              </w:rPr>
              <w:t>3/31/2018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6/30/2017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Sequential</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YoY</w:t>
            </w:r>
          </w:p>
        </w:tc>
        <w:tc>
          <w:tcPr>
            <w:tcW w:w="46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356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Western Hemisphere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bps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03"/>
        </w:trPr>
        <w:tc>
          <w:tcPr>
            <w:tcW w:w="35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Eastern Hemisphere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35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bps</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Hemisphere</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$769 million were up $13 million or 2% sequentially, and up $91 million, or 13%, year-over-year. The sequential growth resulted from higher U.S. rig counts, more favorable product mix and increased activity in Mexico, Argentina and Colombia, offset by the spring breakup in Canada. Year-over-year revenues increased on higher activity levels for the Completions, Production and Well Construction product lines in the U.S. and from growth in integrated service projects in Mexico.</w:t>
      </w:r>
    </w:p>
    <w:p>
      <w:pPr>
        <w:spacing w:after="0" w:line="28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segment operating income of $50 million was up $26 million, sequentially and up $101 million year-over-year. The sequential increase resulted from the revenue drivers described above and reduced operating costs due to the transformation efforts. Year-over-year results improved due to increased activity levels in the U.S. and Mexico, offset by a more severe impact from the spring breakup in Canada. A change in revenue recognition in Venezuela reduced operating results in the second quarter of the prior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Western Hemisphere during the quarter include:</w:t>
      </w:r>
    </w:p>
    <w:p>
      <w:pPr>
        <w:spacing w:after="0" w:line="104" w:lineRule="exact"/>
        <w:rPr>
          <w:sz w:val="20"/>
          <w:szCs w:val="20"/>
          <w:color w:val="auto"/>
        </w:rPr>
      </w:pP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was awarded a 5-year contract worth $300 million by a major operator in Argentina. The contract entails fracturing, coiled tubing, wireline, completions and testing services.</w:t>
      </w:r>
    </w:p>
    <w:p>
      <w:pPr>
        <w:ind w:left="660" w:hanging="328"/>
        <w:spacing w:after="0" w:line="34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Weatherford was awarded a 5-year contract worth $270 million to provide multiple product line services for a major operator in Colombia. The contract includes services for fracturing, coiled tubing, wireline, fishing, re-entry, tubular running, completions and testing, among others.</w:t>
      </w:r>
    </w:p>
    <w:p>
      <w:pPr>
        <w:ind w:left="660" w:right="20" w:hanging="328"/>
        <w:spacing w:after="0" w:line="3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Indications of demand for Weatherford’s RotaFlex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long-stroke pumping units in the U.S. for the second half of 2018 are double the rate of deliveries we made during the first half of the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6" w:name="page7"/>
    <w:bookmarkEnd w:id="6"/>
    <w:p>
      <w:pPr>
        <w:ind w:left="660" w:hanging="328"/>
        <w:spacing w:after="0" w:line="30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U.S. operators in major basins signed new software contracts with Weatherford. One of the contracts engaged Weatherford to install ForeSite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production optimization software on approximately 26,000 wells.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Weatherford has increased integrated project activity for development wells in Mexico, with services ranging from drilling to completions. In one</w:t>
      </w:r>
    </w:p>
    <w:p>
      <w:pPr>
        <w:spacing w:after="0" w:line="115" w:lineRule="exact"/>
        <w:rPr>
          <w:rFonts w:ascii="Arial" w:cs="Arial" w:eastAsia="Arial" w:hAnsi="Arial"/>
          <w:sz w:val="17"/>
          <w:szCs w:val="17"/>
          <w:color w:val="auto"/>
        </w:rPr>
      </w:pPr>
    </w:p>
    <w:p>
      <w:pPr>
        <w:ind w:left="660"/>
        <w:spacing w:after="0" w:line="284" w:lineRule="auto"/>
        <w:rPr>
          <w:rFonts w:ascii="Arial" w:cs="Arial" w:eastAsia="Arial" w:hAnsi="Arial"/>
          <w:sz w:val="17"/>
          <w:szCs w:val="17"/>
          <w:color w:val="auto"/>
        </w:rPr>
      </w:pPr>
      <w:r>
        <w:rPr>
          <w:rFonts w:ascii="Arial" w:cs="Arial" w:eastAsia="Arial" w:hAnsi="Arial"/>
          <w:sz w:val="18"/>
          <w:szCs w:val="18"/>
          <w:color w:val="auto"/>
        </w:rPr>
        <w:t>offshore well, Weatherford reduced the expected operational time by 22 days, equal to $2 million, by deploying proven technologies, including two RipTide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drilling reamers and the Microflux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control system.</w:t>
      </w:r>
    </w:p>
    <w:p>
      <w:pPr>
        <w:ind w:left="660" w:right="20" w:hanging="328"/>
        <w:spacing w:after="0" w:line="31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 onshore oil well in Mexico, the Weatherford Magnus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rotary steerable system increased the rate of penetration, which improved the drilling time by approximately 50%.</w:t>
      </w:r>
    </w:p>
    <w:p>
      <w:pPr>
        <w:spacing w:after="0" w:line="1" w:lineRule="exact"/>
        <w:rPr>
          <w:rFonts w:ascii="Arial" w:cs="Arial" w:eastAsia="Arial" w:hAnsi="Arial"/>
          <w:sz w:val="18"/>
          <w:szCs w:val="18"/>
          <w:color w:val="auto"/>
        </w:rPr>
      </w:pPr>
    </w:p>
    <w:p>
      <w:pPr>
        <w:jc w:val="both"/>
        <w:ind w:left="660" w:hanging="328"/>
        <w:spacing w:after="0" w:line="3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 cased-hole well in Colombia, Weatherford used the shallow-angle QuickCut™ casing-exit system to complete a sidetrack, which saved 7.5 hours of rig time compared to window-milling estimates. The sidetrack enabled reaching total depth without drilling a new well, which saved the customer approximately $2 million.</w:t>
      </w:r>
    </w:p>
    <w:p>
      <w:pPr>
        <w:ind w:left="660" w:hanging="328"/>
        <w:spacing w:after="0" w:line="3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Weatherford commercially deployed the recently launched WFXØ</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openhole gravel-pack system for an offshore project in Brazil. The system was configured to perform a multizone acid job from a single point, and oil production increased by 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Hemisphere</w:t>
      </w:r>
    </w:p>
    <w:p>
      <w:pPr>
        <w:spacing w:after="0" w:line="32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$679 million were up $12 million or 2% sequentially, and down $6 million or 1% year-over-year. The sequential increase was primarily due to seasonal improvement in the North Sea and from completions activity in Saudi Arabia and Asia, offset by decreased Production deliveries in Kuwait. Year-over-year revenues decreased slightly with increased completions and well construction activity in Saudi Arabia offset by fewer offshore projects in West Africa and Asia combined with adverse exchange rate effects in Russia.</w:t>
      </w:r>
    </w:p>
    <w:p>
      <w:pPr>
        <w:spacing w:after="0" w:line="280"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Second quarter segment operating income of $19 million was up $3 million sequentially, and up $41 million year-over-year. The sequential and year-over-year increases were primarily due to improvements from transformation initiatives and a lower cost structure.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Operational highlights in the Eastern Hemisphere during the quarter include:</w:t>
      </w:r>
    </w:p>
    <w:p>
      <w:pPr>
        <w:spacing w:after="0" w:line="104" w:lineRule="exact"/>
        <w:rPr>
          <w:sz w:val="20"/>
          <w:szCs w:val="20"/>
          <w:color w:val="auto"/>
        </w:rPr>
      </w:pPr>
    </w:p>
    <w:p>
      <w:pPr>
        <w:jc w:val="both"/>
        <w:ind w:left="660" w:right="20" w:hanging="328"/>
        <w:spacing w:after="0" w:line="3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Weatherford delivered managed pressure drilling (MPD) technologies that mitigated risks in a gas-well drilling campaign in the Middle East. The technologies enabled drilling the well sections to total depth despite the ultranarrow window and high-pressure, high-temperature conditions. Compared to conventional drilling methods, MPD reduced the average drilling time by 15 days.</w:t>
      </w:r>
    </w:p>
    <w:p>
      <w:pPr>
        <w:ind w:left="660" w:hanging="328"/>
        <w:spacing w:after="0" w:line="34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two wells in the Middle East, Weatherford supplied completions and cementing equipment, including the SwageSet VØ</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packoff stage tool. The 13 3/8-inch tool size proved successful in its first two runs and the seal eliminated casing-to-casing annular gas migration.</w:t>
      </w:r>
    </w:p>
    <w:p>
      <w:pPr>
        <w:spacing w:after="0" w:line="1" w:lineRule="exact"/>
        <w:rPr>
          <w:rFonts w:ascii="Arial" w:cs="Arial" w:eastAsia="Arial" w:hAnsi="Arial"/>
          <w:sz w:val="17"/>
          <w:szCs w:val="17"/>
          <w:color w:val="auto"/>
        </w:rPr>
      </w:pPr>
    </w:p>
    <w:p>
      <w:pPr>
        <w:ind w:left="660" w:hanging="328"/>
        <w:spacing w:after="0" w:line="32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Weatherford marked its return to the Kuwait liner-hanger business by securing a sizable contract. As a result of the awards, Weatherford will extend traditional field of operations into the deep drilling sector.</w:t>
      </w:r>
    </w:p>
    <w:p>
      <w:pPr>
        <w:spacing w:after="0" w:line="1" w:lineRule="exact"/>
        <w:rPr>
          <w:rFonts w:ascii="Arial" w:cs="Arial" w:eastAsia="Arial" w:hAnsi="Arial"/>
          <w:sz w:val="18"/>
          <w:szCs w:val="18"/>
          <w:color w:val="auto"/>
        </w:rPr>
      </w:pPr>
    </w:p>
    <w:p>
      <w:pPr>
        <w:ind w:left="660" w:hanging="328"/>
        <w:spacing w:after="0" w:line="3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Weatherford replaced an incumbent wireline service provider on an onshore oil well in Kuwait. By conveying Compact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tools through drillpipe, Weatherford secured the requested data with zero nonproductive time.</w:t>
      </w:r>
    </w:p>
    <w:p>
      <w:pPr>
        <w:spacing w:after="0" w:line="1" w:lineRule="exact"/>
        <w:rPr>
          <w:rFonts w:ascii="Arial" w:cs="Arial" w:eastAsia="Arial" w:hAnsi="Arial"/>
          <w:sz w:val="18"/>
          <w:szCs w:val="18"/>
          <w:color w:val="auto"/>
        </w:rPr>
      </w:pPr>
    </w:p>
    <w:p>
      <w:pPr>
        <w:ind w:left="660" w:hanging="328"/>
        <w:spacing w:after="0" w:line="32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Working closely alongside the operator, Weatherford devised a completion solution including Maxflo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chrome premium sand screens. The solution maximized reservoir contact for 2,646 feet with the longest 4 1/2-inch Maxflo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sand screen installation in a 5 7/8-inch openhole gas well.</w:t>
      </w:r>
    </w:p>
    <w:p>
      <w:pPr>
        <w:jc w:val="both"/>
        <w:ind w:left="660" w:hanging="328"/>
        <w:spacing w:after="0" w:line="37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Weatherford was awarded a 3-year contract for tubular running services in 11 wells as part of a critical project for delivering cleaner burning natural gas in Australia. The win can be credited to Weatherford’s leading technology and track record for delivering incident-free operations with low nonproductive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In 2018 we adopted pension accounting standards on a retrospective basis, reclassifying the presentation of non-service cost components of net periodic pension and post-retirement cost from our operating income to non-operating Other Income (Expense), Net. All prior periods have been restated to conform to the current presentation within the Condensed Consolidated Statements of Operations and other financial information in the following pages.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740 locations, including manufacturing, service, research and development and training facilities and employs approximately 28,600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 xml:space="preserve">The Company will host a conference call with financial analysts to discuss the quarterly results on July 27, 2018, at 8:30 a.m. Eastern Time (ET), 7:30 a.m. Central Time (CT). Weatherford invites investors to listen to the call live and review related presentation materials via the Company’s website. Conference call details and presentation materials can be found at </w:t>
      </w:r>
      <w:r>
        <w:rPr>
          <w:rFonts w:ascii="Arial" w:cs="Arial" w:eastAsia="Arial" w:hAnsi="Arial"/>
          <w:sz w:val="16"/>
          <w:szCs w:val="16"/>
          <w:u w:val="single" w:color="auto"/>
          <w:color w:val="auto"/>
        </w:rPr>
        <w:t>https://www.weatherford.com/en/investor-relations/financial-information/conference-call-details/</w:t>
      </w:r>
      <w:r>
        <w:rPr>
          <w:rFonts w:ascii="Arial" w:cs="Arial" w:eastAsia="Arial" w:hAnsi="Arial"/>
          <w:sz w:val="16"/>
          <w:szCs w:val="16"/>
          <w:color w:val="auto"/>
        </w:rPr>
        <w:t>. A recording of the conference call and transcript of the call will be available in the Investor Relations section of the website shortly after the call ends.</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ind w:left="330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completion of potential dispositions, and the changes in spending and payment timing by our clients and customers. Forward-looking statements are also affected by the risk factors described in the Company’s Annual Report on Form 10-K for the year ended December 31, 2017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6/30/2017</w:t>
            </w:r>
          </w:p>
        </w:tc>
      </w:tr>
      <w:tr>
        <w:trPr>
          <w:trHeight w:val="27"/>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2C2C2C"/>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2C2C2C"/>
              </w:rPr>
              <w:t>678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2C2C2C"/>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2C2C2C"/>
              </w:rPr>
              <w:t>1,411</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1,338</w:t>
            </w:r>
          </w:p>
        </w:tc>
      </w:tr>
      <w:tr>
        <w:trPr>
          <w:trHeight w:val="237"/>
        </w:trPr>
        <w:tc>
          <w:tcPr>
            <w:tcW w:w="630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Operating Income (Loss)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Charges, Net</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(359)</w:t>
            </w:r>
          </w:p>
        </w:tc>
      </w:tr>
      <w:tr>
        <w:trPr>
          <w:trHeight w:val="297"/>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Tender and Call Premium</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Warrant Fair Value Adjustment</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Charges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2C2C2C"/>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2C2C2C"/>
              </w:rPr>
              <w:t>15</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324"/>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91"/>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891"/>
        </w:trPr>
        <w:tc>
          <w:tcPr>
            <w:tcW w:w="472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Weatherford International plc</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580" w:type="dxa"/>
            <w:vAlign w:val="bottom"/>
          </w:tcPr>
          <w:p>
            <w:pPr>
              <w:spacing w:after="0"/>
              <w:rPr>
                <w:sz w:val="23"/>
                <w:szCs w:val="23"/>
                <w:color w:val="auto"/>
              </w:rPr>
            </w:pPr>
          </w:p>
        </w:tc>
        <w:tc>
          <w:tcPr>
            <w:tcW w:w="4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Selected Statements of Operations Information</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2980" w:type="dxa"/>
            <w:vAlign w:val="bottom"/>
            <w:gridSpan w:val="4"/>
          </w:tcPr>
          <w:p>
            <w:pPr>
              <w:jc w:val="center"/>
              <w:ind w:left="121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2C2C2C"/>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2C2C2C"/>
              </w:rPr>
              <w:t>756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678</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Revenues</w:t>
            </w:r>
          </w:p>
        </w:tc>
        <w:tc>
          <w:tcPr>
            <w:tcW w:w="16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2C2C2C"/>
              </w:rPr>
              <w:t>1,423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1,363</w:t>
            </w: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6/30/2017</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Segment Operating Income (Loss)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4"/>
        </w:trPr>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35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6/30/2017</w:t>
            </w: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Production</w:t>
            </w:r>
          </w:p>
        </w:tc>
        <w:tc>
          <w:tcPr>
            <w:tcW w:w="19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Drilling and Evaluation</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 Construction</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8"/>
              </w:rPr>
              <w:t>Total Product and Service Line Revenues</w:t>
            </w:r>
          </w:p>
        </w:tc>
        <w:tc>
          <w:tcPr>
            <w:tcW w:w="16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1,363</w:t>
            </w: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3/31/2018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6/30/2017</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9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358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16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1" w:name="page12"/>
    <w:bookmarkEnd w:id="11"/>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0"/>
              </w:rPr>
              <w:t>Three Months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6/30/2018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3/31/2018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6/30/2018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6/30/2017</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2C2C2C"/>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2C2C2C"/>
              </w:rPr>
              <w:t>(145)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2C2C2C"/>
              </w:rPr>
              <w:t>(359)</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Restructuring and Transformation Charges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r>
      <w:tr>
        <w:trPr>
          <w:trHeight w:val="270"/>
        </w:trPr>
        <w:tc>
          <w:tcPr>
            <w:tcW w:w="44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(b)</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C2C2C"/>
              </w:rPr>
              <w:t>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C2C2C"/>
              </w:rPr>
              <w:t>25</w:t>
            </w:r>
          </w:p>
        </w:tc>
      </w:tr>
      <w:tr>
        <w:trPr>
          <w:trHeight w:val="264"/>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Non-GAAP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2C2C2C"/>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2C2C2C"/>
              </w:rPr>
              <w:t>131</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2C2C2C"/>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2C2C2C"/>
              </w:rPr>
              <w:t>(106)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2C2C2C"/>
              </w:rPr>
              <w:t>(228)</w:t>
            </w: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Operating Non-GAAP Adjustments</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2C2C2C"/>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2C2C2C"/>
              </w:rPr>
              <w:t>131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Bond Tender and Call Premium </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Defined Benefit Pension Plan Gains </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C2C2C"/>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C2C2C"/>
              </w:rPr>
              <w:t>(40)</w:t>
            </w:r>
          </w:p>
        </w:tc>
      </w:tr>
      <w:tr>
        <w:trPr>
          <w:trHeight w:val="270"/>
        </w:trPr>
        <w:tc>
          <w:tcPr>
            <w:tcW w:w="44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Currency Devaluation Charges </w:t>
            </w:r>
            <w:r>
              <w:rPr>
                <w:rFonts w:ascii="Arial" w:cs="Arial" w:eastAsia="Arial" w:hAnsi="Arial"/>
                <w:sz w:val="25"/>
                <w:szCs w:val="25"/>
                <w:color w:val="auto"/>
                <w:vertAlign w:val="superscript"/>
              </w:rPr>
              <w:t>(e)</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Non-GAAP Adjustments Before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Loss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(532)</w:t>
            </w:r>
          </w:p>
        </w:tc>
      </w:tr>
      <w:tr>
        <w:trPr>
          <w:trHeight w:val="203"/>
        </w:trPr>
        <w:tc>
          <w:tcPr>
            <w:tcW w:w="4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Provision for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Provision for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(264)</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(619)</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r>
      <w:tr>
        <w:trPr>
          <w:trHeight w:val="29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(600)</w:t>
            </w:r>
          </w:p>
        </w:tc>
      </w:tr>
      <w:tr>
        <w:trPr>
          <w:trHeight w:val="230"/>
        </w:trPr>
        <w:tc>
          <w:tcPr>
            <w:tcW w:w="4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w w:val="99"/>
              </w:rPr>
              <w:t>Diluted Loss Per Share Attributable to Weatherford:</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(0.26)</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2C2C2C"/>
              </w:rPr>
              <w:t>(0.63)</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0.02</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Diluted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0"/>
        </w:trPr>
        <w:tc>
          <w:tcPr>
            <w:tcW w:w="44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(f)</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1"/>
        </w:trPr>
        <w:tc>
          <w:tcPr>
            <w:tcW w:w="4460" w:type="dxa"/>
            <w:vAlign w:val="bottom"/>
          </w:tcPr>
          <w:p>
            <w:pPr>
              <w:ind w:left="180"/>
              <w:spacing w:after="0" w:line="271"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(g)</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bl>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severance, transformation and facility exit costs in 2018.</w:t>
      </w:r>
    </w:p>
    <w:p>
      <w:pPr>
        <w:ind w:left="260" w:hanging="252"/>
        <w:spacing w:after="0" w:line="24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long-lived asset impairments, other asset write-downs and inventory charges, partially offset by gains on purchase of the remaining interest in a joint venture, property sales and a reduction of a contingency reserve on a legacy contract in 2018.</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 bond tender and call premium on the tender offer redemption of our 9.625% senior notes.</w:t>
      </w:r>
    </w:p>
    <w:p>
      <w:pPr>
        <w:spacing w:after="0" w:line="1" w:lineRule="exact"/>
        <w:rPr>
          <w:rFonts w:ascii="Arial" w:cs="Arial" w:eastAsia="Arial" w:hAnsi="Arial"/>
          <w:sz w:val="14"/>
          <w:szCs w:val="14"/>
          <w:color w:val="auto"/>
        </w:rPr>
      </w:pPr>
    </w:p>
    <w:p>
      <w:pPr>
        <w:ind w:left="260" w:hanging="252"/>
        <w:spacing w:after="0" w:line="24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supplemental executive retirement plan gain that was reclassified from Operating Non-GAAP Adjustments to non-operating Other Income (Expense), Net upon retrospective adoption of the new pension accounting standards in the first quarter of 2018.</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currency devaluations of the Angolan kwanza and Venezuelan bolivar.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 and calculated in thousands.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 - EBITDA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6/30/2018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3/31/2018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2C2C2C"/>
                <w:w w:val="92"/>
              </w:rPr>
              <w:t>6/30/2017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6/30/2018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2C2C2C"/>
                <w:w w:val="89"/>
              </w:rPr>
              <w:t>6/30/2017</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5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5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Adjustments: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Fair Value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Bond Tender and Call Premium</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Transformation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Impairments, Asset Write-Downs and Other</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80"/>
          </w:cols>
          <w:pgMar w:left="260" w:top="742" w:right="259" w:bottom="1440" w:gutter="0" w:footer="0" w:header="0"/>
        </w:sectPr>
      </w:pPr>
    </w:p>
    <w:bookmarkStart w:id="13" w:name="page14"/>
    <w:bookmarkEnd w:id="13"/>
    <w:p>
      <w:pPr>
        <w:jc w:val="center"/>
        <w:ind w:right="8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6/30/2017</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584</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4,111</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Goodwill and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rPr>
              <w:t>Liabilities: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837</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7,530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7,538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71608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jc w:val="both"/>
        <w:ind w:left="420" w:hanging="330"/>
        <w:spacing w:after="0" w:line="239" w:lineRule="auto"/>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 January 1, 2018, we adopted the accounting standard related to taxes on intra-entity transfers of non-inventory assets on a modified retrospective basis and the impact from this adoption was to record the previously recorded prepaid taxes as an adjustment to retained earnings. In addition we also adopted the revenue recognition accounting standard and recorded the cumulative effect of the changes made to our consolidated balance sheet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742" w:right="239" w:bottom="1440" w:gutter="0" w:footer="0" w:header="0"/>
        </w:sectPr>
      </w:pPr>
    </w:p>
    <w:bookmarkStart w:id="14" w:name="page15"/>
    <w:bookmarkEnd w:id="14"/>
    <w:tbl>
      <w:tblPr>
        <w:tblLayout w:type="fixed"/>
        <w:tblInd w:w="12"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 xml:space="preserve">Net Debt </w:t>
            </w:r>
            <w:r>
              <w:rPr>
                <w:rFonts w:ascii="Arial" w:cs="Arial" w:eastAsia="Arial" w:hAnsi="Arial"/>
                <w:sz w:val="25"/>
                <w:szCs w:val="25"/>
                <w:b w:val="1"/>
                <w:bCs w:val="1"/>
                <w:color w:val="auto"/>
                <w:w w:val="88"/>
                <w:vertAlign w:val="superscript"/>
              </w:rPr>
              <w: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62"/>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6/30/2018: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3/31/2018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(7,333)</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Net Debt at 6/30/2018 </w:t>
            </w:r>
            <w:r>
              <w:rPr>
                <w:rFonts w:ascii="Arial" w:cs="Arial" w:eastAsia="Arial" w:hAnsi="Arial"/>
                <w:sz w:val="25"/>
                <w:szCs w:val="25"/>
                <w:color w:val="auto"/>
                <w:vertAlign w:val="superscript"/>
              </w:rPr>
              <w: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Six Months Ended 6/30/2018: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Debt at 12/31/2017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(7,076)</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Assets Held for Sale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Intangibles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0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Net Debt at 6/30/2018 </w:t>
            </w:r>
            <w:r>
              <w:rPr>
                <w:rFonts w:ascii="Arial" w:cs="Arial" w:eastAsia="Arial" w:hAnsi="Arial"/>
                <w:sz w:val="25"/>
                <w:szCs w:val="25"/>
                <w:color w:val="auto"/>
                <w:vertAlign w:val="superscript"/>
              </w:rPr>
              <w: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7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7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6/30/2018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3/31/2018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7"/>
              </w:rPr>
              <w:t>12/31/2017</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(7,541)</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r>
    </w:tbl>
    <w:p>
      <w:pPr>
        <w:ind w:left="172" w:hanging="172"/>
        <w:spacing w:after="0" w:line="216" w:lineRule="auto"/>
        <w:tabs>
          <w:tab w:leader="none" w:pos="172" w:val="left"/>
        </w:tabs>
        <w:numPr>
          <w:ilvl w:val="0"/>
          <w:numId w:val="11"/>
        </w:numPr>
        <w:rPr>
          <w:rFonts w:ascii="Arial" w:cs="Arial" w:eastAsia="Arial" w:hAnsi="Arial"/>
          <w:sz w:val="21"/>
          <w:szCs w:val="21"/>
          <w:color w:val="auto"/>
          <w:vertAlign w:val="superscript"/>
        </w:rPr>
      </w:pPr>
      <w:r>
        <w:rPr>
          <w:rFonts w:ascii="Arial" w:cs="Arial" w:eastAsia="Arial" w:hAnsi="Arial"/>
          <w:sz w:val="12"/>
          <w:szCs w:val="12"/>
          <w:color w:val="auto"/>
        </w:rPr>
        <w:t>“Net Debt” is defined as debt less cash. Management believes that it provides useful information regarding our level of indebtedness by reflecting cash that could be used to repay debt.</w:t>
      </w:r>
    </w:p>
    <w:p>
      <w:pPr>
        <w:spacing w:after="0" w:line="46" w:lineRule="exact"/>
        <w:rPr>
          <w:rFonts w:ascii="Arial" w:cs="Arial" w:eastAsia="Arial" w:hAnsi="Arial"/>
          <w:sz w:val="21"/>
          <w:szCs w:val="21"/>
          <w:color w:val="auto"/>
          <w:vertAlign w:val="superscript"/>
        </w:rPr>
      </w:pPr>
    </w:p>
    <w:p>
      <w:pPr>
        <w:ind w:left="172" w:hanging="172"/>
        <w:spacing w:after="0" w:line="187" w:lineRule="auto"/>
        <w:tabs>
          <w:tab w:leader="none" w:pos="172"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Working capital is defined as the cash changes in accounts receivable plus inventory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-266065</wp:posOffset>
            </wp:positionV>
            <wp:extent cx="2735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392"/>
      </w:cols>
      <w:pgMar w:left="248" w:top="7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2019-12-28T21:05:29Z</dcterms:created>
  <dcterms:modified xsi:type="dcterms:W3CDTF">2019-12-28T21:05:29Z</dcterms:modified>
</cp:coreProperties>
</file>