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713740</wp:posOffset>
            </wp:positionH>
            <wp:positionV relativeFrom="page">
              <wp:posOffset>782955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10, 2020</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334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286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001-36504</w:t>
            </w:r>
          </w:p>
        </w:tc>
        <w:tc>
          <w:tcPr>
            <w:tcW w:w="29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920" w:type="dxa"/>
            <w:vAlign w:val="bottom"/>
          </w:tcPr>
          <w:p>
            <w:pPr>
              <w:spacing w:after="0"/>
              <w:rPr>
                <w:sz w:val="20"/>
                <w:szCs w:val="20"/>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6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8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920" w:type="dxa"/>
            <w:vAlign w:val="bottom"/>
          </w:tcPr>
          <w:p>
            <w:pPr>
              <w:spacing w:after="0"/>
              <w:rPr>
                <w:sz w:val="24"/>
                <w:szCs w:val="24"/>
                <w:color w:val="auto"/>
              </w:rPr>
            </w:pPr>
          </w:p>
        </w:tc>
        <w:tc>
          <w:tcPr>
            <w:tcW w:w="3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Texas</w:t>
            </w:r>
          </w:p>
        </w:tc>
        <w:tc>
          <w:tcPr>
            <w:tcW w:w="29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920" w:type="dxa"/>
            <w:vAlign w:val="bottom"/>
          </w:tcPr>
          <w:p>
            <w:pPr>
              <w:spacing w:after="0"/>
              <w:rPr>
                <w:sz w:val="24"/>
                <w:szCs w:val="24"/>
                <w:color w:val="auto"/>
              </w:rPr>
            </w:pPr>
          </w:p>
        </w:tc>
      </w:tr>
      <w:tr>
        <w:trPr>
          <w:trHeight w:val="27"/>
        </w:trPr>
        <w:tc>
          <w:tcPr>
            <w:tcW w:w="920" w:type="dxa"/>
            <w:vAlign w:val="bottom"/>
          </w:tcPr>
          <w:p>
            <w:pPr>
              <w:spacing w:after="0"/>
              <w:rPr>
                <w:sz w:val="2"/>
                <w:szCs w:val="2"/>
                <w:color w:val="auto"/>
              </w:rPr>
            </w:pPr>
          </w:p>
        </w:tc>
        <w:tc>
          <w:tcPr>
            <w:tcW w:w="6200" w:type="dxa"/>
            <w:vAlign w:val="bottom"/>
            <w:tcBorders>
              <w:bottom w:val="single" w:sz="8" w:color="auto"/>
            </w:tcBorders>
            <w:gridSpan w:val="2"/>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62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58"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36830</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1"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102"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57"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81"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90" w:type="dxa"/>
        <w:tblCellMar>
          <w:top w:w="0" w:type="dxa"/>
          <w:left w:w="0" w:type="dxa"/>
          <w:bottom w:w="0" w:type="dxa"/>
          <w:right w:w="0" w:type="dxa"/>
        </w:tblCellMar>
      </w:tblPr>
      <w:tr>
        <w:trPr>
          <w:trHeight w:val="257"/>
        </w:trPr>
        <w:tc>
          <w:tcPr>
            <w:tcW w:w="4160" w:type="dxa"/>
            <w:vAlign w:val="bottom"/>
            <w:tcBorders>
              <w:top w:val="single" w:sz="8" w:color="auto"/>
              <w:left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Title of each class</w:t>
            </w:r>
          </w:p>
        </w:tc>
        <w:tc>
          <w:tcPr>
            <w:tcW w:w="23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60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50"/>
        </w:trPr>
        <w:tc>
          <w:tcPr>
            <w:tcW w:w="416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r>
    </w:tbl>
    <w:p>
      <w:pPr>
        <w:spacing w:after="0" w:line="76"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2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94" w:right="3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920" w:space="720"/>
            <w:col w:w="9580"/>
          </w:cols>
          <w:pgMar w:left="320" w:top="1035" w:right="3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Appointment of President and Chief Executive Officer</w:t>
      </w:r>
    </w:p>
    <w:p>
      <w:pPr>
        <w:spacing w:after="0" w:line="25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September 10, 2020, Weatherford International plc (the “Company”) announced the appointment of Girish K. Saligram, 48, to serve as the Company’s President and Chief Executive Officer, effective October 12, 2020. Upon commencement of his employment, the Board of Directors will also elect Mr. Saligram as a director of the Company.</w:t>
      </w:r>
    </w:p>
    <w:p>
      <w:pPr>
        <w:spacing w:after="0" w:line="20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his appointment as President and Chief Executive Officer of the Company, Mr. Saligram will receive the following compensation:</w:t>
      </w:r>
    </w:p>
    <w:p>
      <w:pPr>
        <w:spacing w:after="0" w:line="239" w:lineRule="exact"/>
        <w:rPr>
          <w:sz w:val="20"/>
          <w:szCs w:val="20"/>
          <w:color w:val="auto"/>
        </w:rPr>
      </w:pPr>
    </w:p>
    <w:p>
      <w:pPr>
        <w:ind w:left="920" w:hanging="264"/>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$825,000;</w:t>
      </w:r>
    </w:p>
    <w:p>
      <w:pPr>
        <w:spacing w:after="0" w:line="252" w:lineRule="exact"/>
        <w:rPr>
          <w:rFonts w:ascii="Times New Roman" w:cs="Times New Roman" w:eastAsia="Times New Roman" w:hAnsi="Times New Roman"/>
          <w:sz w:val="18"/>
          <w:szCs w:val="18"/>
          <w:color w:val="auto"/>
        </w:rPr>
      </w:pPr>
    </w:p>
    <w:p>
      <w:pPr>
        <w:ind w:left="660" w:right="360" w:hanging="4"/>
        <w:spacing w:after="0" w:line="282" w:lineRule="auto"/>
        <w:tabs>
          <w:tab w:leader="none" w:pos="9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Executive Non-Equity Incentive Compensation Plan, as amended (“EICP”), with a target award opportunity set at 125% of his annual base salary;</w:t>
      </w:r>
    </w:p>
    <w:p>
      <w:pPr>
        <w:spacing w:after="0" w:line="188" w:lineRule="exact"/>
        <w:rPr>
          <w:rFonts w:ascii="Times New Roman" w:cs="Times New Roman" w:eastAsia="Times New Roman" w:hAnsi="Times New Roman"/>
          <w:sz w:val="18"/>
          <w:szCs w:val="18"/>
          <w:color w:val="auto"/>
        </w:rPr>
      </w:pPr>
    </w:p>
    <w:p>
      <w:pPr>
        <w:ind w:left="660" w:hanging="4"/>
        <w:spacing w:after="0" w:line="24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cash incentive award of 425% of his annual base salary (prorated for the period of employment calculated from his hire date) pursuant to the Company’s 2020 Long-Term Cash Incentive Plan (the “LTCIP”) vesting in accordance with the LTCIP vesting schedule (with the time-based portion of the award vesting in equal installments on each of December 31, 2020, 2021 and 2022) or earlier upon a “covered termination” (which is defined as a termination without “cause”, a resignation for “good reason” (as such terms are defined in Mr. Saligram’s offer letter) or termination due to death or disability);</w:t>
      </w:r>
    </w:p>
    <w:p>
      <w:pPr>
        <w:spacing w:after="0" w:line="211" w:lineRule="exact"/>
        <w:rPr>
          <w:rFonts w:ascii="Times New Roman" w:cs="Times New Roman" w:eastAsia="Times New Roman" w:hAnsi="Times New Roman"/>
          <w:sz w:val="18"/>
          <w:szCs w:val="18"/>
          <w:color w:val="auto"/>
        </w:rPr>
      </w:pPr>
    </w:p>
    <w:p>
      <w:pPr>
        <w:ind w:left="660" w:right="100" w:hanging="4"/>
        <w:spacing w:after="0" w:line="258" w:lineRule="auto"/>
        <w:tabs>
          <w:tab w:leader="none" w:pos="9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Amended and Restated 2019 Equity Incentive Plan or other long-term incentive plans, beginning in 2021 and subsequent years; awards under such plan will provide that upon a termination without cause or resignation for good reason (a) not following a change in control, Restricted Share Units (“RSUs”) and Performance Share Units (“PSUs”) will vest on a prorated basis, with PSUs based on performance attainment at the end of the relevant measurement period, or (b) following a change in control, RSUs and PSUs will fully vest, with PSUs based on performance attainment as of the termination of employment; and</w:t>
      </w:r>
    </w:p>
    <w:p>
      <w:pPr>
        <w:spacing w:after="0" w:line="210"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sign-on award of $1,200,000 in total value, payable as follows:</w:t>
      </w:r>
    </w:p>
    <w:p>
      <w:pPr>
        <w:spacing w:after="0" w:line="27" w:lineRule="exact"/>
        <w:rPr>
          <w:rFonts w:ascii="Times New Roman" w:cs="Times New Roman" w:eastAsia="Times New Roman" w:hAnsi="Times New Roman"/>
          <w:sz w:val="18"/>
          <w:szCs w:val="18"/>
          <w:color w:val="auto"/>
        </w:rPr>
      </w:pPr>
    </w:p>
    <w:p>
      <w:pPr>
        <w:jc w:val="both"/>
        <w:ind w:left="980" w:right="100"/>
        <w:spacing w:after="0" w:line="235" w:lineRule="auto"/>
        <w:tabs>
          <w:tab w:leader="none" w:pos="119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in a cash award payable in the next payroll after commencing employment subject to repayment in full upon a termination other than due to a covered termination prior to October 12, 2021 or repayment of 50% upon a termination other than due to a covered termination prior to October 12, 2022;</w:t>
      </w:r>
    </w:p>
    <w:p>
      <w:pPr>
        <w:spacing w:after="0" w:line="1" w:lineRule="exact"/>
        <w:rPr>
          <w:rFonts w:ascii="Times New Roman" w:cs="Times New Roman" w:eastAsia="Times New Roman" w:hAnsi="Times New Roman"/>
          <w:sz w:val="18"/>
          <w:szCs w:val="18"/>
          <w:color w:val="auto"/>
        </w:rPr>
      </w:pPr>
    </w:p>
    <w:p>
      <w:pPr>
        <w:ind w:left="980" w:right="80"/>
        <w:spacing w:after="0" w:line="249" w:lineRule="auto"/>
        <w:tabs>
          <w:tab w:leader="none" w:pos="124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in RSUs awarded based on the closing share price on Mr. Saligram’s hire date and subject to a 3-year ratable vesting from his hire date (subject to the terms and conditions of the award agreement and the plan document for the Company’s Amended and Restated 2019 Equity Incentive Plan (the “2019 Equity Incentive Plan Documents”)) or earlier vesting upon a covered termination; and</w:t>
      </w:r>
    </w:p>
    <w:p>
      <w:pPr>
        <w:spacing w:after="0" w:line="2" w:lineRule="exact"/>
        <w:rPr>
          <w:rFonts w:ascii="Times New Roman" w:cs="Times New Roman" w:eastAsia="Times New Roman" w:hAnsi="Times New Roman"/>
          <w:sz w:val="18"/>
          <w:szCs w:val="18"/>
          <w:color w:val="auto"/>
        </w:rPr>
      </w:pPr>
    </w:p>
    <w:p>
      <w:pPr>
        <w:ind w:left="980" w:right="140"/>
        <w:spacing w:after="0" w:line="253" w:lineRule="auto"/>
        <w:tabs>
          <w:tab w:leader="none" w:pos="129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in PSUs awarded based on the closing share price on Mr. Saligram’s hire date (subject to the terms and conditions of the 2019 Equity Incentive Plan Documents); 1/3 will vest at a share price of $3.45; 1/3 will vest at a share price of $3.95 and 1/3 will vest at a share price of $4.45. In order for vesting to occur, the share prices must be achieved and sustained (or increased, but not decreased) for a period of 60 consecutive trading days.</w:t>
      </w:r>
    </w:p>
    <w:p>
      <w:pPr>
        <w:spacing w:after="0" w:line="216" w:lineRule="exact"/>
        <w:rPr>
          <w:sz w:val="20"/>
          <w:szCs w:val="20"/>
          <w:color w:val="auto"/>
        </w:rPr>
      </w:pPr>
    </w:p>
    <w:p>
      <w:pPr>
        <w:jc w:val="both"/>
        <w:ind w:right="420" w:firstLine="324"/>
        <w:spacing w:after="0" w:line="250" w:lineRule="auto"/>
        <w:rPr>
          <w:sz w:val="20"/>
          <w:szCs w:val="20"/>
          <w:color w:val="auto"/>
        </w:rPr>
      </w:pPr>
      <w:r>
        <w:rPr>
          <w:rFonts w:ascii="Times New Roman" w:cs="Times New Roman" w:eastAsia="Times New Roman" w:hAnsi="Times New Roman"/>
          <w:sz w:val="18"/>
          <w:szCs w:val="18"/>
          <w:color w:val="auto"/>
        </w:rPr>
        <w:t>Mr. Saligram will be covered under the Company’s Change in Control Policy, subject to approval by the Board of Directors, which is expected to provide that, upon a qualifying termination of employment following a change in control transaction, he would receive, subject to a release of claims, severance benefits equal to two times base salary and bonus, continued health care benefits, outplacement services and certain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2" w:name="page3"/>
    <w:bookmarkEnd w:id="2"/>
    <w:p>
      <w:pPr>
        <w:ind w:right="300" w:firstLine="324"/>
        <w:spacing w:after="0" w:line="226" w:lineRule="auto"/>
        <w:rPr>
          <w:sz w:val="20"/>
          <w:szCs w:val="20"/>
          <w:color w:val="auto"/>
        </w:rPr>
      </w:pPr>
      <w:r>
        <w:rPr>
          <w:rFonts w:ascii="Times New Roman" w:cs="Times New Roman" w:eastAsia="Times New Roman" w:hAnsi="Times New Roman"/>
          <w:sz w:val="18"/>
          <w:szCs w:val="18"/>
          <w:color w:val="auto"/>
        </w:rPr>
        <w:t>Absent a change in control transaction, Mr. Saligram will be eligible to receive severance benefits in the event of a termination without cause in the amount of 12 months of his annual base salary plus his target opportunity under the EICP. Any such severance benefits will be subject to a release of claims.</w:t>
      </w:r>
    </w:p>
    <w:p>
      <w:pPr>
        <w:spacing w:after="0" w:line="185" w:lineRule="exact"/>
        <w:rPr>
          <w:sz w:val="20"/>
          <w:szCs w:val="20"/>
          <w:color w:val="auto"/>
        </w:rPr>
      </w:pPr>
    </w:p>
    <w:p>
      <w:pPr>
        <w:ind w:firstLine="324"/>
        <w:spacing w:after="0" w:line="217" w:lineRule="auto"/>
        <w:rPr>
          <w:sz w:val="20"/>
          <w:szCs w:val="20"/>
          <w:color w:val="auto"/>
        </w:rPr>
      </w:pPr>
      <w:r>
        <w:rPr>
          <w:rFonts w:ascii="Times New Roman" w:cs="Times New Roman" w:eastAsia="Times New Roman" w:hAnsi="Times New Roman"/>
          <w:sz w:val="18"/>
          <w:szCs w:val="18"/>
          <w:color w:val="auto"/>
        </w:rPr>
        <w:t>Mr. Saligram will be eligible for other benefits in accordance with the Company’s standard plans and polices. In addition, the Company and one of its primary subsidiaries will enter into customary officer indemnification agreements with Mr. Saligram upon joining the Company. Further information as to the Company’s current employee benefit plans or arrangements currently existing and in which Mr. Saligram will participate or have the right to participate, including in furtherance of the above, is described in the Company’s proxy statement (the “Proxy Statement”) filed with the Securities and Exchange Commission (“SEC”) on April 27, 2020 and subsequent filings on Form 8-K.</w:t>
      </w:r>
    </w:p>
    <w:p>
      <w:pPr>
        <w:spacing w:after="0" w:line="185" w:lineRule="exact"/>
        <w:rPr>
          <w:sz w:val="20"/>
          <w:szCs w:val="20"/>
          <w:color w:val="auto"/>
        </w:rPr>
      </w:pPr>
    </w:p>
    <w:p>
      <w:pPr>
        <w:jc w:val="both"/>
        <w:ind w:right="180" w:firstLine="324"/>
        <w:spacing w:after="0" w:line="239" w:lineRule="auto"/>
        <w:rPr>
          <w:sz w:val="20"/>
          <w:szCs w:val="20"/>
          <w:color w:val="auto"/>
        </w:rPr>
      </w:pPr>
      <w:r>
        <w:rPr>
          <w:rFonts w:ascii="Times New Roman" w:cs="Times New Roman" w:eastAsia="Times New Roman" w:hAnsi="Times New Roman"/>
          <w:sz w:val="17"/>
          <w:szCs w:val="17"/>
          <w:color w:val="auto"/>
        </w:rPr>
        <w:t>There are no arrangements or understandings between Mr. Saligram and any other persons pursuant to which Mr. Saligram was selected to act as the President and Chief Executive Officer and director of the Company. Mr. Saligram does not have any family relationships subject to disclosure under Item 401(d) of Regulation S-K or any direct or indirect material interest in any transaction required to be disclosed pursuant to Item 404(a) of Regulation S-K.</w:t>
      </w:r>
    </w:p>
    <w:p>
      <w:pPr>
        <w:spacing w:after="0" w:line="19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Mr. Saligram’s offer letter and the forms of RSU and PSU agreements will be filed with the Company’s Quarterly Report on Form 10-Q for the quarter ending September 30, 2020, and all descriptions herein are qualified by reference to such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of Mr. Blanchard to Executive Vice President and Chief Operating Officer</w:t>
      </w:r>
    </w:p>
    <w:p>
      <w:pPr>
        <w:spacing w:after="0" w:line="243" w:lineRule="exact"/>
        <w:rPr>
          <w:sz w:val="20"/>
          <w:szCs w:val="20"/>
          <w:color w:val="auto"/>
        </w:rPr>
      </w:pPr>
    </w:p>
    <w:p>
      <w:pPr>
        <w:ind w:right="600" w:firstLine="324"/>
        <w:spacing w:after="0" w:line="237" w:lineRule="auto"/>
        <w:rPr>
          <w:sz w:val="20"/>
          <w:szCs w:val="20"/>
          <w:color w:val="auto"/>
        </w:rPr>
      </w:pPr>
      <w:r>
        <w:rPr>
          <w:rFonts w:ascii="Times New Roman" w:cs="Times New Roman" w:eastAsia="Times New Roman" w:hAnsi="Times New Roman"/>
          <w:sz w:val="18"/>
          <w:szCs w:val="18"/>
          <w:color w:val="auto"/>
        </w:rPr>
        <w:t>In connection with Mr. Saligram’s appointment as President and Chief Executive Officer of the Company, effective October 12, 2020, Mr. Karl Blanchard will be returning to his position as Executive Vice President and Chief Operating Officer of the Company.</w:t>
      </w:r>
    </w:p>
    <w:p>
      <w:pPr>
        <w:spacing w:after="0" w:line="185" w:lineRule="exact"/>
        <w:rPr>
          <w:sz w:val="20"/>
          <w:szCs w:val="20"/>
          <w:color w:val="auto"/>
        </w:rPr>
      </w:pPr>
    </w:p>
    <w:p>
      <w:pPr>
        <w:ind w:right="40" w:firstLine="324"/>
        <w:spacing w:after="0" w:line="226" w:lineRule="auto"/>
        <w:rPr>
          <w:sz w:val="20"/>
          <w:szCs w:val="20"/>
          <w:color w:val="auto"/>
        </w:rPr>
      </w:pPr>
      <w:r>
        <w:rPr>
          <w:rFonts w:ascii="Times New Roman" w:cs="Times New Roman" w:eastAsia="Times New Roman" w:hAnsi="Times New Roman"/>
          <w:sz w:val="18"/>
          <w:szCs w:val="18"/>
          <w:color w:val="auto"/>
        </w:rPr>
        <w:t>Additional information concerning Mr. Blanchard has been previously reported in the Company’s Annual Report on Form 10-K for the year ended December 31, 2019, the Company’s Quarterly Report on Form 10-Q for the quarter ended June 30, 2020, the Proxy Statement, and the Company’s Form 8-Ks filed on June 8, 2020, June 17, 2020 and August 10, 2020, in each case, filed with the SEC.</w:t>
      </w:r>
    </w:p>
    <w:p>
      <w:pPr>
        <w:spacing w:after="0" w:line="100"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51" w:lineRule="exact"/>
        <w:rPr>
          <w:sz w:val="20"/>
          <w:szCs w:val="20"/>
          <w:color w:val="auto"/>
        </w:rPr>
      </w:pPr>
    </w:p>
    <w:p>
      <w:pPr>
        <w:ind w:firstLine="324"/>
        <w:spacing w:after="0" w:line="213" w:lineRule="auto"/>
        <w:rPr>
          <w:sz w:val="20"/>
          <w:szCs w:val="20"/>
          <w:color w:val="auto"/>
        </w:rPr>
      </w:pPr>
      <w:r>
        <w:rPr>
          <w:rFonts w:ascii="Times New Roman" w:cs="Times New Roman" w:eastAsia="Times New Roman" w:hAnsi="Times New Roman"/>
          <w:sz w:val="18"/>
          <w:szCs w:val="18"/>
          <w:color w:val="auto"/>
        </w:rPr>
        <w:t>On September 10, 2020, the Company issued a press release describing certain of the matters in Item 5.02 of this Current Report on Form 8-K. A copy of the press release is furnished as Exhibit 99.1 to this report and incorporated by reference herein. The information provided pursuant to this Item 7.01 is “furnished” and shall not be deemed to be “filed” with the SEC or incorporated by reference in any filing under the Securities Exchange Act of 1934, as amended, or the Securities Act of 1933, as amended, whether made before or after the date hereof and regardless of any general incorporation language in such filings, except as shall be expressly set forth by specific reference in any such filings. The filing of this Item 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86"/>
        </w:trPr>
        <w:tc>
          <w:tcPr>
            <w:tcW w:w="4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(d)</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608"/>
        </w:trPr>
        <w:tc>
          <w:tcPr>
            <w:tcW w:w="4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0" w:type="dxa"/>
            <w:vAlign w:val="bottom"/>
          </w:tcPr>
          <w:p>
            <w:pPr>
              <w:spacing w:after="0"/>
              <w:rPr>
                <w:sz w:val="20"/>
                <w:szCs w:val="20"/>
                <w:color w:val="auto"/>
              </w:rPr>
            </w:pPr>
          </w:p>
        </w:tc>
        <w:tc>
          <w:tcPr>
            <w:tcW w:w="1500" w:type="dxa"/>
            <w:vAlign w:val="bottom"/>
          </w:tcPr>
          <w:p>
            <w:pPr>
              <w:jc w:val="center"/>
              <w:ind w:right="49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99.1</w:t>
              </w:r>
            </w:hyperlink>
          </w:p>
        </w:tc>
        <w:tc>
          <w:tcPr>
            <w:tcW w:w="1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issued by Weatherford International plc regarding Mr. Saligram on September 10, 2020</w:t>
            </w:r>
          </w:p>
        </w:tc>
      </w:tr>
      <w:tr>
        <w:trPr>
          <w:trHeight w:val="270"/>
        </w:trPr>
        <w:tc>
          <w:tcPr>
            <w:tcW w:w="15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93"/>
        </w:trPr>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10, 2020</w:t>
      </w:r>
    </w:p>
    <w:p>
      <w:pPr>
        <w:spacing w:after="0" w:line="6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34290</wp:posOffset>
            </wp:positionV>
            <wp:extent cx="3848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6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Executive Vice President, General Counsel and</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Compliance Officer</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sz w:val="1"/>
          <w:szCs w:val="1"/>
          <w:color w:val="auto"/>
        </w:rPr>
        <w:drawing>
          <wp:inline distT="0" distB="0" distL="0" distR="0">
            <wp:extent cx="1200150" cy="4972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497205"/>
                    </a:xfrm>
                    <a:prstGeom prst="rect">
                      <a:avLst/>
                    </a:prstGeom>
                    <a:noFill/>
                    <a:ln>
                      <a:noFill/>
                    </a:ln>
                  </pic:spPr>
                </pic:pic>
              </a:graphicData>
            </a:graphic>
          </wp:inline>
        </w:drawing>
      </w:r>
      <w:r>
        <w:rPr>
          <w:rFonts w:ascii="Times New Roman" w:cs="Times New Roman" w:eastAsia="Times New Roman" w:hAnsi="Times New Roman"/>
          <w:sz w:val="23"/>
          <w:szCs w:val="23"/>
          <w:b w:val="1"/>
          <w:bCs w:val="1"/>
          <w:color w:val="auto"/>
        </w:rPr>
        <w:t xml:space="preserve"> NEWS RELEASE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Weatherford Appoints Girish K. Saligram as President, CEO and Director</w:t>
      </w:r>
    </w:p>
    <w:p>
      <w:pPr>
        <w:spacing w:after="0" w:line="336"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20"/>
          <w:szCs w:val="20"/>
          <w:b w:val="1"/>
          <w:bCs w:val="1"/>
          <w:color w:val="auto"/>
        </w:rPr>
        <w:t xml:space="preserve">HOUSTON, September 10, 2020 – </w:t>
      </w:r>
      <w:r>
        <w:rPr>
          <w:rFonts w:ascii="Times New Roman" w:cs="Times New Roman" w:eastAsia="Times New Roman" w:hAnsi="Times New Roman"/>
          <w:sz w:val="20"/>
          <w:szCs w:val="20"/>
          <w:color w:val="auto"/>
        </w:rPr>
        <w:t>The Board of Directors of Weatherford International plc (OTC Pink: WFTLF) (“Weatherford”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announced today that effective October 12, 2020, it will appoint Mr. Girish K. Saligram as the Company’s President and Chief Executive Officer. Mr. Saligram will also serve as a member of the Company’s Board of Directors. Mr. Saligram previously served as Chief Operating Officer at Exterran Corporation.</w:t>
      </w:r>
    </w:p>
    <w:p>
      <w:pPr>
        <w:spacing w:after="0" w:line="20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Charles M. Sledge, Chairman of the Board of Directors, commented, “We are delighted to welcome Girish as our new CEO and member of our Board. Girish is a seasoned leader with extensive international experience across multiple industries as well as a deep understanding of the oil and gas sector and is well-positioned to lead Weatherford into the future. For more than 25 years, Girish has dedicated his career to uniting technology innovation and operational excellence to deliver exceptional results that have advanced the growth strategies for some of the world’s leading companies. We are confident that Girish possesses the leadership qualities, business expertise and fresh perspective that will continue to strengthen the organization and deliver long-term value for all of our shareholders.”</w:t>
      </w:r>
    </w:p>
    <w:p>
      <w:pPr>
        <w:spacing w:after="0" w:line="21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Mr. Saligram, commented, “I am honored for the opportunity to lead Weatherford and am eager to work alongside the Board, management team and global workforce. Weatherford is a recognized industry leader for its comprehensive technology portfolio, broad global footprint, extraordinary culture and strong customer relationships. I believe these elements serve as a solid foundation for the Company to build upon. I look forward to leading Weatherford as we deliver against our strategic objectives and create our next phase of growth and market leadership.”</w:t>
      </w:r>
    </w:p>
    <w:p>
      <w:pPr>
        <w:spacing w:after="0" w:line="209"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Upon Mr. Saligram’s appointment, Karl Blanchard, Interim CEO, will resume his role as Executive Vice President and Chief Operating Officer.</w:t>
      </w:r>
    </w:p>
    <w:p>
      <w:pPr>
        <w:spacing w:after="0" w:line="187"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Mr. Sledge continues, “The Board would like to take this opportunity to thank Karl for his critical leadership during this transition period. Since joining Weatherford, Karl has been instrumental in the Company’s improved financial and operational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Girish K. Saligram</w:t>
      </w:r>
    </w:p>
    <w:p>
      <w:pPr>
        <w:spacing w:after="0" w:line="7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Before joining Weatherford, Mr. Saligram served Exterran Corporation, a global systems and process company offering solutions in the oil, gas, water and power markets, as Chief Operating Officer and</w:t>
      </w:r>
    </w:p>
    <w:p>
      <w:pPr>
        <w:sectPr>
          <w:pgSz w:w="11900" w:h="16838" w:orient="portrait"/>
          <w:cols w:equalWidth="0" w:num="1">
            <w:col w:w="11240"/>
          </w:cols>
          <w:pgMar w:left="320" w:top="122" w:right="339" w:bottom="1440" w:gutter="0" w:footer="0" w:header="0"/>
        </w:sectPr>
      </w:pPr>
    </w:p>
    <w:bookmarkStart w:id="5" w:name="page6"/>
    <w:bookmarkEnd w:id="5"/>
    <w:p>
      <w:pPr>
        <w:spacing w:after="0" w:line="1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Weatherford</w:t>
      </w:r>
    </w:p>
    <w:p>
      <w:pPr>
        <w:spacing w:after="0" w:line="7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Weatherford is a leading wellbore and production solutions company. Operating in more than 80 countries, the Company answers the challenges of the energy industry with its global talent network of approximately 19,000 team members and 600 locations, which include service, research and development, training, and manufacturing facilities. Visit weatherford.com for more information or connect on LinkedIn, Facebook, Twitter, Instagram, or YouTube.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71"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20"/>
          <w:szCs w:val="20"/>
          <w:color w:val="auto"/>
        </w:rPr>
        <w:t>This news release contains forward-looking statements concerning, among other things, the Company’s expectations regarding business outlook, financial projections or forecasts and are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2019, the Company’s Quarterly Report on Form 10-Q for the quarter ended March 31, 2020 and the Company’s Quarterly Report on Form 10-Q for the quarter ended June 30,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Sebastian Pellizzer</w:t>
      </w:r>
    </w:p>
    <w:p>
      <w:pPr>
        <w:spacing w:after="0" w:line="231" w:lineRule="auto"/>
        <w:rPr>
          <w:sz w:val="20"/>
          <w:szCs w:val="20"/>
          <w:color w:val="auto"/>
        </w:rPr>
      </w:pPr>
      <w:r>
        <w:rPr>
          <w:rFonts w:ascii="Times New Roman" w:cs="Times New Roman" w:eastAsia="Times New Roman" w:hAnsi="Times New Roman"/>
          <w:sz w:val="20"/>
          <w:szCs w:val="20"/>
          <w:color w:val="auto"/>
        </w:rPr>
        <w:t>Senior Director, Investor Relations</w:t>
      </w:r>
    </w:p>
    <w:p>
      <w:pPr>
        <w:spacing w:after="0" w:line="226" w:lineRule="auto"/>
        <w:rPr>
          <w:sz w:val="20"/>
          <w:szCs w:val="20"/>
          <w:color w:val="auto"/>
        </w:rPr>
      </w:pPr>
      <w:r>
        <w:rPr>
          <w:rFonts w:ascii="Times New Roman" w:cs="Times New Roman" w:eastAsia="Times New Roman" w:hAnsi="Times New Roman"/>
          <w:sz w:val="20"/>
          <w:szCs w:val="20"/>
          <w:color w:val="auto"/>
        </w:rPr>
        <w:t>+1 713-836-7777</w:t>
      </w: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ectPr>
          <w:pgSz w:w="11900" w:h="16838" w:orient="portrait"/>
          <w:cols w:equalWidth="0" w:num="1">
            <w:col w:w="11240"/>
          </w:cols>
          <w:pgMar w:left="320" w:top="1440" w:right="339" w:bottom="1440" w:gutter="0" w:footer="0" w:header="0"/>
        </w:sectPr>
      </w:pPr>
    </w:p>
    <w:bookmarkStart w:id="6" w:name="page7"/>
    <w:bookmarkEnd w:id="6"/>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Media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Christopher Wailes</w:t>
      </w:r>
    </w:p>
    <w:p>
      <w:pPr>
        <w:spacing w:after="0" w:line="231" w:lineRule="auto"/>
        <w:rPr>
          <w:sz w:val="20"/>
          <w:szCs w:val="20"/>
          <w:color w:val="auto"/>
        </w:rPr>
      </w:pPr>
      <w:r>
        <w:rPr>
          <w:rFonts w:ascii="Times New Roman" w:cs="Times New Roman" w:eastAsia="Times New Roman" w:hAnsi="Times New Roman"/>
          <w:sz w:val="20"/>
          <w:szCs w:val="20"/>
          <w:color w:val="auto"/>
        </w:rPr>
        <w:t>Director, Global Media Engagement</w:t>
      </w:r>
    </w:p>
    <w:p>
      <w:pPr>
        <w:spacing w:after="0" w:line="226" w:lineRule="auto"/>
        <w:rPr>
          <w:sz w:val="20"/>
          <w:szCs w:val="20"/>
          <w:color w:val="auto"/>
        </w:rPr>
      </w:pPr>
      <w:r>
        <w:rPr>
          <w:rFonts w:ascii="Times New Roman" w:cs="Times New Roman" w:eastAsia="Times New Roman" w:hAnsi="Times New Roman"/>
          <w:sz w:val="20"/>
          <w:szCs w:val="20"/>
          <w:color w:val="auto"/>
        </w:rPr>
        <w:t>+1 832-851-8308</w:t>
      </w:r>
    </w:p>
    <w:p>
      <w:pPr>
        <w:spacing w:after="0"/>
        <w:rPr>
          <w:sz w:val="20"/>
          <w:szCs w:val="20"/>
          <w:color w:val="auto"/>
        </w:rPr>
      </w:pPr>
      <w:r>
        <w:rPr>
          <w:rFonts w:ascii="Times New Roman" w:cs="Times New Roman" w:eastAsia="Times New Roman" w:hAnsi="Times New Roman"/>
          <w:sz w:val="19"/>
          <w:szCs w:val="19"/>
          <w:u w:val="single" w:color="auto"/>
          <w:color w:val="0E32E1"/>
        </w:rPr>
        <w:t>christopher.wailes@weatherford.com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2020-09-10T15:22:10Z</dcterms:created>
  <dcterms:modified xsi:type="dcterms:W3CDTF">2020-09-10T15:22:10Z</dcterms:modified>
</cp:coreProperties>
</file>