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2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Washington, D.C. 20549</w:t>
      </w:r>
    </w:p>
    <w:p>
      <w:pPr>
        <w:spacing w:after="0" w:line="200" w:lineRule="exact"/>
        <w:rPr>
          <w:sz w:val="24"/>
          <w:szCs w:val="24"/>
          <w:color w:val="auto"/>
        </w:rPr>
      </w:pPr>
    </w:p>
    <w:p>
      <w:pPr>
        <w:spacing w:after="0" w:line="23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SCHEDULE 13G</w:t>
      </w:r>
    </w:p>
    <w:p>
      <w:pPr>
        <w:spacing w:after="0" w:line="200" w:lineRule="exact"/>
        <w:rPr>
          <w:sz w:val="24"/>
          <w:szCs w:val="24"/>
          <w:color w:val="auto"/>
        </w:rPr>
      </w:pPr>
    </w:p>
    <w:p>
      <w:pPr>
        <w:spacing w:after="0" w:line="24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Under the Securities Exchange Act of 1934</w:t>
      </w:r>
    </w:p>
    <w:p>
      <w:pPr>
        <w:spacing w:after="0" w:line="200" w:lineRule="exact"/>
        <w:rPr>
          <w:sz w:val="24"/>
          <w:szCs w:val="24"/>
          <w:color w:val="auto"/>
        </w:rPr>
      </w:pPr>
    </w:p>
    <w:p>
      <w:pPr>
        <w:spacing w:after="0" w:line="238" w:lineRule="exact"/>
        <w:rPr>
          <w:sz w:val="24"/>
          <w:szCs w:val="24"/>
          <w:color w:val="auto"/>
        </w:rPr>
      </w:pPr>
    </w:p>
    <w:p>
      <w:pPr>
        <w:jc w:val="center"/>
        <w:ind w:right="-59"/>
        <w:spacing w:after="0"/>
        <w:rPr>
          <w:sz w:val="20"/>
          <w:szCs w:val="20"/>
          <w:color w:val="auto"/>
        </w:rPr>
      </w:pPr>
      <w:r>
        <w:rPr>
          <w:rFonts w:ascii="Arial" w:cs="Arial" w:eastAsia="Arial" w:hAnsi="Arial"/>
          <w:sz w:val="25"/>
          <w:szCs w:val="25"/>
          <w:u w:val="single" w:color="auto"/>
          <w:color w:val="auto"/>
        </w:rPr>
        <w:t>Weatherford International plc</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u w:val="single" w:color="auto"/>
          <w:color w:val="auto"/>
        </w:rPr>
        <w:t>Ordinary Shares, $0.001 par value</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27" w:lineRule="exact"/>
        <w:rPr>
          <w:sz w:val="24"/>
          <w:szCs w:val="24"/>
          <w:color w:val="auto"/>
        </w:rPr>
      </w:pPr>
    </w:p>
    <w:p>
      <w:pPr>
        <w:jc w:val="center"/>
        <w:ind w:right="-59"/>
        <w:spacing w:after="0"/>
        <w:rPr>
          <w:sz w:val="20"/>
          <w:szCs w:val="20"/>
          <w:color w:val="auto"/>
        </w:rPr>
      </w:pPr>
      <w:r>
        <w:rPr>
          <w:rFonts w:ascii="Arial" w:cs="Arial" w:eastAsia="Arial" w:hAnsi="Arial"/>
          <w:sz w:val="18"/>
          <w:szCs w:val="18"/>
          <w:u w:val="single" w:color="auto"/>
          <w:color w:val="auto"/>
        </w:rPr>
        <w:t>G48833118</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27" w:lineRule="exact"/>
        <w:rPr>
          <w:sz w:val="24"/>
          <w:szCs w:val="24"/>
          <w:color w:val="auto"/>
        </w:rPr>
      </w:pPr>
    </w:p>
    <w:p>
      <w:pPr>
        <w:jc w:val="center"/>
        <w:ind w:right="-59"/>
        <w:spacing w:after="0"/>
        <w:rPr>
          <w:sz w:val="20"/>
          <w:szCs w:val="20"/>
          <w:color w:val="auto"/>
        </w:rPr>
      </w:pPr>
      <w:r>
        <w:rPr>
          <w:rFonts w:ascii="Arial" w:cs="Arial" w:eastAsia="Arial" w:hAnsi="Arial"/>
          <w:sz w:val="18"/>
          <w:szCs w:val="18"/>
          <w:u w:val="single" w:color="auto"/>
          <w:color w:val="auto"/>
        </w:rPr>
        <w:t>December 31, 2021</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following box to designate the rule pursuant to which the Schedule is filed:</w:t>
      </w:r>
    </w:p>
    <w:p>
      <w:pPr>
        <w:spacing w:after="0" w:line="225" w:lineRule="exact"/>
        <w:rPr>
          <w:sz w:val="24"/>
          <w:szCs w:val="24"/>
          <w:color w:val="auto"/>
        </w:rPr>
      </w:pPr>
    </w:p>
    <w:p>
      <w:pPr>
        <w:ind w:left="1140" w:hanging="646"/>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 w:lineRule="exact"/>
        <w:rPr>
          <w:rFonts w:ascii="MS PGothic" w:cs="MS PGothic" w:eastAsia="MS PGothic" w:hAnsi="MS PGothic"/>
          <w:sz w:val="18"/>
          <w:szCs w:val="18"/>
          <w:color w:val="auto"/>
        </w:rPr>
      </w:pPr>
    </w:p>
    <w:p>
      <w:pPr>
        <w:jc w:val="both"/>
        <w:ind w:left="500" w:right="9040" w:hanging="6"/>
        <w:spacing w:after="0" w:line="225" w:lineRule="exact"/>
        <w:tabs>
          <w:tab w:leader="none" w:pos="1148"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 xml:space="preserve">Rule 13d-1(c) </w:t>
      </w:r>
      <w:r>
        <w:rPr>
          <w:rFonts w:ascii="MS PGothic" w:cs="MS PGothic" w:eastAsia="MS PGothic" w:hAnsi="MS PGothic"/>
          <w:sz w:val="17"/>
          <w:szCs w:val="17"/>
          <w:color w:val="auto"/>
        </w:rPr>
        <w:t>☒</w:t>
      </w:r>
      <w:r>
        <w:rPr>
          <w:rFonts w:ascii="Arial" w:cs="Arial" w:eastAsia="Arial" w:hAnsi="Arial"/>
          <w:sz w:val="17"/>
          <w:szCs w:val="17"/>
          <w:color w:val="auto"/>
        </w:rPr>
        <w:t xml:space="preserve"> Rule 13d-1(d)</w:t>
      </w:r>
    </w:p>
    <w:p>
      <w:pPr>
        <w:spacing w:after="0" w:line="182"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665480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67"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CUSIP No. G48833118</w:t>
      </w:r>
    </w:p>
    <w:p>
      <w:pPr>
        <w:spacing w:after="0" w:line="225" w:lineRule="exact"/>
        <w:rPr>
          <w:sz w:val="20"/>
          <w:szCs w:val="20"/>
          <w:color w:val="auto"/>
        </w:rPr>
      </w:pPr>
    </w:p>
    <w:p>
      <w:pPr>
        <w:ind w:left="920" w:hanging="575"/>
        <w:spacing w:after="0"/>
        <w:tabs>
          <w:tab w:leader="none" w:pos="9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27"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color w:val="auto"/>
        </w:rPr>
        <w:t>D. E. Shaw Galvanic Portfolios, L.L.C.</w:t>
      </w:r>
    </w:p>
    <w:p>
      <w:pPr>
        <w:spacing w:after="0" w:line="206" w:lineRule="exact"/>
        <w:rPr>
          <w:rFonts w:ascii="Arial" w:cs="Arial" w:eastAsia="Arial" w:hAnsi="Arial"/>
          <w:sz w:val="18"/>
          <w:szCs w:val="18"/>
          <w:b w:val="1"/>
          <w:bCs w:val="1"/>
          <w:color w:val="auto"/>
        </w:rPr>
      </w:pPr>
    </w:p>
    <w:p>
      <w:pPr>
        <w:ind w:left="920" w:hanging="575"/>
        <w:spacing w:after="0"/>
        <w:tabs>
          <w:tab w:leader="none" w:pos="9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22" w:lineRule="exact"/>
        <w:rPr>
          <w:sz w:val="20"/>
          <w:szCs w:val="20"/>
          <w:color w:val="auto"/>
        </w:rPr>
      </w:pPr>
    </w:p>
    <w:p>
      <w:pPr>
        <w:ind w:left="1480" w:hanging="568"/>
        <w:spacing w:after="0" w:line="207" w:lineRule="exact"/>
        <w:tabs>
          <w:tab w:leader="none" w:pos="1480" w:val="left"/>
        </w:tabs>
        <w:numPr>
          <w:ilvl w:val="1"/>
          <w:numId w:val="3"/>
        </w:numPr>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15" w:lineRule="exact"/>
        <w:rPr>
          <w:rFonts w:ascii="Arial" w:cs="Arial" w:eastAsia="Arial" w:hAnsi="Arial"/>
          <w:sz w:val="18"/>
          <w:szCs w:val="18"/>
          <w:b w:val="1"/>
          <w:bCs w:val="1"/>
          <w:color w:val="auto"/>
        </w:rPr>
      </w:pPr>
    </w:p>
    <w:p>
      <w:pPr>
        <w:ind w:left="1480" w:hanging="568"/>
        <w:spacing w:after="0" w:line="207" w:lineRule="exact"/>
        <w:tabs>
          <w:tab w:leader="none" w:pos="1480" w:val="left"/>
        </w:tabs>
        <w:numPr>
          <w:ilvl w:val="1"/>
          <w:numId w:val="3"/>
        </w:numPr>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205" w:lineRule="exact"/>
        <w:rPr>
          <w:rFonts w:ascii="Arial" w:cs="Arial" w:eastAsia="Arial" w:hAnsi="Arial"/>
          <w:sz w:val="18"/>
          <w:szCs w:val="18"/>
          <w:b w:val="1"/>
          <w:bCs w:val="1"/>
          <w:color w:val="auto"/>
        </w:rPr>
      </w:pPr>
    </w:p>
    <w:p>
      <w:pPr>
        <w:ind w:left="920" w:hanging="575"/>
        <w:spacing w:after="0"/>
        <w:tabs>
          <w:tab w:leader="none" w:pos="9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25" w:lineRule="exact"/>
        <w:rPr>
          <w:rFonts w:ascii="Arial" w:cs="Arial" w:eastAsia="Arial" w:hAnsi="Arial"/>
          <w:sz w:val="18"/>
          <w:szCs w:val="18"/>
          <w:b w:val="1"/>
          <w:bCs w:val="1"/>
          <w:color w:val="auto"/>
        </w:rPr>
      </w:pPr>
    </w:p>
    <w:p>
      <w:pPr>
        <w:ind w:left="920" w:right="7260" w:hanging="575"/>
        <w:spacing w:after="0" w:line="282" w:lineRule="auto"/>
        <w:tabs>
          <w:tab w:leader="none" w:pos="9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Delaware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600" w:type="dxa"/>
            <w:vAlign w:val="bottom"/>
          </w:tcPr>
          <w:p>
            <w:pPr>
              <w:jc w:val="right"/>
              <w:ind w:right="110"/>
              <w:spacing w:after="0"/>
              <w:rPr>
                <w:sz w:val="20"/>
                <w:szCs w:val="20"/>
                <w:color w:val="auto"/>
              </w:rPr>
            </w:pPr>
            <w:r>
              <w:rPr>
                <w:rFonts w:ascii="Arial" w:cs="Arial" w:eastAsia="Arial" w:hAnsi="Arial"/>
                <w:sz w:val="18"/>
                <w:szCs w:val="18"/>
                <w:b w:val="1"/>
                <w:bCs w:val="1"/>
                <w:color w:val="auto"/>
              </w:rPr>
              <w:t>5.</w:t>
            </w:r>
          </w:p>
        </w:tc>
        <w:tc>
          <w:tcPr>
            <w:tcW w:w="1620" w:type="dxa"/>
            <w:vAlign w:val="bottom"/>
          </w:tcPr>
          <w:p>
            <w:pPr>
              <w:ind w:left="220"/>
              <w:spacing w:after="0"/>
              <w:rPr>
                <w:sz w:val="20"/>
                <w:szCs w:val="20"/>
                <w:color w:val="auto"/>
              </w:rPr>
            </w:pPr>
            <w:r>
              <w:rPr>
                <w:rFonts w:ascii="Arial" w:cs="Arial" w:eastAsia="Arial" w:hAnsi="Arial"/>
                <w:sz w:val="18"/>
                <w:szCs w:val="18"/>
                <w:b w:val="1"/>
                <w:bCs w:val="1"/>
                <w:color w:val="auto"/>
                <w:w w:val="87"/>
              </w:rPr>
              <w:t>Sole Voting Power</w:t>
            </w:r>
          </w:p>
        </w:tc>
      </w:tr>
      <w:tr>
        <w:trPr>
          <w:trHeight w:val="216"/>
        </w:trPr>
        <w:tc>
          <w:tcPr>
            <w:tcW w:w="122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6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6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600" w:type="dxa"/>
            <w:vAlign w:val="bottom"/>
          </w:tcPr>
          <w:p>
            <w:pPr>
              <w:spacing w:after="0"/>
              <w:rPr>
                <w:sz w:val="18"/>
                <w:szCs w:val="18"/>
                <w:color w:val="auto"/>
              </w:rPr>
            </w:pPr>
          </w:p>
        </w:tc>
        <w:tc>
          <w:tcPr>
            <w:tcW w:w="1620" w:type="dxa"/>
            <w:vAlign w:val="bottom"/>
          </w:tcPr>
          <w:p>
            <w:pPr>
              <w:ind w:left="220"/>
              <w:spacing w:after="0"/>
              <w:rPr>
                <w:sz w:val="20"/>
                <w:szCs w:val="20"/>
                <w:color w:val="auto"/>
              </w:rPr>
            </w:pPr>
            <w:r>
              <w:rPr>
                <w:rFonts w:ascii="Arial" w:cs="Arial" w:eastAsia="Arial" w:hAnsi="Arial"/>
                <w:sz w:val="18"/>
                <w:szCs w:val="18"/>
                <w:color w:val="auto"/>
              </w:rPr>
              <w:t>-0-</w:t>
            </w:r>
          </w:p>
        </w:tc>
      </w:tr>
      <w:tr>
        <w:trPr>
          <w:trHeight w:val="216"/>
        </w:trPr>
        <w:tc>
          <w:tcPr>
            <w:tcW w:w="1220" w:type="dxa"/>
            <w:vAlign w:val="bottom"/>
          </w:tcPr>
          <w:p>
            <w:pPr>
              <w:spacing w:after="0"/>
              <w:rPr>
                <w:sz w:val="20"/>
                <w:szCs w:val="20"/>
                <w:color w:val="auto"/>
              </w:rPr>
            </w:pPr>
            <w:r>
              <w:rPr>
                <w:rFonts w:ascii="Arial" w:cs="Arial" w:eastAsia="Arial" w:hAnsi="Arial"/>
                <w:sz w:val="18"/>
                <w:szCs w:val="18"/>
                <w:b w:val="1"/>
                <w:bCs w:val="1"/>
                <w:color w:val="auto"/>
              </w:rPr>
              <w:t>Each</w:t>
            </w:r>
          </w:p>
        </w:tc>
        <w:tc>
          <w:tcPr>
            <w:tcW w:w="6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6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1220" w:type="dxa"/>
            <w:vAlign w:val="bottom"/>
          </w:tcPr>
          <w:p>
            <w:pPr>
              <w:spacing w:after="0"/>
              <w:rPr>
                <w:sz w:val="20"/>
                <w:szCs w:val="20"/>
                <w:color w:val="auto"/>
              </w:rPr>
            </w:pPr>
            <w:r>
              <w:rPr>
                <w:rFonts w:ascii="Arial" w:cs="Arial" w:eastAsia="Arial" w:hAnsi="Arial"/>
                <w:sz w:val="18"/>
                <w:szCs w:val="18"/>
                <w:b w:val="1"/>
                <w:bCs w:val="1"/>
                <w:color w:val="auto"/>
              </w:rPr>
              <w:t>Person With</w:t>
            </w:r>
          </w:p>
        </w:tc>
        <w:tc>
          <w:tcPr>
            <w:tcW w:w="600" w:type="dxa"/>
            <w:vAlign w:val="bottom"/>
          </w:tcPr>
          <w:p>
            <w:pPr>
              <w:spacing w:after="0"/>
              <w:rPr>
                <w:sz w:val="20"/>
                <w:szCs w:val="20"/>
                <w:color w:val="auto"/>
              </w:rPr>
            </w:pPr>
          </w:p>
        </w:tc>
        <w:tc>
          <w:tcPr>
            <w:tcW w:w="1620" w:type="dxa"/>
            <w:vAlign w:val="bottom"/>
          </w:tcPr>
          <w:p>
            <w:pPr>
              <w:spacing w:after="0"/>
              <w:rPr>
                <w:sz w:val="20"/>
                <w:szCs w:val="20"/>
                <w:color w:val="auto"/>
              </w:rPr>
            </w:pPr>
          </w:p>
        </w:tc>
      </w:tr>
    </w:tbl>
    <w:p>
      <w:pPr>
        <w:ind w:left="2040" w:right="7320" w:hanging="561"/>
        <w:spacing w:after="0" w:line="279" w:lineRule="auto"/>
        <w:tabs>
          <w:tab w:leader="none" w:pos="2040" w:val="left"/>
        </w:tabs>
        <w:numPr>
          <w:ilvl w:val="1"/>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4,727,513</w:t>
      </w:r>
      <w:r>
        <w:rPr>
          <w:rFonts w:ascii="Arial" w:cs="Arial" w:eastAsia="Arial" w:hAnsi="Arial"/>
          <w:sz w:val="29"/>
          <w:szCs w:val="29"/>
          <w:color w:val="auto"/>
          <w:vertAlign w:val="superscript"/>
        </w:rPr>
        <w:t>1</w:t>
      </w:r>
    </w:p>
    <w:p>
      <w:pPr>
        <w:spacing w:after="0" w:line="41" w:lineRule="exact"/>
        <w:rPr>
          <w:rFonts w:ascii="Arial" w:cs="Arial" w:eastAsia="Arial" w:hAnsi="Arial"/>
          <w:sz w:val="18"/>
          <w:szCs w:val="18"/>
          <w:b w:val="1"/>
          <w:bCs w:val="1"/>
          <w:color w:val="auto"/>
        </w:rPr>
      </w:pPr>
    </w:p>
    <w:p>
      <w:pPr>
        <w:ind w:left="2040" w:right="7200" w:hanging="561"/>
        <w:spacing w:after="0" w:line="282" w:lineRule="auto"/>
        <w:tabs>
          <w:tab w:leader="none" w:pos="2040" w:val="left"/>
        </w:tabs>
        <w:numPr>
          <w:ilvl w:val="1"/>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-0-</w:t>
      </w:r>
    </w:p>
    <w:p>
      <w:pPr>
        <w:spacing w:after="0" w:line="161" w:lineRule="exact"/>
        <w:rPr>
          <w:rFonts w:ascii="Arial" w:cs="Arial" w:eastAsia="Arial" w:hAnsi="Arial"/>
          <w:sz w:val="18"/>
          <w:szCs w:val="18"/>
          <w:b w:val="1"/>
          <w:bCs w:val="1"/>
          <w:color w:val="auto"/>
        </w:rPr>
      </w:pPr>
    </w:p>
    <w:p>
      <w:pPr>
        <w:ind w:left="2040" w:right="6980" w:hanging="561"/>
        <w:spacing w:after="0" w:line="292" w:lineRule="auto"/>
        <w:tabs>
          <w:tab w:leader="none" w:pos="2040" w:val="left"/>
        </w:tabs>
        <w:numPr>
          <w:ilvl w:val="1"/>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4,727,513</w:t>
      </w:r>
      <w:r>
        <w:rPr>
          <w:rFonts w:ascii="Arial" w:cs="Arial" w:eastAsia="Arial" w:hAnsi="Arial"/>
          <w:sz w:val="29"/>
          <w:szCs w:val="29"/>
          <w:color w:val="auto"/>
          <w:vertAlign w:val="superscript"/>
        </w:rPr>
        <w:t>1</w:t>
      </w:r>
    </w:p>
    <w:p>
      <w:pPr>
        <w:spacing w:after="0" w:line="30" w:lineRule="exact"/>
        <w:rPr>
          <w:rFonts w:ascii="Arial" w:cs="Arial" w:eastAsia="Arial" w:hAnsi="Arial"/>
          <w:sz w:val="18"/>
          <w:szCs w:val="18"/>
          <w:b w:val="1"/>
          <w:bCs w:val="1"/>
          <w:color w:val="auto"/>
        </w:rPr>
      </w:pPr>
    </w:p>
    <w:p>
      <w:pPr>
        <w:ind w:left="920" w:right="5000" w:hanging="575"/>
        <w:spacing w:after="0" w:line="292" w:lineRule="auto"/>
        <w:tabs>
          <w:tab w:leader="none" w:pos="9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4,727,513</w:t>
      </w:r>
      <w:r>
        <w:rPr>
          <w:rFonts w:ascii="Arial" w:cs="Arial" w:eastAsia="Arial" w:hAnsi="Arial"/>
          <w:sz w:val="29"/>
          <w:szCs w:val="29"/>
          <w:color w:val="auto"/>
          <w:vertAlign w:val="superscript"/>
        </w:rPr>
        <w:t>1</w:t>
      </w:r>
    </w:p>
    <w:p>
      <w:pPr>
        <w:spacing w:after="0" w:line="2" w:lineRule="exact"/>
        <w:rPr>
          <w:rFonts w:ascii="Arial" w:cs="Arial" w:eastAsia="Arial" w:hAnsi="Arial"/>
          <w:sz w:val="18"/>
          <w:szCs w:val="18"/>
          <w:b w:val="1"/>
          <w:bCs w:val="1"/>
          <w:color w:val="auto"/>
        </w:rPr>
      </w:pPr>
    </w:p>
    <w:p>
      <w:pPr>
        <w:ind w:left="920" w:hanging="575"/>
        <w:spacing w:after="0" w:line="207" w:lineRule="exact"/>
        <w:tabs>
          <w:tab w:leader="none" w:pos="9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Check if the Aggregate Amount in Row (9) Excludes Certain Shares (See Instructions) </w:t>
      </w:r>
      <w:r>
        <w:rPr>
          <w:rFonts w:ascii="MS PGothic" w:cs="MS PGothic" w:eastAsia="MS PGothic" w:hAnsi="MS PGothic"/>
          <w:sz w:val="18"/>
          <w:szCs w:val="18"/>
          <w:color w:val="auto"/>
          <w:highlight w:val="black"/>
        </w:rPr>
        <w:t>☐</w:t>
      </w:r>
    </w:p>
    <w:p>
      <w:pPr>
        <w:spacing w:after="0" w:line="253" w:lineRule="exact"/>
        <w:rPr>
          <w:rFonts w:ascii="Arial" w:cs="Arial" w:eastAsia="Arial" w:hAnsi="Arial"/>
          <w:sz w:val="18"/>
          <w:szCs w:val="18"/>
          <w:b w:val="1"/>
          <w:bCs w:val="1"/>
          <w:color w:val="auto"/>
        </w:rPr>
      </w:pPr>
    </w:p>
    <w:p>
      <w:pPr>
        <w:ind w:left="920" w:right="6080" w:hanging="575"/>
        <w:spacing w:after="0" w:line="292" w:lineRule="auto"/>
        <w:tabs>
          <w:tab w:leader="none" w:pos="9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6.7%</w:t>
      </w:r>
      <w:r>
        <w:rPr>
          <w:rFonts w:ascii="Arial" w:cs="Arial" w:eastAsia="Arial" w:hAnsi="Arial"/>
          <w:sz w:val="29"/>
          <w:szCs w:val="29"/>
          <w:color w:val="auto"/>
          <w:vertAlign w:val="superscript"/>
        </w:rPr>
        <w:t>2</w:t>
      </w:r>
    </w:p>
    <w:p>
      <w:pPr>
        <w:spacing w:after="0" w:line="30" w:lineRule="exact"/>
        <w:rPr>
          <w:rFonts w:ascii="Arial" w:cs="Arial" w:eastAsia="Arial" w:hAnsi="Arial"/>
          <w:sz w:val="18"/>
          <w:szCs w:val="18"/>
          <w:b w:val="1"/>
          <w:bCs w:val="1"/>
          <w:color w:val="auto"/>
        </w:rPr>
      </w:pPr>
    </w:p>
    <w:p>
      <w:pPr>
        <w:ind w:left="920" w:hanging="575"/>
        <w:spacing w:after="0"/>
        <w:tabs>
          <w:tab w:leader="none" w:pos="9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7"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44" w:lineRule="exact"/>
        <w:rPr>
          <w:sz w:val="20"/>
          <w:szCs w:val="20"/>
          <w:color w:val="auto"/>
        </w:rPr>
      </w:pPr>
    </w:p>
    <w:p>
      <w:pPr>
        <w:ind w:left="120" w:hanging="112"/>
        <w:spacing w:after="0"/>
        <w:tabs>
          <w:tab w:leader="none" w:pos="120"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Includes warrants exercisable into 188,758 Ordinary Shares.</w:t>
      </w:r>
    </w:p>
    <w:p>
      <w:pPr>
        <w:spacing w:after="0" w:line="26" w:lineRule="exact"/>
        <w:rPr>
          <w:sz w:val="20"/>
          <w:szCs w:val="20"/>
          <w:color w:val="auto"/>
        </w:rPr>
      </w:pPr>
    </w:p>
    <w:p>
      <w:pPr>
        <w:ind w:firstLine="8"/>
        <w:spacing w:after="0" w:line="209" w:lineRule="auto"/>
        <w:tabs>
          <w:tab w:leader="none" w:pos="120" w:val="left"/>
        </w:tabs>
        <w:numPr>
          <w:ilvl w:val="0"/>
          <w:numId w:val="8"/>
        </w:numPr>
        <w:rPr>
          <w:rFonts w:ascii="Arial" w:cs="Arial" w:eastAsia="Arial" w:hAnsi="Arial"/>
          <w:sz w:val="30"/>
          <w:szCs w:val="30"/>
          <w:color w:val="auto"/>
          <w:vertAlign w:val="superscript"/>
        </w:rPr>
      </w:pPr>
      <w:r>
        <w:rPr>
          <w:rFonts w:ascii="Arial" w:cs="Arial" w:eastAsia="Arial" w:hAnsi="Arial"/>
          <w:sz w:val="18"/>
          <w:szCs w:val="18"/>
          <w:color w:val="auto"/>
        </w:rPr>
        <w:t>This percentage figure is based upon 70,350,443 Ordinary Shares outstanding, consisting of: (i) 70,161,685 Ordinary Shares outstanding as of October 20, 2021, as reported in the Issuer’s Form 10-Q filed with the SEC on November 2, 2021, and (ii) 188,758 Ordinary Shares issuable upon exercise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80"/>
          </w:cols>
          <w:pgMar w:left="320" w:top="904" w:right="5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CUSIP No. G48833118</w:t>
      </w:r>
    </w:p>
    <w:p>
      <w:pPr>
        <w:spacing w:after="0" w:line="225" w:lineRule="exact"/>
        <w:rPr>
          <w:sz w:val="20"/>
          <w:szCs w:val="20"/>
          <w:color w:val="auto"/>
        </w:rPr>
      </w:pPr>
    </w:p>
    <w:p>
      <w:pPr>
        <w:jc w:val="both"/>
        <w:ind w:left="920" w:right="7840" w:hanging="575"/>
        <w:spacing w:after="0" w:line="347" w:lineRule="auto"/>
        <w:tabs>
          <w:tab w:leader="none" w:pos="92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Names of Reporting Persons </w:t>
      </w:r>
      <w:r>
        <w:rPr>
          <w:rFonts w:ascii="Arial" w:cs="Arial" w:eastAsia="Arial" w:hAnsi="Arial"/>
          <w:sz w:val="16"/>
          <w:szCs w:val="16"/>
          <w:color w:val="auto"/>
        </w:rPr>
        <w:t>D. E. Shaw Manager II, L.L.C.</w:t>
      </w:r>
    </w:p>
    <w:p>
      <w:pPr>
        <w:spacing w:after="0" w:line="115" w:lineRule="exact"/>
        <w:rPr>
          <w:rFonts w:ascii="Arial" w:cs="Arial" w:eastAsia="Arial" w:hAnsi="Arial"/>
          <w:sz w:val="16"/>
          <w:szCs w:val="16"/>
          <w:b w:val="1"/>
          <w:bCs w:val="1"/>
          <w:color w:val="auto"/>
        </w:rPr>
      </w:pPr>
    </w:p>
    <w:p>
      <w:pPr>
        <w:ind w:left="920" w:hanging="575"/>
        <w:spacing w:after="0"/>
        <w:tabs>
          <w:tab w:leader="none" w:pos="9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22" w:lineRule="exact"/>
        <w:rPr>
          <w:sz w:val="20"/>
          <w:szCs w:val="20"/>
          <w:color w:val="auto"/>
        </w:rPr>
      </w:pPr>
    </w:p>
    <w:p>
      <w:pPr>
        <w:ind w:left="1480" w:hanging="568"/>
        <w:spacing w:after="0" w:line="207" w:lineRule="exact"/>
        <w:tabs>
          <w:tab w:leader="none" w:pos="1480" w:val="left"/>
        </w:tabs>
        <w:numPr>
          <w:ilvl w:val="1"/>
          <w:numId w:val="10"/>
        </w:numPr>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15" w:lineRule="exact"/>
        <w:rPr>
          <w:rFonts w:ascii="Arial" w:cs="Arial" w:eastAsia="Arial" w:hAnsi="Arial"/>
          <w:sz w:val="18"/>
          <w:szCs w:val="18"/>
          <w:b w:val="1"/>
          <w:bCs w:val="1"/>
          <w:color w:val="auto"/>
        </w:rPr>
      </w:pPr>
    </w:p>
    <w:p>
      <w:pPr>
        <w:ind w:left="1480" w:hanging="568"/>
        <w:spacing w:after="0" w:line="207" w:lineRule="exact"/>
        <w:tabs>
          <w:tab w:leader="none" w:pos="1480" w:val="left"/>
        </w:tabs>
        <w:numPr>
          <w:ilvl w:val="1"/>
          <w:numId w:val="10"/>
        </w:numPr>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205" w:lineRule="exact"/>
        <w:rPr>
          <w:rFonts w:ascii="Arial" w:cs="Arial" w:eastAsia="Arial" w:hAnsi="Arial"/>
          <w:sz w:val="18"/>
          <w:szCs w:val="18"/>
          <w:b w:val="1"/>
          <w:bCs w:val="1"/>
          <w:color w:val="auto"/>
        </w:rPr>
      </w:pPr>
    </w:p>
    <w:p>
      <w:pPr>
        <w:ind w:left="920" w:hanging="575"/>
        <w:spacing w:after="0"/>
        <w:tabs>
          <w:tab w:leader="none" w:pos="9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25" w:lineRule="exact"/>
        <w:rPr>
          <w:rFonts w:ascii="Arial" w:cs="Arial" w:eastAsia="Arial" w:hAnsi="Arial"/>
          <w:sz w:val="18"/>
          <w:szCs w:val="18"/>
          <w:b w:val="1"/>
          <w:bCs w:val="1"/>
          <w:color w:val="auto"/>
        </w:rPr>
      </w:pPr>
    </w:p>
    <w:p>
      <w:pPr>
        <w:ind w:left="920" w:right="7260" w:hanging="575"/>
        <w:spacing w:after="0" w:line="282" w:lineRule="auto"/>
        <w:tabs>
          <w:tab w:leader="none" w:pos="9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Delaware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600" w:type="dxa"/>
            <w:vAlign w:val="bottom"/>
          </w:tcPr>
          <w:p>
            <w:pPr>
              <w:jc w:val="right"/>
              <w:ind w:right="110"/>
              <w:spacing w:after="0"/>
              <w:rPr>
                <w:sz w:val="20"/>
                <w:szCs w:val="20"/>
                <w:color w:val="auto"/>
              </w:rPr>
            </w:pPr>
            <w:r>
              <w:rPr>
                <w:rFonts w:ascii="Arial" w:cs="Arial" w:eastAsia="Arial" w:hAnsi="Arial"/>
                <w:sz w:val="18"/>
                <w:szCs w:val="18"/>
                <w:b w:val="1"/>
                <w:bCs w:val="1"/>
                <w:color w:val="auto"/>
              </w:rPr>
              <w:t>5.</w:t>
            </w:r>
          </w:p>
        </w:tc>
        <w:tc>
          <w:tcPr>
            <w:tcW w:w="1620" w:type="dxa"/>
            <w:vAlign w:val="bottom"/>
          </w:tcPr>
          <w:p>
            <w:pPr>
              <w:ind w:left="220"/>
              <w:spacing w:after="0"/>
              <w:rPr>
                <w:sz w:val="20"/>
                <w:szCs w:val="20"/>
                <w:color w:val="auto"/>
              </w:rPr>
            </w:pPr>
            <w:r>
              <w:rPr>
                <w:rFonts w:ascii="Arial" w:cs="Arial" w:eastAsia="Arial" w:hAnsi="Arial"/>
                <w:sz w:val="18"/>
                <w:szCs w:val="18"/>
                <w:b w:val="1"/>
                <w:bCs w:val="1"/>
                <w:color w:val="auto"/>
                <w:w w:val="87"/>
              </w:rPr>
              <w:t>Sole Voting Power</w:t>
            </w:r>
          </w:p>
        </w:tc>
      </w:tr>
      <w:tr>
        <w:trPr>
          <w:trHeight w:val="216"/>
        </w:trPr>
        <w:tc>
          <w:tcPr>
            <w:tcW w:w="122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6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6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600" w:type="dxa"/>
            <w:vAlign w:val="bottom"/>
          </w:tcPr>
          <w:p>
            <w:pPr>
              <w:spacing w:after="0"/>
              <w:rPr>
                <w:sz w:val="18"/>
                <w:szCs w:val="18"/>
                <w:color w:val="auto"/>
              </w:rPr>
            </w:pPr>
          </w:p>
        </w:tc>
        <w:tc>
          <w:tcPr>
            <w:tcW w:w="1620" w:type="dxa"/>
            <w:vAlign w:val="bottom"/>
          </w:tcPr>
          <w:p>
            <w:pPr>
              <w:ind w:left="220"/>
              <w:spacing w:after="0"/>
              <w:rPr>
                <w:sz w:val="20"/>
                <w:szCs w:val="20"/>
                <w:color w:val="auto"/>
              </w:rPr>
            </w:pPr>
            <w:r>
              <w:rPr>
                <w:rFonts w:ascii="Arial" w:cs="Arial" w:eastAsia="Arial" w:hAnsi="Arial"/>
                <w:sz w:val="18"/>
                <w:szCs w:val="18"/>
                <w:color w:val="auto"/>
              </w:rPr>
              <w:t>-0-</w:t>
            </w:r>
          </w:p>
        </w:tc>
      </w:tr>
      <w:tr>
        <w:trPr>
          <w:trHeight w:val="216"/>
        </w:trPr>
        <w:tc>
          <w:tcPr>
            <w:tcW w:w="1220" w:type="dxa"/>
            <w:vAlign w:val="bottom"/>
          </w:tcPr>
          <w:p>
            <w:pPr>
              <w:spacing w:after="0"/>
              <w:rPr>
                <w:sz w:val="20"/>
                <w:szCs w:val="20"/>
                <w:color w:val="auto"/>
              </w:rPr>
            </w:pPr>
            <w:r>
              <w:rPr>
                <w:rFonts w:ascii="Arial" w:cs="Arial" w:eastAsia="Arial" w:hAnsi="Arial"/>
                <w:sz w:val="18"/>
                <w:szCs w:val="18"/>
                <w:b w:val="1"/>
                <w:bCs w:val="1"/>
                <w:color w:val="auto"/>
              </w:rPr>
              <w:t>Each</w:t>
            </w:r>
          </w:p>
        </w:tc>
        <w:tc>
          <w:tcPr>
            <w:tcW w:w="6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6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1220" w:type="dxa"/>
            <w:vAlign w:val="bottom"/>
          </w:tcPr>
          <w:p>
            <w:pPr>
              <w:spacing w:after="0"/>
              <w:rPr>
                <w:sz w:val="20"/>
                <w:szCs w:val="20"/>
                <w:color w:val="auto"/>
              </w:rPr>
            </w:pPr>
            <w:r>
              <w:rPr>
                <w:rFonts w:ascii="Arial" w:cs="Arial" w:eastAsia="Arial" w:hAnsi="Arial"/>
                <w:sz w:val="18"/>
                <w:szCs w:val="18"/>
                <w:b w:val="1"/>
                <w:bCs w:val="1"/>
                <w:color w:val="auto"/>
              </w:rPr>
              <w:t>Person With</w:t>
            </w:r>
          </w:p>
        </w:tc>
        <w:tc>
          <w:tcPr>
            <w:tcW w:w="600" w:type="dxa"/>
            <w:vAlign w:val="bottom"/>
          </w:tcPr>
          <w:p>
            <w:pPr>
              <w:spacing w:after="0"/>
              <w:rPr>
                <w:sz w:val="20"/>
                <w:szCs w:val="20"/>
                <w:color w:val="auto"/>
              </w:rPr>
            </w:pPr>
          </w:p>
        </w:tc>
        <w:tc>
          <w:tcPr>
            <w:tcW w:w="1620" w:type="dxa"/>
            <w:vAlign w:val="bottom"/>
          </w:tcPr>
          <w:p>
            <w:pPr>
              <w:spacing w:after="0"/>
              <w:rPr>
                <w:sz w:val="20"/>
                <w:szCs w:val="20"/>
                <w:color w:val="auto"/>
              </w:rPr>
            </w:pPr>
          </w:p>
        </w:tc>
      </w:tr>
    </w:tbl>
    <w:p>
      <w:pPr>
        <w:ind w:left="2040" w:right="7320" w:hanging="561"/>
        <w:spacing w:after="0" w:line="279" w:lineRule="auto"/>
        <w:tabs>
          <w:tab w:leader="none" w:pos="2040" w:val="left"/>
        </w:tabs>
        <w:numPr>
          <w:ilvl w:val="1"/>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4,727,513</w:t>
      </w:r>
      <w:r>
        <w:rPr>
          <w:rFonts w:ascii="Arial" w:cs="Arial" w:eastAsia="Arial" w:hAnsi="Arial"/>
          <w:sz w:val="29"/>
          <w:szCs w:val="29"/>
          <w:color w:val="auto"/>
          <w:vertAlign w:val="superscript"/>
        </w:rPr>
        <w:t>1</w:t>
      </w:r>
    </w:p>
    <w:p>
      <w:pPr>
        <w:spacing w:after="0" w:line="41" w:lineRule="exact"/>
        <w:rPr>
          <w:rFonts w:ascii="Arial" w:cs="Arial" w:eastAsia="Arial" w:hAnsi="Arial"/>
          <w:sz w:val="18"/>
          <w:szCs w:val="18"/>
          <w:b w:val="1"/>
          <w:bCs w:val="1"/>
          <w:color w:val="auto"/>
        </w:rPr>
      </w:pPr>
    </w:p>
    <w:p>
      <w:pPr>
        <w:ind w:left="2040" w:right="7200" w:hanging="561"/>
        <w:spacing w:after="0" w:line="282" w:lineRule="auto"/>
        <w:tabs>
          <w:tab w:leader="none" w:pos="2040" w:val="left"/>
        </w:tabs>
        <w:numPr>
          <w:ilvl w:val="1"/>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-0-</w:t>
      </w:r>
    </w:p>
    <w:p>
      <w:pPr>
        <w:spacing w:after="0" w:line="161" w:lineRule="exact"/>
        <w:rPr>
          <w:rFonts w:ascii="Arial" w:cs="Arial" w:eastAsia="Arial" w:hAnsi="Arial"/>
          <w:sz w:val="18"/>
          <w:szCs w:val="18"/>
          <w:b w:val="1"/>
          <w:bCs w:val="1"/>
          <w:color w:val="auto"/>
        </w:rPr>
      </w:pPr>
    </w:p>
    <w:p>
      <w:pPr>
        <w:ind w:left="2040" w:right="6980" w:hanging="561"/>
        <w:spacing w:after="0" w:line="292" w:lineRule="auto"/>
        <w:tabs>
          <w:tab w:leader="none" w:pos="2040" w:val="left"/>
        </w:tabs>
        <w:numPr>
          <w:ilvl w:val="1"/>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4,727,513</w:t>
      </w:r>
      <w:r>
        <w:rPr>
          <w:rFonts w:ascii="Arial" w:cs="Arial" w:eastAsia="Arial" w:hAnsi="Arial"/>
          <w:sz w:val="29"/>
          <w:szCs w:val="29"/>
          <w:color w:val="auto"/>
          <w:vertAlign w:val="superscript"/>
        </w:rPr>
        <w:t>1</w:t>
      </w:r>
    </w:p>
    <w:p>
      <w:pPr>
        <w:spacing w:after="0" w:line="30" w:lineRule="exact"/>
        <w:rPr>
          <w:rFonts w:ascii="Arial" w:cs="Arial" w:eastAsia="Arial" w:hAnsi="Arial"/>
          <w:sz w:val="18"/>
          <w:szCs w:val="18"/>
          <w:b w:val="1"/>
          <w:bCs w:val="1"/>
          <w:color w:val="auto"/>
        </w:rPr>
      </w:pPr>
    </w:p>
    <w:p>
      <w:pPr>
        <w:ind w:left="920" w:right="5000" w:hanging="575"/>
        <w:spacing w:after="0" w:line="292" w:lineRule="auto"/>
        <w:tabs>
          <w:tab w:leader="none" w:pos="9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4,727,513</w:t>
      </w:r>
      <w:r>
        <w:rPr>
          <w:rFonts w:ascii="Arial" w:cs="Arial" w:eastAsia="Arial" w:hAnsi="Arial"/>
          <w:sz w:val="29"/>
          <w:szCs w:val="29"/>
          <w:color w:val="auto"/>
          <w:vertAlign w:val="superscript"/>
        </w:rPr>
        <w:t>1</w:t>
      </w:r>
    </w:p>
    <w:p>
      <w:pPr>
        <w:spacing w:after="0" w:line="2" w:lineRule="exact"/>
        <w:rPr>
          <w:rFonts w:ascii="Arial" w:cs="Arial" w:eastAsia="Arial" w:hAnsi="Arial"/>
          <w:sz w:val="18"/>
          <w:szCs w:val="18"/>
          <w:b w:val="1"/>
          <w:bCs w:val="1"/>
          <w:color w:val="auto"/>
        </w:rPr>
      </w:pPr>
    </w:p>
    <w:p>
      <w:pPr>
        <w:ind w:left="920" w:hanging="575"/>
        <w:spacing w:after="0" w:line="207" w:lineRule="exact"/>
        <w:tabs>
          <w:tab w:leader="none" w:pos="9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Check if the Aggregate Amount in Row (9) Excludes Certain Shares (See Instructions) </w:t>
      </w:r>
      <w:r>
        <w:rPr>
          <w:rFonts w:ascii="MS PGothic" w:cs="MS PGothic" w:eastAsia="MS PGothic" w:hAnsi="MS PGothic"/>
          <w:sz w:val="18"/>
          <w:szCs w:val="18"/>
          <w:color w:val="auto"/>
          <w:highlight w:val="black"/>
        </w:rPr>
        <w:t>☐</w:t>
      </w:r>
    </w:p>
    <w:p>
      <w:pPr>
        <w:spacing w:after="0" w:line="253" w:lineRule="exact"/>
        <w:rPr>
          <w:rFonts w:ascii="Arial" w:cs="Arial" w:eastAsia="Arial" w:hAnsi="Arial"/>
          <w:sz w:val="18"/>
          <w:szCs w:val="18"/>
          <w:b w:val="1"/>
          <w:bCs w:val="1"/>
          <w:color w:val="auto"/>
        </w:rPr>
      </w:pPr>
    </w:p>
    <w:p>
      <w:pPr>
        <w:ind w:left="920" w:right="6080" w:hanging="575"/>
        <w:spacing w:after="0" w:line="292" w:lineRule="auto"/>
        <w:tabs>
          <w:tab w:leader="none" w:pos="9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6.7%</w:t>
      </w:r>
      <w:r>
        <w:rPr>
          <w:rFonts w:ascii="Arial" w:cs="Arial" w:eastAsia="Arial" w:hAnsi="Arial"/>
          <w:sz w:val="29"/>
          <w:szCs w:val="29"/>
          <w:color w:val="auto"/>
          <w:vertAlign w:val="superscript"/>
        </w:rPr>
        <w:t>2</w:t>
      </w:r>
    </w:p>
    <w:p>
      <w:pPr>
        <w:spacing w:after="0" w:line="30" w:lineRule="exact"/>
        <w:rPr>
          <w:rFonts w:ascii="Arial" w:cs="Arial" w:eastAsia="Arial" w:hAnsi="Arial"/>
          <w:sz w:val="18"/>
          <w:szCs w:val="18"/>
          <w:b w:val="1"/>
          <w:bCs w:val="1"/>
          <w:color w:val="auto"/>
        </w:rPr>
      </w:pPr>
    </w:p>
    <w:p>
      <w:pPr>
        <w:ind w:left="920" w:hanging="575"/>
        <w:spacing w:after="0"/>
        <w:tabs>
          <w:tab w:leader="none" w:pos="9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7"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7830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44" w:lineRule="exact"/>
        <w:rPr>
          <w:sz w:val="20"/>
          <w:szCs w:val="20"/>
          <w:color w:val="auto"/>
        </w:rPr>
      </w:pPr>
    </w:p>
    <w:p>
      <w:pPr>
        <w:ind w:left="120" w:hanging="112"/>
        <w:spacing w:after="0"/>
        <w:tabs>
          <w:tab w:leader="none" w:pos="12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Includes warrants exercisable into 188,758 Ordinary Shares.</w:t>
      </w:r>
    </w:p>
    <w:p>
      <w:pPr>
        <w:spacing w:after="0" w:line="26" w:lineRule="exact"/>
        <w:rPr>
          <w:sz w:val="20"/>
          <w:szCs w:val="20"/>
          <w:color w:val="auto"/>
        </w:rPr>
      </w:pPr>
    </w:p>
    <w:p>
      <w:pPr>
        <w:ind w:firstLine="8"/>
        <w:spacing w:after="0" w:line="209" w:lineRule="auto"/>
        <w:tabs>
          <w:tab w:leader="none" w:pos="120" w:val="left"/>
        </w:tabs>
        <w:numPr>
          <w:ilvl w:val="0"/>
          <w:numId w:val="15"/>
        </w:numPr>
        <w:rPr>
          <w:rFonts w:ascii="Arial" w:cs="Arial" w:eastAsia="Arial" w:hAnsi="Arial"/>
          <w:sz w:val="30"/>
          <w:szCs w:val="30"/>
          <w:color w:val="auto"/>
          <w:vertAlign w:val="superscript"/>
        </w:rPr>
      </w:pPr>
      <w:r>
        <w:rPr>
          <w:rFonts w:ascii="Arial" w:cs="Arial" w:eastAsia="Arial" w:hAnsi="Arial"/>
          <w:sz w:val="18"/>
          <w:szCs w:val="18"/>
          <w:color w:val="auto"/>
        </w:rPr>
        <w:t>This percentage figure is based upon 70,350,443 Ordinary Shares outstanding, consisting of: (i) 70,161,685 Ordinary Shares outstanding as of October 20, 2021, as reported in the Issuer’s Form 10-Q filed with the SEC on November 2, 2021, and (ii) 188,758 Ordinary Shares issuable upon exercise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80"/>
          </w:cols>
          <w:pgMar w:left="320" w:top="904" w:right="5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CUSIP No. G48833118</w:t>
      </w:r>
    </w:p>
    <w:p>
      <w:pPr>
        <w:spacing w:after="0" w:line="225" w:lineRule="exact"/>
        <w:rPr>
          <w:sz w:val="20"/>
          <w:szCs w:val="20"/>
          <w:color w:val="auto"/>
        </w:rPr>
      </w:pPr>
    </w:p>
    <w:p>
      <w:pPr>
        <w:jc w:val="both"/>
        <w:ind w:left="920" w:right="7880" w:hanging="575"/>
        <w:spacing w:after="0" w:line="386" w:lineRule="auto"/>
        <w:tabs>
          <w:tab w:leader="none" w:pos="920" w:val="left"/>
        </w:tabs>
        <w:numPr>
          <w:ilvl w:val="0"/>
          <w:numId w:val="1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Names of Reporting Persons </w:t>
      </w:r>
      <w:r>
        <w:rPr>
          <w:rFonts w:ascii="Arial" w:cs="Arial" w:eastAsia="Arial" w:hAnsi="Arial"/>
          <w:sz w:val="15"/>
          <w:szCs w:val="15"/>
          <w:color w:val="auto"/>
        </w:rPr>
        <w:t>D. E. Shaw Adviser II, L.L.C.</w:t>
      </w:r>
    </w:p>
    <w:p>
      <w:pPr>
        <w:spacing w:after="0" w:line="93" w:lineRule="exact"/>
        <w:rPr>
          <w:rFonts w:ascii="Arial" w:cs="Arial" w:eastAsia="Arial" w:hAnsi="Arial"/>
          <w:sz w:val="15"/>
          <w:szCs w:val="15"/>
          <w:b w:val="1"/>
          <w:bCs w:val="1"/>
          <w:color w:val="auto"/>
        </w:rPr>
      </w:pPr>
    </w:p>
    <w:p>
      <w:pPr>
        <w:ind w:left="920" w:hanging="575"/>
        <w:spacing w:after="0"/>
        <w:tabs>
          <w:tab w:leader="none" w:pos="9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22" w:lineRule="exact"/>
        <w:rPr>
          <w:sz w:val="20"/>
          <w:szCs w:val="20"/>
          <w:color w:val="auto"/>
        </w:rPr>
      </w:pPr>
    </w:p>
    <w:p>
      <w:pPr>
        <w:ind w:left="1480" w:hanging="568"/>
        <w:spacing w:after="0" w:line="207" w:lineRule="exact"/>
        <w:tabs>
          <w:tab w:leader="none" w:pos="1480" w:val="left"/>
        </w:tabs>
        <w:numPr>
          <w:ilvl w:val="1"/>
          <w:numId w:val="17"/>
        </w:numPr>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15" w:lineRule="exact"/>
        <w:rPr>
          <w:rFonts w:ascii="Arial" w:cs="Arial" w:eastAsia="Arial" w:hAnsi="Arial"/>
          <w:sz w:val="18"/>
          <w:szCs w:val="18"/>
          <w:b w:val="1"/>
          <w:bCs w:val="1"/>
          <w:color w:val="auto"/>
        </w:rPr>
      </w:pPr>
    </w:p>
    <w:p>
      <w:pPr>
        <w:ind w:left="1480" w:hanging="568"/>
        <w:spacing w:after="0" w:line="207" w:lineRule="exact"/>
        <w:tabs>
          <w:tab w:leader="none" w:pos="1480" w:val="left"/>
        </w:tabs>
        <w:numPr>
          <w:ilvl w:val="1"/>
          <w:numId w:val="17"/>
        </w:numPr>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205" w:lineRule="exact"/>
        <w:rPr>
          <w:rFonts w:ascii="Arial" w:cs="Arial" w:eastAsia="Arial" w:hAnsi="Arial"/>
          <w:sz w:val="18"/>
          <w:szCs w:val="18"/>
          <w:b w:val="1"/>
          <w:bCs w:val="1"/>
          <w:color w:val="auto"/>
        </w:rPr>
      </w:pPr>
    </w:p>
    <w:p>
      <w:pPr>
        <w:ind w:left="920" w:hanging="575"/>
        <w:spacing w:after="0"/>
        <w:tabs>
          <w:tab w:leader="none" w:pos="9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25" w:lineRule="exact"/>
        <w:rPr>
          <w:rFonts w:ascii="Arial" w:cs="Arial" w:eastAsia="Arial" w:hAnsi="Arial"/>
          <w:sz w:val="18"/>
          <w:szCs w:val="18"/>
          <w:b w:val="1"/>
          <w:bCs w:val="1"/>
          <w:color w:val="auto"/>
        </w:rPr>
      </w:pPr>
    </w:p>
    <w:p>
      <w:pPr>
        <w:ind w:left="920" w:right="7260" w:hanging="575"/>
        <w:spacing w:after="0" w:line="282" w:lineRule="auto"/>
        <w:tabs>
          <w:tab w:leader="none" w:pos="9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Delaware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600" w:type="dxa"/>
            <w:vAlign w:val="bottom"/>
          </w:tcPr>
          <w:p>
            <w:pPr>
              <w:jc w:val="right"/>
              <w:ind w:right="110"/>
              <w:spacing w:after="0"/>
              <w:rPr>
                <w:sz w:val="20"/>
                <w:szCs w:val="20"/>
                <w:color w:val="auto"/>
              </w:rPr>
            </w:pPr>
            <w:r>
              <w:rPr>
                <w:rFonts w:ascii="Arial" w:cs="Arial" w:eastAsia="Arial" w:hAnsi="Arial"/>
                <w:sz w:val="18"/>
                <w:szCs w:val="18"/>
                <w:b w:val="1"/>
                <w:bCs w:val="1"/>
                <w:color w:val="auto"/>
              </w:rPr>
              <w:t>5.</w:t>
            </w:r>
          </w:p>
        </w:tc>
        <w:tc>
          <w:tcPr>
            <w:tcW w:w="1620" w:type="dxa"/>
            <w:vAlign w:val="bottom"/>
          </w:tcPr>
          <w:p>
            <w:pPr>
              <w:ind w:left="220"/>
              <w:spacing w:after="0"/>
              <w:rPr>
                <w:sz w:val="20"/>
                <w:szCs w:val="20"/>
                <w:color w:val="auto"/>
              </w:rPr>
            </w:pPr>
            <w:r>
              <w:rPr>
                <w:rFonts w:ascii="Arial" w:cs="Arial" w:eastAsia="Arial" w:hAnsi="Arial"/>
                <w:sz w:val="18"/>
                <w:szCs w:val="18"/>
                <w:b w:val="1"/>
                <w:bCs w:val="1"/>
                <w:color w:val="auto"/>
                <w:w w:val="87"/>
              </w:rPr>
              <w:t>Sole Voting Power</w:t>
            </w:r>
          </w:p>
        </w:tc>
      </w:tr>
      <w:tr>
        <w:trPr>
          <w:trHeight w:val="216"/>
        </w:trPr>
        <w:tc>
          <w:tcPr>
            <w:tcW w:w="122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6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6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600" w:type="dxa"/>
            <w:vAlign w:val="bottom"/>
          </w:tcPr>
          <w:p>
            <w:pPr>
              <w:spacing w:after="0"/>
              <w:rPr>
                <w:sz w:val="18"/>
                <w:szCs w:val="18"/>
                <w:color w:val="auto"/>
              </w:rPr>
            </w:pPr>
          </w:p>
        </w:tc>
        <w:tc>
          <w:tcPr>
            <w:tcW w:w="1620" w:type="dxa"/>
            <w:vAlign w:val="bottom"/>
          </w:tcPr>
          <w:p>
            <w:pPr>
              <w:ind w:left="220"/>
              <w:spacing w:after="0"/>
              <w:rPr>
                <w:sz w:val="20"/>
                <w:szCs w:val="20"/>
                <w:color w:val="auto"/>
              </w:rPr>
            </w:pPr>
            <w:r>
              <w:rPr>
                <w:rFonts w:ascii="Arial" w:cs="Arial" w:eastAsia="Arial" w:hAnsi="Arial"/>
                <w:sz w:val="18"/>
                <w:szCs w:val="18"/>
                <w:color w:val="auto"/>
              </w:rPr>
              <w:t>-0-</w:t>
            </w:r>
          </w:p>
        </w:tc>
      </w:tr>
      <w:tr>
        <w:trPr>
          <w:trHeight w:val="216"/>
        </w:trPr>
        <w:tc>
          <w:tcPr>
            <w:tcW w:w="1220" w:type="dxa"/>
            <w:vAlign w:val="bottom"/>
          </w:tcPr>
          <w:p>
            <w:pPr>
              <w:spacing w:after="0"/>
              <w:rPr>
                <w:sz w:val="20"/>
                <w:szCs w:val="20"/>
                <w:color w:val="auto"/>
              </w:rPr>
            </w:pPr>
            <w:r>
              <w:rPr>
                <w:rFonts w:ascii="Arial" w:cs="Arial" w:eastAsia="Arial" w:hAnsi="Arial"/>
                <w:sz w:val="18"/>
                <w:szCs w:val="18"/>
                <w:b w:val="1"/>
                <w:bCs w:val="1"/>
                <w:color w:val="auto"/>
              </w:rPr>
              <w:t>Each</w:t>
            </w:r>
          </w:p>
        </w:tc>
        <w:tc>
          <w:tcPr>
            <w:tcW w:w="6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6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1220" w:type="dxa"/>
            <w:vAlign w:val="bottom"/>
          </w:tcPr>
          <w:p>
            <w:pPr>
              <w:spacing w:after="0"/>
              <w:rPr>
                <w:sz w:val="20"/>
                <w:szCs w:val="20"/>
                <w:color w:val="auto"/>
              </w:rPr>
            </w:pPr>
            <w:r>
              <w:rPr>
                <w:rFonts w:ascii="Arial" w:cs="Arial" w:eastAsia="Arial" w:hAnsi="Arial"/>
                <w:sz w:val="18"/>
                <w:szCs w:val="18"/>
                <w:b w:val="1"/>
                <w:bCs w:val="1"/>
                <w:color w:val="auto"/>
              </w:rPr>
              <w:t>Person With</w:t>
            </w:r>
          </w:p>
        </w:tc>
        <w:tc>
          <w:tcPr>
            <w:tcW w:w="600" w:type="dxa"/>
            <w:vAlign w:val="bottom"/>
          </w:tcPr>
          <w:p>
            <w:pPr>
              <w:spacing w:after="0"/>
              <w:rPr>
                <w:sz w:val="20"/>
                <w:szCs w:val="20"/>
                <w:color w:val="auto"/>
              </w:rPr>
            </w:pPr>
          </w:p>
        </w:tc>
        <w:tc>
          <w:tcPr>
            <w:tcW w:w="1620" w:type="dxa"/>
            <w:vAlign w:val="bottom"/>
          </w:tcPr>
          <w:p>
            <w:pPr>
              <w:spacing w:after="0"/>
              <w:rPr>
                <w:sz w:val="20"/>
                <w:szCs w:val="20"/>
                <w:color w:val="auto"/>
              </w:rPr>
            </w:pPr>
          </w:p>
        </w:tc>
      </w:tr>
    </w:tbl>
    <w:p>
      <w:pPr>
        <w:ind w:left="2040" w:right="7320" w:hanging="561"/>
        <w:spacing w:after="0" w:line="279" w:lineRule="auto"/>
        <w:tabs>
          <w:tab w:leader="none" w:pos="2040" w:val="left"/>
        </w:tabs>
        <w:numPr>
          <w:ilvl w:val="1"/>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4,727,513</w:t>
      </w:r>
      <w:r>
        <w:rPr>
          <w:rFonts w:ascii="Arial" w:cs="Arial" w:eastAsia="Arial" w:hAnsi="Arial"/>
          <w:sz w:val="29"/>
          <w:szCs w:val="29"/>
          <w:color w:val="auto"/>
          <w:vertAlign w:val="superscript"/>
        </w:rPr>
        <w:t>1</w:t>
      </w:r>
    </w:p>
    <w:p>
      <w:pPr>
        <w:spacing w:after="0" w:line="41" w:lineRule="exact"/>
        <w:rPr>
          <w:rFonts w:ascii="Arial" w:cs="Arial" w:eastAsia="Arial" w:hAnsi="Arial"/>
          <w:sz w:val="18"/>
          <w:szCs w:val="18"/>
          <w:b w:val="1"/>
          <w:bCs w:val="1"/>
          <w:color w:val="auto"/>
        </w:rPr>
      </w:pPr>
    </w:p>
    <w:p>
      <w:pPr>
        <w:ind w:left="2040" w:right="7200" w:hanging="561"/>
        <w:spacing w:after="0" w:line="282" w:lineRule="auto"/>
        <w:tabs>
          <w:tab w:leader="none" w:pos="2040" w:val="left"/>
        </w:tabs>
        <w:numPr>
          <w:ilvl w:val="1"/>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-0-</w:t>
      </w:r>
    </w:p>
    <w:p>
      <w:pPr>
        <w:spacing w:after="0" w:line="161" w:lineRule="exact"/>
        <w:rPr>
          <w:rFonts w:ascii="Arial" w:cs="Arial" w:eastAsia="Arial" w:hAnsi="Arial"/>
          <w:sz w:val="18"/>
          <w:szCs w:val="18"/>
          <w:b w:val="1"/>
          <w:bCs w:val="1"/>
          <w:color w:val="auto"/>
        </w:rPr>
      </w:pPr>
    </w:p>
    <w:p>
      <w:pPr>
        <w:ind w:left="2040" w:right="6980" w:hanging="561"/>
        <w:spacing w:after="0" w:line="292" w:lineRule="auto"/>
        <w:tabs>
          <w:tab w:leader="none" w:pos="2040" w:val="left"/>
        </w:tabs>
        <w:numPr>
          <w:ilvl w:val="1"/>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4,727,513</w:t>
      </w:r>
      <w:r>
        <w:rPr>
          <w:rFonts w:ascii="Arial" w:cs="Arial" w:eastAsia="Arial" w:hAnsi="Arial"/>
          <w:sz w:val="29"/>
          <w:szCs w:val="29"/>
          <w:color w:val="auto"/>
          <w:vertAlign w:val="superscript"/>
        </w:rPr>
        <w:t>1</w:t>
      </w:r>
    </w:p>
    <w:p>
      <w:pPr>
        <w:spacing w:after="0" w:line="30" w:lineRule="exact"/>
        <w:rPr>
          <w:rFonts w:ascii="Arial" w:cs="Arial" w:eastAsia="Arial" w:hAnsi="Arial"/>
          <w:sz w:val="18"/>
          <w:szCs w:val="18"/>
          <w:b w:val="1"/>
          <w:bCs w:val="1"/>
          <w:color w:val="auto"/>
        </w:rPr>
      </w:pPr>
    </w:p>
    <w:p>
      <w:pPr>
        <w:ind w:left="920" w:right="5000" w:hanging="575"/>
        <w:spacing w:after="0" w:line="292" w:lineRule="auto"/>
        <w:tabs>
          <w:tab w:leader="none" w:pos="9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4,727,513</w:t>
      </w:r>
      <w:r>
        <w:rPr>
          <w:rFonts w:ascii="Arial" w:cs="Arial" w:eastAsia="Arial" w:hAnsi="Arial"/>
          <w:sz w:val="29"/>
          <w:szCs w:val="29"/>
          <w:color w:val="auto"/>
          <w:vertAlign w:val="superscript"/>
        </w:rPr>
        <w:t>1</w:t>
      </w:r>
    </w:p>
    <w:p>
      <w:pPr>
        <w:spacing w:after="0" w:line="2" w:lineRule="exact"/>
        <w:rPr>
          <w:rFonts w:ascii="Arial" w:cs="Arial" w:eastAsia="Arial" w:hAnsi="Arial"/>
          <w:sz w:val="18"/>
          <w:szCs w:val="18"/>
          <w:b w:val="1"/>
          <w:bCs w:val="1"/>
          <w:color w:val="auto"/>
        </w:rPr>
      </w:pPr>
    </w:p>
    <w:p>
      <w:pPr>
        <w:ind w:left="920" w:hanging="575"/>
        <w:spacing w:after="0" w:line="207" w:lineRule="exact"/>
        <w:tabs>
          <w:tab w:leader="none" w:pos="9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Check if the Aggregate Amount in Row (9) Excludes Certain Shares (See Instructions) </w:t>
      </w:r>
      <w:r>
        <w:rPr>
          <w:rFonts w:ascii="MS PGothic" w:cs="MS PGothic" w:eastAsia="MS PGothic" w:hAnsi="MS PGothic"/>
          <w:sz w:val="18"/>
          <w:szCs w:val="18"/>
          <w:color w:val="auto"/>
          <w:highlight w:val="black"/>
        </w:rPr>
        <w:t>☐</w:t>
      </w:r>
    </w:p>
    <w:p>
      <w:pPr>
        <w:spacing w:after="0" w:line="253" w:lineRule="exact"/>
        <w:rPr>
          <w:rFonts w:ascii="Arial" w:cs="Arial" w:eastAsia="Arial" w:hAnsi="Arial"/>
          <w:sz w:val="18"/>
          <w:szCs w:val="18"/>
          <w:b w:val="1"/>
          <w:bCs w:val="1"/>
          <w:color w:val="auto"/>
        </w:rPr>
      </w:pPr>
    </w:p>
    <w:p>
      <w:pPr>
        <w:ind w:left="920" w:right="6080" w:hanging="575"/>
        <w:spacing w:after="0" w:line="292" w:lineRule="auto"/>
        <w:tabs>
          <w:tab w:leader="none" w:pos="9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6.7%</w:t>
      </w:r>
      <w:r>
        <w:rPr>
          <w:rFonts w:ascii="Arial" w:cs="Arial" w:eastAsia="Arial" w:hAnsi="Arial"/>
          <w:sz w:val="29"/>
          <w:szCs w:val="29"/>
          <w:color w:val="auto"/>
          <w:vertAlign w:val="superscript"/>
        </w:rPr>
        <w:t>2</w:t>
      </w:r>
    </w:p>
    <w:p>
      <w:pPr>
        <w:spacing w:after="0" w:line="30" w:lineRule="exact"/>
        <w:rPr>
          <w:rFonts w:ascii="Arial" w:cs="Arial" w:eastAsia="Arial" w:hAnsi="Arial"/>
          <w:sz w:val="18"/>
          <w:szCs w:val="18"/>
          <w:b w:val="1"/>
          <w:bCs w:val="1"/>
          <w:color w:val="auto"/>
        </w:rPr>
      </w:pPr>
    </w:p>
    <w:p>
      <w:pPr>
        <w:ind w:left="920" w:hanging="575"/>
        <w:spacing w:after="0"/>
        <w:tabs>
          <w:tab w:leader="none" w:pos="9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7"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7830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44" w:lineRule="exact"/>
        <w:rPr>
          <w:sz w:val="20"/>
          <w:szCs w:val="20"/>
          <w:color w:val="auto"/>
        </w:rPr>
      </w:pPr>
    </w:p>
    <w:p>
      <w:pPr>
        <w:ind w:left="120" w:hanging="112"/>
        <w:spacing w:after="0"/>
        <w:tabs>
          <w:tab w:leader="none" w:pos="120" w:val="left"/>
        </w:tabs>
        <w:numPr>
          <w:ilvl w:val="0"/>
          <w:numId w:val="21"/>
        </w:numPr>
        <w:rPr>
          <w:rFonts w:ascii="Arial" w:cs="Arial" w:eastAsia="Arial" w:hAnsi="Arial"/>
          <w:sz w:val="30"/>
          <w:szCs w:val="30"/>
          <w:color w:val="auto"/>
          <w:vertAlign w:val="superscript"/>
        </w:rPr>
      </w:pPr>
      <w:r>
        <w:rPr>
          <w:rFonts w:ascii="Arial" w:cs="Arial" w:eastAsia="Arial" w:hAnsi="Arial"/>
          <w:sz w:val="18"/>
          <w:szCs w:val="18"/>
          <w:color w:val="auto"/>
        </w:rPr>
        <w:t>Includes warrants exercisable into 188,758 Ordinary Shares.</w:t>
      </w:r>
    </w:p>
    <w:p>
      <w:pPr>
        <w:spacing w:after="0" w:line="26" w:lineRule="exact"/>
        <w:rPr>
          <w:sz w:val="20"/>
          <w:szCs w:val="20"/>
          <w:color w:val="auto"/>
        </w:rPr>
      </w:pPr>
    </w:p>
    <w:p>
      <w:pPr>
        <w:ind w:firstLine="8"/>
        <w:spacing w:after="0" w:line="209" w:lineRule="auto"/>
        <w:tabs>
          <w:tab w:leader="none" w:pos="120" w:val="left"/>
        </w:tabs>
        <w:numPr>
          <w:ilvl w:val="0"/>
          <w:numId w:val="22"/>
        </w:numPr>
        <w:rPr>
          <w:rFonts w:ascii="Arial" w:cs="Arial" w:eastAsia="Arial" w:hAnsi="Arial"/>
          <w:sz w:val="30"/>
          <w:szCs w:val="30"/>
          <w:color w:val="auto"/>
          <w:vertAlign w:val="superscript"/>
        </w:rPr>
      </w:pPr>
      <w:r>
        <w:rPr>
          <w:rFonts w:ascii="Arial" w:cs="Arial" w:eastAsia="Arial" w:hAnsi="Arial"/>
          <w:sz w:val="18"/>
          <w:szCs w:val="18"/>
          <w:color w:val="auto"/>
        </w:rPr>
        <w:t>This percentage figure is based upon 70,350,443 Ordinary Shares outstanding, consisting of: (i) 70,161,685 Ordinary Shares outstanding as of October 20, 2021, as reported in the Issuer’s Form 10-Q filed with the SEC on November 2, 2021, and (ii) 188,758 Ordinary Shares issuable upon exercise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80"/>
          </w:cols>
          <w:pgMar w:left="320" w:top="904" w:right="5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CUSIP No. G48833118</w:t>
      </w:r>
    </w:p>
    <w:p>
      <w:pPr>
        <w:spacing w:after="0" w:line="225" w:lineRule="exact"/>
        <w:rPr>
          <w:sz w:val="20"/>
          <w:szCs w:val="20"/>
          <w:color w:val="auto"/>
        </w:rPr>
      </w:pPr>
    </w:p>
    <w:p>
      <w:pPr>
        <w:ind w:left="920" w:right="7880" w:hanging="575"/>
        <w:spacing w:after="0" w:line="386" w:lineRule="auto"/>
        <w:tabs>
          <w:tab w:leader="none" w:pos="920" w:val="left"/>
        </w:tabs>
        <w:numPr>
          <w:ilvl w:val="0"/>
          <w:numId w:val="2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Names of Reporting Persons </w:t>
      </w:r>
      <w:r>
        <w:rPr>
          <w:rFonts w:ascii="Arial" w:cs="Arial" w:eastAsia="Arial" w:hAnsi="Arial"/>
          <w:sz w:val="15"/>
          <w:szCs w:val="15"/>
          <w:color w:val="auto"/>
        </w:rPr>
        <w:t>D. E. Shaw &amp; Co., L.L.C.</w:t>
      </w:r>
    </w:p>
    <w:p>
      <w:pPr>
        <w:spacing w:after="0" w:line="93" w:lineRule="exact"/>
        <w:rPr>
          <w:rFonts w:ascii="Arial" w:cs="Arial" w:eastAsia="Arial" w:hAnsi="Arial"/>
          <w:sz w:val="15"/>
          <w:szCs w:val="15"/>
          <w:b w:val="1"/>
          <w:bCs w:val="1"/>
          <w:color w:val="auto"/>
        </w:rPr>
      </w:pPr>
    </w:p>
    <w:p>
      <w:pPr>
        <w:ind w:left="920" w:hanging="575"/>
        <w:spacing w:after="0"/>
        <w:tabs>
          <w:tab w:leader="none" w:pos="9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22" w:lineRule="exact"/>
        <w:rPr>
          <w:sz w:val="20"/>
          <w:szCs w:val="20"/>
          <w:color w:val="auto"/>
        </w:rPr>
      </w:pPr>
    </w:p>
    <w:p>
      <w:pPr>
        <w:ind w:left="1480" w:hanging="568"/>
        <w:spacing w:after="0" w:line="207" w:lineRule="exact"/>
        <w:tabs>
          <w:tab w:leader="none" w:pos="1480" w:val="left"/>
        </w:tabs>
        <w:numPr>
          <w:ilvl w:val="1"/>
          <w:numId w:val="24"/>
        </w:numPr>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15" w:lineRule="exact"/>
        <w:rPr>
          <w:rFonts w:ascii="Arial" w:cs="Arial" w:eastAsia="Arial" w:hAnsi="Arial"/>
          <w:sz w:val="18"/>
          <w:szCs w:val="18"/>
          <w:b w:val="1"/>
          <w:bCs w:val="1"/>
          <w:color w:val="auto"/>
        </w:rPr>
      </w:pPr>
    </w:p>
    <w:p>
      <w:pPr>
        <w:ind w:left="1480" w:hanging="568"/>
        <w:spacing w:after="0" w:line="207" w:lineRule="exact"/>
        <w:tabs>
          <w:tab w:leader="none" w:pos="1480" w:val="left"/>
        </w:tabs>
        <w:numPr>
          <w:ilvl w:val="1"/>
          <w:numId w:val="24"/>
        </w:numPr>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205" w:lineRule="exact"/>
        <w:rPr>
          <w:rFonts w:ascii="Arial" w:cs="Arial" w:eastAsia="Arial" w:hAnsi="Arial"/>
          <w:sz w:val="18"/>
          <w:szCs w:val="18"/>
          <w:b w:val="1"/>
          <w:bCs w:val="1"/>
          <w:color w:val="auto"/>
        </w:rPr>
      </w:pPr>
    </w:p>
    <w:p>
      <w:pPr>
        <w:ind w:left="920" w:hanging="575"/>
        <w:spacing w:after="0"/>
        <w:tabs>
          <w:tab w:leader="none" w:pos="9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25" w:lineRule="exact"/>
        <w:rPr>
          <w:rFonts w:ascii="Arial" w:cs="Arial" w:eastAsia="Arial" w:hAnsi="Arial"/>
          <w:sz w:val="18"/>
          <w:szCs w:val="18"/>
          <w:b w:val="1"/>
          <w:bCs w:val="1"/>
          <w:color w:val="auto"/>
        </w:rPr>
      </w:pPr>
    </w:p>
    <w:p>
      <w:pPr>
        <w:ind w:left="920" w:right="7260" w:hanging="575"/>
        <w:spacing w:after="0" w:line="282" w:lineRule="auto"/>
        <w:tabs>
          <w:tab w:leader="none" w:pos="9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Delaware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600" w:type="dxa"/>
            <w:vAlign w:val="bottom"/>
          </w:tcPr>
          <w:p>
            <w:pPr>
              <w:jc w:val="right"/>
              <w:ind w:right="110"/>
              <w:spacing w:after="0"/>
              <w:rPr>
                <w:sz w:val="20"/>
                <w:szCs w:val="20"/>
                <w:color w:val="auto"/>
              </w:rPr>
            </w:pPr>
            <w:r>
              <w:rPr>
                <w:rFonts w:ascii="Arial" w:cs="Arial" w:eastAsia="Arial" w:hAnsi="Arial"/>
                <w:sz w:val="18"/>
                <w:szCs w:val="18"/>
                <w:b w:val="1"/>
                <w:bCs w:val="1"/>
                <w:color w:val="auto"/>
              </w:rPr>
              <w:t>5.</w:t>
            </w:r>
          </w:p>
        </w:tc>
        <w:tc>
          <w:tcPr>
            <w:tcW w:w="1620" w:type="dxa"/>
            <w:vAlign w:val="bottom"/>
          </w:tcPr>
          <w:p>
            <w:pPr>
              <w:ind w:left="220"/>
              <w:spacing w:after="0"/>
              <w:rPr>
                <w:sz w:val="20"/>
                <w:szCs w:val="20"/>
                <w:color w:val="auto"/>
              </w:rPr>
            </w:pPr>
            <w:r>
              <w:rPr>
                <w:rFonts w:ascii="Arial" w:cs="Arial" w:eastAsia="Arial" w:hAnsi="Arial"/>
                <w:sz w:val="18"/>
                <w:szCs w:val="18"/>
                <w:b w:val="1"/>
                <w:bCs w:val="1"/>
                <w:color w:val="auto"/>
                <w:w w:val="87"/>
              </w:rPr>
              <w:t>Sole Voting Power</w:t>
            </w:r>
          </w:p>
        </w:tc>
      </w:tr>
      <w:tr>
        <w:trPr>
          <w:trHeight w:val="216"/>
        </w:trPr>
        <w:tc>
          <w:tcPr>
            <w:tcW w:w="122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6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6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600" w:type="dxa"/>
            <w:vAlign w:val="bottom"/>
          </w:tcPr>
          <w:p>
            <w:pPr>
              <w:spacing w:after="0"/>
              <w:rPr>
                <w:sz w:val="18"/>
                <w:szCs w:val="18"/>
                <w:color w:val="auto"/>
              </w:rPr>
            </w:pPr>
          </w:p>
        </w:tc>
        <w:tc>
          <w:tcPr>
            <w:tcW w:w="1620" w:type="dxa"/>
            <w:vAlign w:val="bottom"/>
          </w:tcPr>
          <w:p>
            <w:pPr>
              <w:ind w:left="220"/>
              <w:spacing w:after="0"/>
              <w:rPr>
                <w:sz w:val="20"/>
                <w:szCs w:val="20"/>
                <w:color w:val="auto"/>
              </w:rPr>
            </w:pPr>
            <w:r>
              <w:rPr>
                <w:rFonts w:ascii="Arial" w:cs="Arial" w:eastAsia="Arial" w:hAnsi="Arial"/>
                <w:sz w:val="18"/>
                <w:szCs w:val="18"/>
                <w:color w:val="auto"/>
              </w:rPr>
              <w:t>-0-</w:t>
            </w:r>
          </w:p>
        </w:tc>
      </w:tr>
      <w:tr>
        <w:trPr>
          <w:trHeight w:val="216"/>
        </w:trPr>
        <w:tc>
          <w:tcPr>
            <w:tcW w:w="1220" w:type="dxa"/>
            <w:vAlign w:val="bottom"/>
          </w:tcPr>
          <w:p>
            <w:pPr>
              <w:spacing w:after="0"/>
              <w:rPr>
                <w:sz w:val="20"/>
                <w:szCs w:val="20"/>
                <w:color w:val="auto"/>
              </w:rPr>
            </w:pPr>
            <w:r>
              <w:rPr>
                <w:rFonts w:ascii="Arial" w:cs="Arial" w:eastAsia="Arial" w:hAnsi="Arial"/>
                <w:sz w:val="18"/>
                <w:szCs w:val="18"/>
                <w:b w:val="1"/>
                <w:bCs w:val="1"/>
                <w:color w:val="auto"/>
              </w:rPr>
              <w:t>Each</w:t>
            </w:r>
          </w:p>
        </w:tc>
        <w:tc>
          <w:tcPr>
            <w:tcW w:w="6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6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1220" w:type="dxa"/>
            <w:vAlign w:val="bottom"/>
          </w:tcPr>
          <w:p>
            <w:pPr>
              <w:spacing w:after="0"/>
              <w:rPr>
                <w:sz w:val="20"/>
                <w:szCs w:val="20"/>
                <w:color w:val="auto"/>
              </w:rPr>
            </w:pPr>
            <w:r>
              <w:rPr>
                <w:rFonts w:ascii="Arial" w:cs="Arial" w:eastAsia="Arial" w:hAnsi="Arial"/>
                <w:sz w:val="18"/>
                <w:szCs w:val="18"/>
                <w:b w:val="1"/>
                <w:bCs w:val="1"/>
                <w:color w:val="auto"/>
              </w:rPr>
              <w:t>Person With</w:t>
            </w:r>
          </w:p>
        </w:tc>
        <w:tc>
          <w:tcPr>
            <w:tcW w:w="600" w:type="dxa"/>
            <w:vAlign w:val="bottom"/>
          </w:tcPr>
          <w:p>
            <w:pPr>
              <w:spacing w:after="0"/>
              <w:rPr>
                <w:sz w:val="20"/>
                <w:szCs w:val="20"/>
                <w:color w:val="auto"/>
              </w:rPr>
            </w:pPr>
          </w:p>
        </w:tc>
        <w:tc>
          <w:tcPr>
            <w:tcW w:w="1620" w:type="dxa"/>
            <w:vAlign w:val="bottom"/>
          </w:tcPr>
          <w:p>
            <w:pPr>
              <w:spacing w:after="0"/>
              <w:rPr>
                <w:sz w:val="20"/>
                <w:szCs w:val="20"/>
                <w:color w:val="auto"/>
              </w:rPr>
            </w:pPr>
          </w:p>
        </w:tc>
      </w:tr>
    </w:tbl>
    <w:p>
      <w:pPr>
        <w:ind w:left="2040" w:right="7320" w:hanging="561"/>
        <w:spacing w:after="0" w:line="279" w:lineRule="auto"/>
        <w:tabs>
          <w:tab w:leader="none" w:pos="2040" w:val="left"/>
        </w:tabs>
        <w:numPr>
          <w:ilvl w:val="1"/>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4,727,513</w:t>
      </w:r>
      <w:r>
        <w:rPr>
          <w:rFonts w:ascii="Arial" w:cs="Arial" w:eastAsia="Arial" w:hAnsi="Arial"/>
          <w:sz w:val="29"/>
          <w:szCs w:val="29"/>
          <w:color w:val="auto"/>
          <w:vertAlign w:val="superscript"/>
        </w:rPr>
        <w:t>1</w:t>
      </w:r>
    </w:p>
    <w:p>
      <w:pPr>
        <w:spacing w:after="0" w:line="41" w:lineRule="exact"/>
        <w:rPr>
          <w:rFonts w:ascii="Arial" w:cs="Arial" w:eastAsia="Arial" w:hAnsi="Arial"/>
          <w:sz w:val="18"/>
          <w:szCs w:val="18"/>
          <w:b w:val="1"/>
          <w:bCs w:val="1"/>
          <w:color w:val="auto"/>
        </w:rPr>
      </w:pPr>
    </w:p>
    <w:p>
      <w:pPr>
        <w:ind w:left="2040" w:right="7200" w:hanging="561"/>
        <w:spacing w:after="0" w:line="282" w:lineRule="auto"/>
        <w:tabs>
          <w:tab w:leader="none" w:pos="2040" w:val="left"/>
        </w:tabs>
        <w:numPr>
          <w:ilvl w:val="1"/>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-0-</w:t>
      </w:r>
    </w:p>
    <w:p>
      <w:pPr>
        <w:spacing w:after="0" w:line="161" w:lineRule="exact"/>
        <w:rPr>
          <w:rFonts w:ascii="Arial" w:cs="Arial" w:eastAsia="Arial" w:hAnsi="Arial"/>
          <w:sz w:val="18"/>
          <w:szCs w:val="18"/>
          <w:b w:val="1"/>
          <w:bCs w:val="1"/>
          <w:color w:val="auto"/>
        </w:rPr>
      </w:pPr>
    </w:p>
    <w:p>
      <w:pPr>
        <w:ind w:left="2040" w:right="6980" w:hanging="561"/>
        <w:spacing w:after="0" w:line="292" w:lineRule="auto"/>
        <w:tabs>
          <w:tab w:leader="none" w:pos="2040" w:val="left"/>
        </w:tabs>
        <w:numPr>
          <w:ilvl w:val="1"/>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4,727,513</w:t>
      </w:r>
      <w:r>
        <w:rPr>
          <w:rFonts w:ascii="Arial" w:cs="Arial" w:eastAsia="Arial" w:hAnsi="Arial"/>
          <w:sz w:val="29"/>
          <w:szCs w:val="29"/>
          <w:color w:val="auto"/>
          <w:vertAlign w:val="superscript"/>
        </w:rPr>
        <w:t>1</w:t>
      </w:r>
    </w:p>
    <w:p>
      <w:pPr>
        <w:spacing w:after="0" w:line="30" w:lineRule="exact"/>
        <w:rPr>
          <w:rFonts w:ascii="Arial" w:cs="Arial" w:eastAsia="Arial" w:hAnsi="Arial"/>
          <w:sz w:val="18"/>
          <w:szCs w:val="18"/>
          <w:b w:val="1"/>
          <w:bCs w:val="1"/>
          <w:color w:val="auto"/>
        </w:rPr>
      </w:pPr>
    </w:p>
    <w:p>
      <w:pPr>
        <w:ind w:left="920" w:right="5000" w:hanging="575"/>
        <w:spacing w:after="0" w:line="292" w:lineRule="auto"/>
        <w:tabs>
          <w:tab w:leader="none" w:pos="9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4,727,513</w:t>
      </w:r>
      <w:r>
        <w:rPr>
          <w:rFonts w:ascii="Arial" w:cs="Arial" w:eastAsia="Arial" w:hAnsi="Arial"/>
          <w:sz w:val="29"/>
          <w:szCs w:val="29"/>
          <w:color w:val="auto"/>
          <w:vertAlign w:val="superscript"/>
        </w:rPr>
        <w:t>1</w:t>
      </w:r>
    </w:p>
    <w:p>
      <w:pPr>
        <w:spacing w:after="0" w:line="2" w:lineRule="exact"/>
        <w:rPr>
          <w:rFonts w:ascii="Arial" w:cs="Arial" w:eastAsia="Arial" w:hAnsi="Arial"/>
          <w:sz w:val="18"/>
          <w:szCs w:val="18"/>
          <w:b w:val="1"/>
          <w:bCs w:val="1"/>
          <w:color w:val="auto"/>
        </w:rPr>
      </w:pPr>
    </w:p>
    <w:p>
      <w:pPr>
        <w:ind w:left="920" w:hanging="575"/>
        <w:spacing w:after="0" w:line="207" w:lineRule="exact"/>
        <w:tabs>
          <w:tab w:leader="none" w:pos="9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Check if the Aggregate Amount in Row (9) Excludes Certain Shares (See Instructions) </w:t>
      </w:r>
      <w:r>
        <w:rPr>
          <w:rFonts w:ascii="MS PGothic" w:cs="MS PGothic" w:eastAsia="MS PGothic" w:hAnsi="MS PGothic"/>
          <w:sz w:val="18"/>
          <w:szCs w:val="18"/>
          <w:color w:val="auto"/>
          <w:highlight w:val="black"/>
        </w:rPr>
        <w:t>☐</w:t>
      </w:r>
    </w:p>
    <w:p>
      <w:pPr>
        <w:spacing w:after="0" w:line="253" w:lineRule="exact"/>
        <w:rPr>
          <w:rFonts w:ascii="Arial" w:cs="Arial" w:eastAsia="Arial" w:hAnsi="Arial"/>
          <w:sz w:val="18"/>
          <w:szCs w:val="18"/>
          <w:b w:val="1"/>
          <w:bCs w:val="1"/>
          <w:color w:val="auto"/>
        </w:rPr>
      </w:pPr>
    </w:p>
    <w:p>
      <w:pPr>
        <w:ind w:left="920" w:right="6080" w:hanging="575"/>
        <w:spacing w:after="0" w:line="292" w:lineRule="auto"/>
        <w:tabs>
          <w:tab w:leader="none" w:pos="9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6.7%</w:t>
      </w:r>
      <w:r>
        <w:rPr>
          <w:rFonts w:ascii="Arial" w:cs="Arial" w:eastAsia="Arial" w:hAnsi="Arial"/>
          <w:sz w:val="29"/>
          <w:szCs w:val="29"/>
          <w:color w:val="auto"/>
          <w:vertAlign w:val="superscript"/>
        </w:rPr>
        <w:t>2</w:t>
      </w:r>
    </w:p>
    <w:p>
      <w:pPr>
        <w:spacing w:after="0" w:line="30" w:lineRule="exact"/>
        <w:rPr>
          <w:rFonts w:ascii="Arial" w:cs="Arial" w:eastAsia="Arial" w:hAnsi="Arial"/>
          <w:sz w:val="18"/>
          <w:szCs w:val="18"/>
          <w:b w:val="1"/>
          <w:bCs w:val="1"/>
          <w:color w:val="auto"/>
        </w:rPr>
      </w:pPr>
    </w:p>
    <w:p>
      <w:pPr>
        <w:ind w:left="920" w:hanging="575"/>
        <w:spacing w:after="0"/>
        <w:tabs>
          <w:tab w:leader="none" w:pos="9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7"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7830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44" w:lineRule="exact"/>
        <w:rPr>
          <w:sz w:val="20"/>
          <w:szCs w:val="20"/>
          <w:color w:val="auto"/>
        </w:rPr>
      </w:pPr>
    </w:p>
    <w:p>
      <w:pPr>
        <w:ind w:left="120" w:hanging="112"/>
        <w:spacing w:after="0"/>
        <w:tabs>
          <w:tab w:leader="none" w:pos="120" w:val="left"/>
        </w:tabs>
        <w:numPr>
          <w:ilvl w:val="0"/>
          <w:numId w:val="28"/>
        </w:numPr>
        <w:rPr>
          <w:rFonts w:ascii="Arial" w:cs="Arial" w:eastAsia="Arial" w:hAnsi="Arial"/>
          <w:sz w:val="30"/>
          <w:szCs w:val="30"/>
          <w:color w:val="auto"/>
          <w:vertAlign w:val="superscript"/>
        </w:rPr>
      </w:pPr>
      <w:r>
        <w:rPr>
          <w:rFonts w:ascii="Arial" w:cs="Arial" w:eastAsia="Arial" w:hAnsi="Arial"/>
          <w:sz w:val="18"/>
          <w:szCs w:val="18"/>
          <w:color w:val="auto"/>
        </w:rPr>
        <w:t>Includes warrants exercisable into 188,758 Ordinary Shares.</w:t>
      </w:r>
    </w:p>
    <w:p>
      <w:pPr>
        <w:spacing w:after="0" w:line="26" w:lineRule="exact"/>
        <w:rPr>
          <w:sz w:val="20"/>
          <w:szCs w:val="20"/>
          <w:color w:val="auto"/>
        </w:rPr>
      </w:pPr>
    </w:p>
    <w:p>
      <w:pPr>
        <w:ind w:firstLine="8"/>
        <w:spacing w:after="0" w:line="209" w:lineRule="auto"/>
        <w:tabs>
          <w:tab w:leader="none" w:pos="120" w:val="left"/>
        </w:tabs>
        <w:numPr>
          <w:ilvl w:val="0"/>
          <w:numId w:val="29"/>
        </w:numPr>
        <w:rPr>
          <w:rFonts w:ascii="Arial" w:cs="Arial" w:eastAsia="Arial" w:hAnsi="Arial"/>
          <w:sz w:val="30"/>
          <w:szCs w:val="30"/>
          <w:color w:val="auto"/>
          <w:vertAlign w:val="superscript"/>
        </w:rPr>
      </w:pPr>
      <w:r>
        <w:rPr>
          <w:rFonts w:ascii="Arial" w:cs="Arial" w:eastAsia="Arial" w:hAnsi="Arial"/>
          <w:sz w:val="18"/>
          <w:szCs w:val="18"/>
          <w:color w:val="auto"/>
        </w:rPr>
        <w:t>This percentage figure is based upon 70,350,443 Ordinary Shares outstanding, consisting of: (i) 70,161,685 Ordinary Shares outstanding as of October 20, 2021, as reported in the Issuer’s Form 10-Q filed with the SEC on November 2, 2021, and (ii) 188,758 Ordinary Shares issuable upon exercise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80"/>
          </w:cols>
          <w:pgMar w:left="320" w:top="904" w:right="5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CUSIP No. G48833118</w:t>
      </w:r>
    </w:p>
    <w:p>
      <w:pPr>
        <w:spacing w:after="0" w:line="225" w:lineRule="exact"/>
        <w:rPr>
          <w:sz w:val="20"/>
          <w:szCs w:val="20"/>
          <w:color w:val="auto"/>
        </w:rPr>
      </w:pPr>
    </w:p>
    <w:p>
      <w:pPr>
        <w:ind w:left="920" w:right="7880" w:hanging="575"/>
        <w:spacing w:after="0" w:line="386" w:lineRule="auto"/>
        <w:tabs>
          <w:tab w:leader="none" w:pos="920" w:val="left"/>
        </w:tabs>
        <w:numPr>
          <w:ilvl w:val="0"/>
          <w:numId w:val="3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Names of Reporting Persons </w:t>
      </w:r>
      <w:r>
        <w:rPr>
          <w:rFonts w:ascii="Arial" w:cs="Arial" w:eastAsia="Arial" w:hAnsi="Arial"/>
          <w:sz w:val="15"/>
          <w:szCs w:val="15"/>
          <w:color w:val="auto"/>
        </w:rPr>
        <w:t>D. E. Shaw &amp; Co., L.P.</w:t>
      </w:r>
    </w:p>
    <w:p>
      <w:pPr>
        <w:spacing w:after="0" w:line="93" w:lineRule="exact"/>
        <w:rPr>
          <w:rFonts w:ascii="Arial" w:cs="Arial" w:eastAsia="Arial" w:hAnsi="Arial"/>
          <w:sz w:val="15"/>
          <w:szCs w:val="15"/>
          <w:b w:val="1"/>
          <w:bCs w:val="1"/>
          <w:color w:val="auto"/>
        </w:rPr>
      </w:pPr>
    </w:p>
    <w:p>
      <w:pPr>
        <w:ind w:left="920" w:hanging="575"/>
        <w:spacing w:after="0"/>
        <w:tabs>
          <w:tab w:leader="none" w:pos="9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22" w:lineRule="exact"/>
        <w:rPr>
          <w:sz w:val="20"/>
          <w:szCs w:val="20"/>
          <w:color w:val="auto"/>
        </w:rPr>
      </w:pPr>
    </w:p>
    <w:p>
      <w:pPr>
        <w:ind w:left="1480" w:hanging="568"/>
        <w:spacing w:after="0" w:line="207" w:lineRule="exact"/>
        <w:tabs>
          <w:tab w:leader="none" w:pos="1480" w:val="left"/>
        </w:tabs>
        <w:numPr>
          <w:ilvl w:val="1"/>
          <w:numId w:val="31"/>
        </w:numPr>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15" w:lineRule="exact"/>
        <w:rPr>
          <w:rFonts w:ascii="Arial" w:cs="Arial" w:eastAsia="Arial" w:hAnsi="Arial"/>
          <w:sz w:val="18"/>
          <w:szCs w:val="18"/>
          <w:b w:val="1"/>
          <w:bCs w:val="1"/>
          <w:color w:val="auto"/>
        </w:rPr>
      </w:pPr>
    </w:p>
    <w:p>
      <w:pPr>
        <w:ind w:left="1480" w:hanging="568"/>
        <w:spacing w:after="0" w:line="207" w:lineRule="exact"/>
        <w:tabs>
          <w:tab w:leader="none" w:pos="1480" w:val="left"/>
        </w:tabs>
        <w:numPr>
          <w:ilvl w:val="1"/>
          <w:numId w:val="31"/>
        </w:numPr>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205" w:lineRule="exact"/>
        <w:rPr>
          <w:rFonts w:ascii="Arial" w:cs="Arial" w:eastAsia="Arial" w:hAnsi="Arial"/>
          <w:sz w:val="18"/>
          <w:szCs w:val="18"/>
          <w:b w:val="1"/>
          <w:bCs w:val="1"/>
          <w:color w:val="auto"/>
        </w:rPr>
      </w:pPr>
    </w:p>
    <w:p>
      <w:pPr>
        <w:ind w:left="920" w:hanging="575"/>
        <w:spacing w:after="0"/>
        <w:tabs>
          <w:tab w:leader="none" w:pos="92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25" w:lineRule="exact"/>
        <w:rPr>
          <w:rFonts w:ascii="Arial" w:cs="Arial" w:eastAsia="Arial" w:hAnsi="Arial"/>
          <w:sz w:val="18"/>
          <w:szCs w:val="18"/>
          <w:b w:val="1"/>
          <w:bCs w:val="1"/>
          <w:color w:val="auto"/>
        </w:rPr>
      </w:pPr>
    </w:p>
    <w:p>
      <w:pPr>
        <w:ind w:left="920" w:right="7260" w:hanging="575"/>
        <w:spacing w:after="0" w:line="282" w:lineRule="auto"/>
        <w:tabs>
          <w:tab w:leader="none" w:pos="92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Delaware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600" w:type="dxa"/>
            <w:vAlign w:val="bottom"/>
          </w:tcPr>
          <w:p>
            <w:pPr>
              <w:jc w:val="right"/>
              <w:ind w:right="110"/>
              <w:spacing w:after="0"/>
              <w:rPr>
                <w:sz w:val="20"/>
                <w:szCs w:val="20"/>
                <w:color w:val="auto"/>
              </w:rPr>
            </w:pPr>
            <w:r>
              <w:rPr>
                <w:rFonts w:ascii="Arial" w:cs="Arial" w:eastAsia="Arial" w:hAnsi="Arial"/>
                <w:sz w:val="18"/>
                <w:szCs w:val="18"/>
                <w:b w:val="1"/>
                <w:bCs w:val="1"/>
                <w:color w:val="auto"/>
              </w:rPr>
              <w:t>5.</w:t>
            </w:r>
          </w:p>
        </w:tc>
        <w:tc>
          <w:tcPr>
            <w:tcW w:w="1620" w:type="dxa"/>
            <w:vAlign w:val="bottom"/>
          </w:tcPr>
          <w:p>
            <w:pPr>
              <w:ind w:left="220"/>
              <w:spacing w:after="0"/>
              <w:rPr>
                <w:sz w:val="20"/>
                <w:szCs w:val="20"/>
                <w:color w:val="auto"/>
              </w:rPr>
            </w:pPr>
            <w:r>
              <w:rPr>
                <w:rFonts w:ascii="Arial" w:cs="Arial" w:eastAsia="Arial" w:hAnsi="Arial"/>
                <w:sz w:val="18"/>
                <w:szCs w:val="18"/>
                <w:b w:val="1"/>
                <w:bCs w:val="1"/>
                <w:color w:val="auto"/>
                <w:w w:val="87"/>
              </w:rPr>
              <w:t>Sole Voting Power</w:t>
            </w:r>
          </w:p>
        </w:tc>
      </w:tr>
      <w:tr>
        <w:trPr>
          <w:trHeight w:val="216"/>
        </w:trPr>
        <w:tc>
          <w:tcPr>
            <w:tcW w:w="122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6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6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600" w:type="dxa"/>
            <w:vAlign w:val="bottom"/>
          </w:tcPr>
          <w:p>
            <w:pPr>
              <w:spacing w:after="0"/>
              <w:rPr>
                <w:sz w:val="18"/>
                <w:szCs w:val="18"/>
                <w:color w:val="auto"/>
              </w:rPr>
            </w:pPr>
          </w:p>
        </w:tc>
        <w:tc>
          <w:tcPr>
            <w:tcW w:w="1620" w:type="dxa"/>
            <w:vAlign w:val="bottom"/>
          </w:tcPr>
          <w:p>
            <w:pPr>
              <w:ind w:left="220"/>
              <w:spacing w:after="0"/>
              <w:rPr>
                <w:sz w:val="20"/>
                <w:szCs w:val="20"/>
                <w:color w:val="auto"/>
              </w:rPr>
            </w:pPr>
            <w:r>
              <w:rPr>
                <w:rFonts w:ascii="Arial" w:cs="Arial" w:eastAsia="Arial" w:hAnsi="Arial"/>
                <w:sz w:val="18"/>
                <w:szCs w:val="18"/>
                <w:color w:val="auto"/>
              </w:rPr>
              <w:t>-0-</w:t>
            </w:r>
          </w:p>
        </w:tc>
      </w:tr>
      <w:tr>
        <w:trPr>
          <w:trHeight w:val="216"/>
        </w:trPr>
        <w:tc>
          <w:tcPr>
            <w:tcW w:w="1220" w:type="dxa"/>
            <w:vAlign w:val="bottom"/>
          </w:tcPr>
          <w:p>
            <w:pPr>
              <w:spacing w:after="0"/>
              <w:rPr>
                <w:sz w:val="20"/>
                <w:szCs w:val="20"/>
                <w:color w:val="auto"/>
              </w:rPr>
            </w:pPr>
            <w:r>
              <w:rPr>
                <w:rFonts w:ascii="Arial" w:cs="Arial" w:eastAsia="Arial" w:hAnsi="Arial"/>
                <w:sz w:val="18"/>
                <w:szCs w:val="18"/>
                <w:b w:val="1"/>
                <w:bCs w:val="1"/>
                <w:color w:val="auto"/>
              </w:rPr>
              <w:t>Each</w:t>
            </w:r>
          </w:p>
        </w:tc>
        <w:tc>
          <w:tcPr>
            <w:tcW w:w="6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6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1220" w:type="dxa"/>
            <w:vAlign w:val="bottom"/>
          </w:tcPr>
          <w:p>
            <w:pPr>
              <w:spacing w:after="0"/>
              <w:rPr>
                <w:sz w:val="20"/>
                <w:szCs w:val="20"/>
                <w:color w:val="auto"/>
              </w:rPr>
            </w:pPr>
            <w:r>
              <w:rPr>
                <w:rFonts w:ascii="Arial" w:cs="Arial" w:eastAsia="Arial" w:hAnsi="Arial"/>
                <w:sz w:val="18"/>
                <w:szCs w:val="18"/>
                <w:b w:val="1"/>
                <w:bCs w:val="1"/>
                <w:color w:val="auto"/>
              </w:rPr>
              <w:t>Person With</w:t>
            </w:r>
          </w:p>
        </w:tc>
        <w:tc>
          <w:tcPr>
            <w:tcW w:w="600" w:type="dxa"/>
            <w:vAlign w:val="bottom"/>
          </w:tcPr>
          <w:p>
            <w:pPr>
              <w:spacing w:after="0"/>
              <w:rPr>
                <w:sz w:val="20"/>
                <w:szCs w:val="20"/>
                <w:color w:val="auto"/>
              </w:rPr>
            </w:pPr>
          </w:p>
        </w:tc>
        <w:tc>
          <w:tcPr>
            <w:tcW w:w="1620" w:type="dxa"/>
            <w:vAlign w:val="bottom"/>
          </w:tcPr>
          <w:p>
            <w:pPr>
              <w:spacing w:after="0"/>
              <w:rPr>
                <w:sz w:val="20"/>
                <w:szCs w:val="20"/>
                <w:color w:val="auto"/>
              </w:rPr>
            </w:pPr>
          </w:p>
        </w:tc>
      </w:tr>
    </w:tbl>
    <w:p>
      <w:pPr>
        <w:ind w:left="2040" w:right="7320" w:hanging="561"/>
        <w:spacing w:after="0" w:line="279" w:lineRule="auto"/>
        <w:tabs>
          <w:tab w:leader="none" w:pos="2040" w:val="left"/>
        </w:tabs>
        <w:numPr>
          <w:ilvl w:val="1"/>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4,727,513</w:t>
      </w:r>
      <w:r>
        <w:rPr>
          <w:rFonts w:ascii="Arial" w:cs="Arial" w:eastAsia="Arial" w:hAnsi="Arial"/>
          <w:sz w:val="29"/>
          <w:szCs w:val="29"/>
          <w:color w:val="auto"/>
          <w:vertAlign w:val="superscript"/>
        </w:rPr>
        <w:t>1</w:t>
      </w:r>
    </w:p>
    <w:p>
      <w:pPr>
        <w:spacing w:after="0" w:line="41" w:lineRule="exact"/>
        <w:rPr>
          <w:rFonts w:ascii="Arial" w:cs="Arial" w:eastAsia="Arial" w:hAnsi="Arial"/>
          <w:sz w:val="18"/>
          <w:szCs w:val="18"/>
          <w:b w:val="1"/>
          <w:bCs w:val="1"/>
          <w:color w:val="auto"/>
        </w:rPr>
      </w:pPr>
    </w:p>
    <w:p>
      <w:pPr>
        <w:ind w:left="2040" w:right="7200" w:hanging="561"/>
        <w:spacing w:after="0" w:line="282" w:lineRule="auto"/>
        <w:tabs>
          <w:tab w:leader="none" w:pos="2040" w:val="left"/>
        </w:tabs>
        <w:numPr>
          <w:ilvl w:val="1"/>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-0-</w:t>
      </w:r>
    </w:p>
    <w:p>
      <w:pPr>
        <w:spacing w:after="0" w:line="161" w:lineRule="exact"/>
        <w:rPr>
          <w:rFonts w:ascii="Arial" w:cs="Arial" w:eastAsia="Arial" w:hAnsi="Arial"/>
          <w:sz w:val="18"/>
          <w:szCs w:val="18"/>
          <w:b w:val="1"/>
          <w:bCs w:val="1"/>
          <w:color w:val="auto"/>
        </w:rPr>
      </w:pPr>
    </w:p>
    <w:p>
      <w:pPr>
        <w:ind w:left="2040" w:right="6980" w:hanging="561"/>
        <w:spacing w:after="0" w:line="292" w:lineRule="auto"/>
        <w:tabs>
          <w:tab w:leader="none" w:pos="2040" w:val="left"/>
        </w:tabs>
        <w:numPr>
          <w:ilvl w:val="1"/>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4,727,513</w:t>
      </w:r>
      <w:r>
        <w:rPr>
          <w:rFonts w:ascii="Arial" w:cs="Arial" w:eastAsia="Arial" w:hAnsi="Arial"/>
          <w:sz w:val="29"/>
          <w:szCs w:val="29"/>
          <w:color w:val="auto"/>
          <w:vertAlign w:val="superscript"/>
        </w:rPr>
        <w:t>1</w:t>
      </w:r>
    </w:p>
    <w:p>
      <w:pPr>
        <w:spacing w:after="0" w:line="30" w:lineRule="exact"/>
        <w:rPr>
          <w:rFonts w:ascii="Arial" w:cs="Arial" w:eastAsia="Arial" w:hAnsi="Arial"/>
          <w:sz w:val="18"/>
          <w:szCs w:val="18"/>
          <w:b w:val="1"/>
          <w:bCs w:val="1"/>
          <w:color w:val="auto"/>
        </w:rPr>
      </w:pPr>
    </w:p>
    <w:p>
      <w:pPr>
        <w:ind w:left="920" w:right="5000" w:hanging="575"/>
        <w:spacing w:after="0" w:line="292" w:lineRule="auto"/>
        <w:tabs>
          <w:tab w:leader="none" w:pos="92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4,727,513</w:t>
      </w:r>
      <w:r>
        <w:rPr>
          <w:rFonts w:ascii="Arial" w:cs="Arial" w:eastAsia="Arial" w:hAnsi="Arial"/>
          <w:sz w:val="29"/>
          <w:szCs w:val="29"/>
          <w:color w:val="auto"/>
          <w:vertAlign w:val="superscript"/>
        </w:rPr>
        <w:t>1</w:t>
      </w:r>
    </w:p>
    <w:p>
      <w:pPr>
        <w:spacing w:after="0" w:line="2" w:lineRule="exact"/>
        <w:rPr>
          <w:rFonts w:ascii="Arial" w:cs="Arial" w:eastAsia="Arial" w:hAnsi="Arial"/>
          <w:sz w:val="18"/>
          <w:szCs w:val="18"/>
          <w:b w:val="1"/>
          <w:bCs w:val="1"/>
          <w:color w:val="auto"/>
        </w:rPr>
      </w:pPr>
    </w:p>
    <w:p>
      <w:pPr>
        <w:ind w:left="920" w:hanging="575"/>
        <w:spacing w:after="0" w:line="207" w:lineRule="exact"/>
        <w:tabs>
          <w:tab w:leader="none" w:pos="92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Check if the Aggregate Amount in Row (9) Excludes Certain Shares (See Instructions) </w:t>
      </w:r>
      <w:r>
        <w:rPr>
          <w:rFonts w:ascii="MS PGothic" w:cs="MS PGothic" w:eastAsia="MS PGothic" w:hAnsi="MS PGothic"/>
          <w:sz w:val="18"/>
          <w:szCs w:val="18"/>
          <w:color w:val="auto"/>
          <w:highlight w:val="black"/>
        </w:rPr>
        <w:t>☐</w:t>
      </w:r>
    </w:p>
    <w:p>
      <w:pPr>
        <w:spacing w:after="0" w:line="253" w:lineRule="exact"/>
        <w:rPr>
          <w:rFonts w:ascii="Arial" w:cs="Arial" w:eastAsia="Arial" w:hAnsi="Arial"/>
          <w:sz w:val="18"/>
          <w:szCs w:val="18"/>
          <w:b w:val="1"/>
          <w:bCs w:val="1"/>
          <w:color w:val="auto"/>
        </w:rPr>
      </w:pPr>
    </w:p>
    <w:p>
      <w:pPr>
        <w:ind w:left="920" w:right="6080" w:hanging="575"/>
        <w:spacing w:after="0" w:line="292" w:lineRule="auto"/>
        <w:tabs>
          <w:tab w:leader="none" w:pos="92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6.7%</w:t>
      </w:r>
      <w:r>
        <w:rPr>
          <w:rFonts w:ascii="Arial" w:cs="Arial" w:eastAsia="Arial" w:hAnsi="Arial"/>
          <w:sz w:val="29"/>
          <w:szCs w:val="29"/>
          <w:color w:val="auto"/>
          <w:vertAlign w:val="superscript"/>
        </w:rPr>
        <w:t>2</w:t>
      </w:r>
    </w:p>
    <w:p>
      <w:pPr>
        <w:spacing w:after="0" w:line="30" w:lineRule="exact"/>
        <w:rPr>
          <w:rFonts w:ascii="Arial" w:cs="Arial" w:eastAsia="Arial" w:hAnsi="Arial"/>
          <w:sz w:val="18"/>
          <w:szCs w:val="18"/>
          <w:b w:val="1"/>
          <w:bCs w:val="1"/>
          <w:color w:val="auto"/>
        </w:rPr>
      </w:pPr>
    </w:p>
    <w:p>
      <w:pPr>
        <w:ind w:left="920" w:right="6700" w:hanging="575"/>
        <w:spacing w:after="0" w:line="282" w:lineRule="auto"/>
        <w:tabs>
          <w:tab w:leader="none" w:pos="92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IA,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7830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98" w:lineRule="exact"/>
        <w:rPr>
          <w:sz w:val="20"/>
          <w:szCs w:val="20"/>
          <w:color w:val="auto"/>
        </w:rPr>
      </w:pPr>
    </w:p>
    <w:p>
      <w:pPr>
        <w:ind w:left="120" w:hanging="112"/>
        <w:spacing w:after="0"/>
        <w:tabs>
          <w:tab w:leader="none" w:pos="120" w:val="left"/>
        </w:tabs>
        <w:numPr>
          <w:ilvl w:val="0"/>
          <w:numId w:val="35"/>
        </w:numPr>
        <w:rPr>
          <w:rFonts w:ascii="Arial" w:cs="Arial" w:eastAsia="Arial" w:hAnsi="Arial"/>
          <w:sz w:val="30"/>
          <w:szCs w:val="30"/>
          <w:color w:val="auto"/>
          <w:vertAlign w:val="superscript"/>
        </w:rPr>
      </w:pPr>
      <w:r>
        <w:rPr>
          <w:rFonts w:ascii="Arial" w:cs="Arial" w:eastAsia="Arial" w:hAnsi="Arial"/>
          <w:sz w:val="18"/>
          <w:szCs w:val="18"/>
          <w:color w:val="auto"/>
        </w:rPr>
        <w:t>Includes warrants exercisable into 188,758 Ordinary Shares.</w:t>
      </w:r>
    </w:p>
    <w:p>
      <w:pPr>
        <w:spacing w:after="0" w:line="26" w:lineRule="exact"/>
        <w:rPr>
          <w:sz w:val="20"/>
          <w:szCs w:val="20"/>
          <w:color w:val="auto"/>
        </w:rPr>
      </w:pPr>
    </w:p>
    <w:p>
      <w:pPr>
        <w:ind w:firstLine="8"/>
        <w:spacing w:after="0" w:line="209" w:lineRule="auto"/>
        <w:tabs>
          <w:tab w:leader="none" w:pos="120" w:val="left"/>
        </w:tabs>
        <w:numPr>
          <w:ilvl w:val="0"/>
          <w:numId w:val="36"/>
        </w:numPr>
        <w:rPr>
          <w:rFonts w:ascii="Arial" w:cs="Arial" w:eastAsia="Arial" w:hAnsi="Arial"/>
          <w:sz w:val="30"/>
          <w:szCs w:val="30"/>
          <w:color w:val="auto"/>
          <w:vertAlign w:val="superscript"/>
        </w:rPr>
      </w:pPr>
      <w:r>
        <w:rPr>
          <w:rFonts w:ascii="Arial" w:cs="Arial" w:eastAsia="Arial" w:hAnsi="Arial"/>
          <w:sz w:val="18"/>
          <w:szCs w:val="18"/>
          <w:color w:val="auto"/>
        </w:rPr>
        <w:t>This percentage figure is based upon 70,350,443 Ordinary Shares outstanding, consisting of: (i) 70,161,685 Ordinary Shares outstanding as of October 20, 2021, as reported in the Issuer’s Form 10-Q filed with the SEC on November 2, 2021, and (ii) 188,758 Ordinary Shares issuable upon exercise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80"/>
          </w:cols>
          <w:pgMar w:left="320" w:top="904" w:right="5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CUSIP No. G48833118</w:t>
      </w:r>
    </w:p>
    <w:p>
      <w:pPr>
        <w:spacing w:after="0" w:line="225" w:lineRule="exact"/>
        <w:rPr>
          <w:sz w:val="20"/>
          <w:szCs w:val="20"/>
          <w:color w:val="auto"/>
        </w:rPr>
      </w:pPr>
    </w:p>
    <w:p>
      <w:pPr>
        <w:ind w:left="920" w:right="7880" w:hanging="575"/>
        <w:spacing w:after="0" w:line="282" w:lineRule="auto"/>
        <w:tabs>
          <w:tab w:leader="none" w:pos="92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Names of Reporting Persons </w:t>
      </w:r>
      <w:r>
        <w:rPr>
          <w:rFonts w:ascii="Arial" w:cs="Arial" w:eastAsia="Arial" w:hAnsi="Arial"/>
          <w:sz w:val="18"/>
          <w:szCs w:val="18"/>
          <w:color w:val="auto"/>
        </w:rPr>
        <w:t>David E. Shaw</w:t>
      </w:r>
    </w:p>
    <w:p>
      <w:pPr>
        <w:spacing w:after="0" w:line="161" w:lineRule="exact"/>
        <w:rPr>
          <w:rFonts w:ascii="Arial" w:cs="Arial" w:eastAsia="Arial" w:hAnsi="Arial"/>
          <w:sz w:val="18"/>
          <w:szCs w:val="18"/>
          <w:b w:val="1"/>
          <w:bCs w:val="1"/>
          <w:color w:val="auto"/>
        </w:rPr>
      </w:pPr>
    </w:p>
    <w:p>
      <w:pPr>
        <w:ind w:left="920" w:hanging="575"/>
        <w:spacing w:after="0"/>
        <w:tabs>
          <w:tab w:leader="none" w:pos="92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b w:val="1"/>
          <w:bCs w:val="1"/>
          <w:color w:val="auto"/>
        </w:rPr>
      </w:pPr>
    </w:p>
    <w:p>
      <w:pPr>
        <w:ind w:left="1480" w:hanging="568"/>
        <w:spacing w:after="0" w:line="207" w:lineRule="exact"/>
        <w:tabs>
          <w:tab w:leader="none" w:pos="1480" w:val="left"/>
        </w:tabs>
        <w:numPr>
          <w:ilvl w:val="1"/>
          <w:numId w:val="37"/>
        </w:numPr>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b w:val="1"/>
          <w:bCs w:val="1"/>
          <w:color w:val="auto"/>
        </w:rPr>
      </w:pPr>
    </w:p>
    <w:p>
      <w:pPr>
        <w:ind w:left="1480" w:hanging="568"/>
        <w:spacing w:after="0" w:line="207" w:lineRule="exact"/>
        <w:tabs>
          <w:tab w:leader="none" w:pos="1480" w:val="left"/>
        </w:tabs>
        <w:numPr>
          <w:ilvl w:val="1"/>
          <w:numId w:val="37"/>
        </w:numPr>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205" w:lineRule="exact"/>
        <w:rPr>
          <w:rFonts w:ascii="Arial" w:cs="Arial" w:eastAsia="Arial" w:hAnsi="Arial"/>
          <w:sz w:val="18"/>
          <w:szCs w:val="18"/>
          <w:b w:val="1"/>
          <w:bCs w:val="1"/>
          <w:color w:val="auto"/>
        </w:rPr>
      </w:pPr>
    </w:p>
    <w:p>
      <w:pPr>
        <w:ind w:left="920" w:hanging="575"/>
        <w:spacing w:after="0"/>
        <w:tabs>
          <w:tab w:leader="none" w:pos="92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25" w:lineRule="exact"/>
        <w:rPr>
          <w:rFonts w:ascii="Arial" w:cs="Arial" w:eastAsia="Arial" w:hAnsi="Arial"/>
          <w:sz w:val="18"/>
          <w:szCs w:val="18"/>
          <w:b w:val="1"/>
          <w:bCs w:val="1"/>
          <w:color w:val="auto"/>
        </w:rPr>
      </w:pPr>
    </w:p>
    <w:p>
      <w:pPr>
        <w:ind w:left="920" w:right="7260" w:hanging="575"/>
        <w:spacing w:after="0" w:line="282" w:lineRule="auto"/>
        <w:tabs>
          <w:tab w:leader="none" w:pos="92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United States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600" w:type="dxa"/>
            <w:vAlign w:val="bottom"/>
          </w:tcPr>
          <w:p>
            <w:pPr>
              <w:jc w:val="right"/>
              <w:ind w:right="110"/>
              <w:spacing w:after="0"/>
              <w:rPr>
                <w:sz w:val="20"/>
                <w:szCs w:val="20"/>
                <w:color w:val="auto"/>
              </w:rPr>
            </w:pPr>
            <w:r>
              <w:rPr>
                <w:rFonts w:ascii="Arial" w:cs="Arial" w:eastAsia="Arial" w:hAnsi="Arial"/>
                <w:sz w:val="18"/>
                <w:szCs w:val="18"/>
                <w:b w:val="1"/>
                <w:bCs w:val="1"/>
                <w:color w:val="auto"/>
              </w:rPr>
              <w:t>5.</w:t>
            </w:r>
          </w:p>
        </w:tc>
        <w:tc>
          <w:tcPr>
            <w:tcW w:w="1620" w:type="dxa"/>
            <w:vAlign w:val="bottom"/>
          </w:tcPr>
          <w:p>
            <w:pPr>
              <w:ind w:left="220"/>
              <w:spacing w:after="0"/>
              <w:rPr>
                <w:sz w:val="20"/>
                <w:szCs w:val="20"/>
                <w:color w:val="auto"/>
              </w:rPr>
            </w:pPr>
            <w:r>
              <w:rPr>
                <w:rFonts w:ascii="Arial" w:cs="Arial" w:eastAsia="Arial" w:hAnsi="Arial"/>
                <w:sz w:val="18"/>
                <w:szCs w:val="18"/>
                <w:b w:val="1"/>
                <w:bCs w:val="1"/>
                <w:color w:val="auto"/>
                <w:w w:val="87"/>
              </w:rPr>
              <w:t>Sole Voting Power</w:t>
            </w:r>
          </w:p>
        </w:tc>
      </w:tr>
      <w:tr>
        <w:trPr>
          <w:trHeight w:val="216"/>
        </w:trPr>
        <w:tc>
          <w:tcPr>
            <w:tcW w:w="122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6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6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600" w:type="dxa"/>
            <w:vAlign w:val="bottom"/>
          </w:tcPr>
          <w:p>
            <w:pPr>
              <w:spacing w:after="0"/>
              <w:rPr>
                <w:sz w:val="18"/>
                <w:szCs w:val="18"/>
                <w:color w:val="auto"/>
              </w:rPr>
            </w:pPr>
          </w:p>
        </w:tc>
        <w:tc>
          <w:tcPr>
            <w:tcW w:w="1620" w:type="dxa"/>
            <w:vAlign w:val="bottom"/>
          </w:tcPr>
          <w:p>
            <w:pPr>
              <w:ind w:left="220"/>
              <w:spacing w:after="0"/>
              <w:rPr>
                <w:sz w:val="20"/>
                <w:szCs w:val="20"/>
                <w:color w:val="auto"/>
              </w:rPr>
            </w:pPr>
            <w:r>
              <w:rPr>
                <w:rFonts w:ascii="Arial" w:cs="Arial" w:eastAsia="Arial" w:hAnsi="Arial"/>
                <w:sz w:val="18"/>
                <w:szCs w:val="18"/>
                <w:color w:val="auto"/>
              </w:rPr>
              <w:t>-0-</w:t>
            </w:r>
          </w:p>
        </w:tc>
      </w:tr>
      <w:tr>
        <w:trPr>
          <w:trHeight w:val="216"/>
        </w:trPr>
        <w:tc>
          <w:tcPr>
            <w:tcW w:w="1220" w:type="dxa"/>
            <w:vAlign w:val="bottom"/>
          </w:tcPr>
          <w:p>
            <w:pPr>
              <w:spacing w:after="0"/>
              <w:rPr>
                <w:sz w:val="20"/>
                <w:szCs w:val="20"/>
                <w:color w:val="auto"/>
              </w:rPr>
            </w:pPr>
            <w:r>
              <w:rPr>
                <w:rFonts w:ascii="Arial" w:cs="Arial" w:eastAsia="Arial" w:hAnsi="Arial"/>
                <w:sz w:val="18"/>
                <w:szCs w:val="18"/>
                <w:b w:val="1"/>
                <w:bCs w:val="1"/>
                <w:color w:val="auto"/>
              </w:rPr>
              <w:t>Each</w:t>
            </w:r>
          </w:p>
        </w:tc>
        <w:tc>
          <w:tcPr>
            <w:tcW w:w="6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6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1220" w:type="dxa"/>
            <w:vAlign w:val="bottom"/>
          </w:tcPr>
          <w:p>
            <w:pPr>
              <w:spacing w:after="0"/>
              <w:rPr>
                <w:sz w:val="20"/>
                <w:szCs w:val="20"/>
                <w:color w:val="auto"/>
              </w:rPr>
            </w:pPr>
            <w:r>
              <w:rPr>
                <w:rFonts w:ascii="Arial" w:cs="Arial" w:eastAsia="Arial" w:hAnsi="Arial"/>
                <w:sz w:val="18"/>
                <w:szCs w:val="18"/>
                <w:b w:val="1"/>
                <w:bCs w:val="1"/>
                <w:color w:val="auto"/>
              </w:rPr>
              <w:t>Person With</w:t>
            </w:r>
          </w:p>
        </w:tc>
        <w:tc>
          <w:tcPr>
            <w:tcW w:w="600" w:type="dxa"/>
            <w:vAlign w:val="bottom"/>
          </w:tcPr>
          <w:p>
            <w:pPr>
              <w:spacing w:after="0"/>
              <w:rPr>
                <w:sz w:val="20"/>
                <w:szCs w:val="20"/>
                <w:color w:val="auto"/>
              </w:rPr>
            </w:pPr>
          </w:p>
        </w:tc>
        <w:tc>
          <w:tcPr>
            <w:tcW w:w="1620" w:type="dxa"/>
            <w:vAlign w:val="bottom"/>
          </w:tcPr>
          <w:p>
            <w:pPr>
              <w:spacing w:after="0"/>
              <w:rPr>
                <w:sz w:val="20"/>
                <w:szCs w:val="20"/>
                <w:color w:val="auto"/>
              </w:rPr>
            </w:pPr>
          </w:p>
        </w:tc>
      </w:tr>
    </w:tbl>
    <w:p>
      <w:pPr>
        <w:ind w:left="2040" w:right="7320" w:hanging="561"/>
        <w:spacing w:after="0" w:line="279" w:lineRule="auto"/>
        <w:tabs>
          <w:tab w:leader="none" w:pos="2040" w:val="left"/>
        </w:tabs>
        <w:numPr>
          <w:ilvl w:val="1"/>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4,727,513</w:t>
      </w:r>
      <w:r>
        <w:rPr>
          <w:rFonts w:ascii="Arial" w:cs="Arial" w:eastAsia="Arial" w:hAnsi="Arial"/>
          <w:sz w:val="29"/>
          <w:szCs w:val="29"/>
          <w:color w:val="auto"/>
          <w:vertAlign w:val="superscript"/>
        </w:rPr>
        <w:t>1</w:t>
      </w:r>
    </w:p>
    <w:p>
      <w:pPr>
        <w:spacing w:after="0" w:line="41" w:lineRule="exact"/>
        <w:rPr>
          <w:rFonts w:ascii="Arial" w:cs="Arial" w:eastAsia="Arial" w:hAnsi="Arial"/>
          <w:sz w:val="18"/>
          <w:szCs w:val="18"/>
          <w:b w:val="1"/>
          <w:bCs w:val="1"/>
          <w:color w:val="auto"/>
        </w:rPr>
      </w:pPr>
    </w:p>
    <w:p>
      <w:pPr>
        <w:ind w:left="2040" w:right="7200" w:hanging="561"/>
        <w:spacing w:after="0" w:line="282" w:lineRule="auto"/>
        <w:tabs>
          <w:tab w:leader="none" w:pos="2040" w:val="left"/>
        </w:tabs>
        <w:numPr>
          <w:ilvl w:val="1"/>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-0-</w:t>
      </w:r>
    </w:p>
    <w:p>
      <w:pPr>
        <w:spacing w:after="0" w:line="161" w:lineRule="exact"/>
        <w:rPr>
          <w:rFonts w:ascii="Arial" w:cs="Arial" w:eastAsia="Arial" w:hAnsi="Arial"/>
          <w:sz w:val="18"/>
          <w:szCs w:val="18"/>
          <w:b w:val="1"/>
          <w:bCs w:val="1"/>
          <w:color w:val="auto"/>
        </w:rPr>
      </w:pPr>
    </w:p>
    <w:p>
      <w:pPr>
        <w:ind w:left="2040" w:right="6980" w:hanging="561"/>
        <w:spacing w:after="0" w:line="292" w:lineRule="auto"/>
        <w:tabs>
          <w:tab w:leader="none" w:pos="2040" w:val="left"/>
        </w:tabs>
        <w:numPr>
          <w:ilvl w:val="1"/>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4,727,513</w:t>
      </w:r>
      <w:r>
        <w:rPr>
          <w:rFonts w:ascii="Arial" w:cs="Arial" w:eastAsia="Arial" w:hAnsi="Arial"/>
          <w:sz w:val="29"/>
          <w:szCs w:val="29"/>
          <w:color w:val="auto"/>
          <w:vertAlign w:val="superscript"/>
        </w:rPr>
        <w:t>1</w:t>
      </w:r>
    </w:p>
    <w:p>
      <w:pPr>
        <w:spacing w:after="0" w:line="30" w:lineRule="exact"/>
        <w:rPr>
          <w:rFonts w:ascii="Arial" w:cs="Arial" w:eastAsia="Arial" w:hAnsi="Arial"/>
          <w:sz w:val="18"/>
          <w:szCs w:val="18"/>
          <w:b w:val="1"/>
          <w:bCs w:val="1"/>
          <w:color w:val="auto"/>
        </w:rPr>
      </w:pPr>
    </w:p>
    <w:p>
      <w:pPr>
        <w:ind w:left="920" w:right="5000" w:hanging="575"/>
        <w:spacing w:after="0" w:line="292" w:lineRule="auto"/>
        <w:tabs>
          <w:tab w:leader="none" w:pos="92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4,727,513</w:t>
      </w:r>
      <w:r>
        <w:rPr>
          <w:rFonts w:ascii="Arial" w:cs="Arial" w:eastAsia="Arial" w:hAnsi="Arial"/>
          <w:sz w:val="29"/>
          <w:szCs w:val="29"/>
          <w:color w:val="auto"/>
          <w:vertAlign w:val="superscript"/>
        </w:rPr>
        <w:t>1</w:t>
      </w:r>
    </w:p>
    <w:p>
      <w:pPr>
        <w:spacing w:after="0" w:line="2" w:lineRule="exact"/>
        <w:rPr>
          <w:rFonts w:ascii="Arial" w:cs="Arial" w:eastAsia="Arial" w:hAnsi="Arial"/>
          <w:sz w:val="18"/>
          <w:szCs w:val="18"/>
          <w:b w:val="1"/>
          <w:bCs w:val="1"/>
          <w:color w:val="auto"/>
        </w:rPr>
      </w:pPr>
    </w:p>
    <w:p>
      <w:pPr>
        <w:ind w:left="920" w:hanging="575"/>
        <w:spacing w:after="0" w:line="207" w:lineRule="exact"/>
        <w:tabs>
          <w:tab w:leader="none" w:pos="92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Check if the Aggregate Amount in Row (9) Excludes Certain Shares (See Instructions) </w:t>
      </w:r>
      <w:r>
        <w:rPr>
          <w:rFonts w:ascii="MS PGothic" w:cs="MS PGothic" w:eastAsia="MS PGothic" w:hAnsi="MS PGothic"/>
          <w:sz w:val="18"/>
          <w:szCs w:val="18"/>
          <w:color w:val="auto"/>
          <w:highlight w:val="black"/>
        </w:rPr>
        <w:t>☐</w:t>
      </w:r>
    </w:p>
    <w:p>
      <w:pPr>
        <w:spacing w:after="0" w:line="253" w:lineRule="exact"/>
        <w:rPr>
          <w:rFonts w:ascii="Arial" w:cs="Arial" w:eastAsia="Arial" w:hAnsi="Arial"/>
          <w:sz w:val="18"/>
          <w:szCs w:val="18"/>
          <w:b w:val="1"/>
          <w:bCs w:val="1"/>
          <w:color w:val="auto"/>
        </w:rPr>
      </w:pPr>
    </w:p>
    <w:p>
      <w:pPr>
        <w:ind w:left="920" w:right="6080" w:hanging="575"/>
        <w:spacing w:after="0" w:line="292" w:lineRule="auto"/>
        <w:tabs>
          <w:tab w:leader="none" w:pos="92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6.7%</w:t>
      </w:r>
      <w:r>
        <w:rPr>
          <w:rFonts w:ascii="Arial" w:cs="Arial" w:eastAsia="Arial" w:hAnsi="Arial"/>
          <w:sz w:val="29"/>
          <w:szCs w:val="29"/>
          <w:color w:val="auto"/>
          <w:vertAlign w:val="superscript"/>
        </w:rPr>
        <w:t>2</w:t>
      </w:r>
    </w:p>
    <w:p>
      <w:pPr>
        <w:spacing w:after="0" w:line="30" w:lineRule="exact"/>
        <w:rPr>
          <w:rFonts w:ascii="Arial" w:cs="Arial" w:eastAsia="Arial" w:hAnsi="Arial"/>
          <w:sz w:val="18"/>
          <w:szCs w:val="18"/>
          <w:b w:val="1"/>
          <w:bCs w:val="1"/>
          <w:color w:val="auto"/>
        </w:rPr>
      </w:pPr>
    </w:p>
    <w:p>
      <w:pPr>
        <w:ind w:left="920" w:hanging="575"/>
        <w:spacing w:after="0"/>
        <w:tabs>
          <w:tab w:leader="none" w:pos="92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7"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7830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44" w:lineRule="exact"/>
        <w:rPr>
          <w:sz w:val="20"/>
          <w:szCs w:val="20"/>
          <w:color w:val="auto"/>
        </w:rPr>
      </w:pPr>
    </w:p>
    <w:p>
      <w:pPr>
        <w:ind w:left="120" w:hanging="112"/>
        <w:spacing w:after="0"/>
        <w:tabs>
          <w:tab w:leader="none" w:pos="120" w:val="left"/>
        </w:tabs>
        <w:numPr>
          <w:ilvl w:val="0"/>
          <w:numId w:val="40"/>
        </w:numPr>
        <w:rPr>
          <w:rFonts w:ascii="Arial" w:cs="Arial" w:eastAsia="Arial" w:hAnsi="Arial"/>
          <w:sz w:val="30"/>
          <w:szCs w:val="30"/>
          <w:color w:val="auto"/>
          <w:vertAlign w:val="superscript"/>
        </w:rPr>
      </w:pPr>
      <w:r>
        <w:rPr>
          <w:rFonts w:ascii="Arial" w:cs="Arial" w:eastAsia="Arial" w:hAnsi="Arial"/>
          <w:sz w:val="18"/>
          <w:szCs w:val="18"/>
          <w:color w:val="auto"/>
        </w:rPr>
        <w:t>Includes warrants exercisable into 188,758 Ordinary Shares.</w:t>
      </w:r>
    </w:p>
    <w:p>
      <w:pPr>
        <w:spacing w:after="0" w:line="26" w:lineRule="exact"/>
        <w:rPr>
          <w:sz w:val="20"/>
          <w:szCs w:val="20"/>
          <w:color w:val="auto"/>
        </w:rPr>
      </w:pPr>
    </w:p>
    <w:p>
      <w:pPr>
        <w:ind w:firstLine="8"/>
        <w:spacing w:after="0" w:line="209" w:lineRule="auto"/>
        <w:tabs>
          <w:tab w:leader="none" w:pos="120" w:val="left"/>
        </w:tabs>
        <w:numPr>
          <w:ilvl w:val="0"/>
          <w:numId w:val="41"/>
        </w:numPr>
        <w:rPr>
          <w:rFonts w:ascii="Arial" w:cs="Arial" w:eastAsia="Arial" w:hAnsi="Arial"/>
          <w:sz w:val="30"/>
          <w:szCs w:val="30"/>
          <w:color w:val="auto"/>
          <w:vertAlign w:val="superscript"/>
        </w:rPr>
      </w:pPr>
      <w:r>
        <w:rPr>
          <w:rFonts w:ascii="Arial" w:cs="Arial" w:eastAsia="Arial" w:hAnsi="Arial"/>
          <w:sz w:val="18"/>
          <w:szCs w:val="18"/>
          <w:color w:val="auto"/>
        </w:rPr>
        <w:t>This percentage figure is based upon 70,350,443 Ordinary Shares outstanding, consisting of: (i) 70,161,685 Ordinary Shares outstanding as of October 20, 2021, as reported in the Issuer’s Form 10-Q filed with the SEC on November 2, 2021, and (ii) 188,758 Ordinary Shares issuable upon exercise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80"/>
          </w:cols>
          <w:pgMar w:left="320" w:top="904" w:right="5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Item 1.</w:t>
      </w:r>
    </w:p>
    <w:p>
      <w:pPr>
        <w:spacing w:after="0" w:line="27" w:lineRule="exact"/>
        <w:rPr>
          <w:sz w:val="20"/>
          <w:szCs w:val="20"/>
          <w:color w:val="auto"/>
        </w:rPr>
      </w:pPr>
    </w:p>
    <w:p>
      <w:pPr>
        <w:ind w:left="1160" w:hanging="849"/>
        <w:spacing w:after="0"/>
        <w:tabs>
          <w:tab w:leader="none" w:pos="11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Name of Issuer</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Weatherford International plc</w:t>
      </w:r>
    </w:p>
    <w:p>
      <w:pPr>
        <w:spacing w:after="0" w:line="207" w:lineRule="exact"/>
        <w:rPr>
          <w:sz w:val="20"/>
          <w:szCs w:val="20"/>
          <w:color w:val="auto"/>
        </w:rPr>
      </w:pPr>
    </w:p>
    <w:p>
      <w:pPr>
        <w:ind w:left="1260" w:right="6480" w:hanging="959"/>
        <w:spacing w:after="0" w:line="261" w:lineRule="auto"/>
        <w:tabs>
          <w:tab w:leader="none" w:pos="117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Address of Issuer's Principal Executive Offices </w:t>
      </w:r>
      <w:r>
        <w:rPr>
          <w:rFonts w:ascii="Arial" w:cs="Arial" w:eastAsia="Arial" w:hAnsi="Arial"/>
          <w:sz w:val="18"/>
          <w:szCs w:val="18"/>
          <w:color w:val="auto"/>
        </w:rPr>
        <w:t>2000 St. James Place</w:t>
      </w:r>
    </w:p>
    <w:p>
      <w:pPr>
        <w:ind w:left="1260"/>
        <w:spacing w:after="0"/>
        <w:rPr>
          <w:rFonts w:ascii="Arial" w:cs="Arial" w:eastAsia="Arial" w:hAnsi="Arial"/>
          <w:sz w:val="18"/>
          <w:szCs w:val="18"/>
          <w:b w:val="1"/>
          <w:bCs w:val="1"/>
          <w:color w:val="auto"/>
        </w:rPr>
      </w:pPr>
      <w:r>
        <w:rPr>
          <w:rFonts w:ascii="Arial" w:cs="Arial" w:eastAsia="Arial" w:hAnsi="Arial"/>
          <w:sz w:val="18"/>
          <w:szCs w:val="18"/>
          <w:color w:val="auto"/>
        </w:rPr>
        <w:t>Houston, TX 77056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7" w:lineRule="exact"/>
        <w:rPr>
          <w:sz w:val="20"/>
          <w:szCs w:val="20"/>
          <w:color w:val="auto"/>
        </w:rPr>
      </w:pPr>
    </w:p>
    <w:p>
      <w:pPr>
        <w:ind w:left="1160" w:hanging="849"/>
        <w:spacing w:after="0"/>
        <w:tabs>
          <w:tab w:leader="none" w:pos="11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Name of Person Filing</w:t>
      </w:r>
    </w:p>
    <w:p>
      <w:pPr>
        <w:spacing w:after="0" w:line="9" w:lineRule="exact"/>
        <w:rPr>
          <w:rFonts w:ascii="Arial" w:cs="Arial" w:eastAsia="Arial" w:hAnsi="Arial"/>
          <w:sz w:val="18"/>
          <w:szCs w:val="18"/>
          <w:b w:val="1"/>
          <w:bCs w:val="1"/>
          <w:color w:val="auto"/>
        </w:rPr>
      </w:pPr>
    </w:p>
    <w:p>
      <w:pPr>
        <w:ind w:left="1260" w:right="7140"/>
        <w:spacing w:after="0" w:line="265" w:lineRule="auto"/>
        <w:rPr>
          <w:rFonts w:ascii="Arial" w:cs="Arial" w:eastAsia="Arial" w:hAnsi="Arial"/>
          <w:sz w:val="18"/>
          <w:szCs w:val="18"/>
          <w:b w:val="1"/>
          <w:bCs w:val="1"/>
          <w:color w:val="auto"/>
        </w:rPr>
      </w:pPr>
      <w:r>
        <w:rPr>
          <w:rFonts w:ascii="Arial" w:cs="Arial" w:eastAsia="Arial" w:hAnsi="Arial"/>
          <w:sz w:val="17"/>
          <w:szCs w:val="17"/>
          <w:color w:val="auto"/>
        </w:rPr>
        <w:t>D. E. Shaw Galvanic Portfolios, L.L.C. D. E. Shaw Manager II, L.L.C.</w:t>
      </w:r>
    </w:p>
    <w:p>
      <w:pPr>
        <w:ind w:left="1260" w:right="7820"/>
        <w:spacing w:after="0" w:line="265" w:lineRule="auto"/>
        <w:rPr>
          <w:rFonts w:ascii="Arial" w:cs="Arial" w:eastAsia="Arial" w:hAnsi="Arial"/>
          <w:sz w:val="18"/>
          <w:szCs w:val="18"/>
          <w:b w:val="1"/>
          <w:bCs w:val="1"/>
          <w:color w:val="auto"/>
        </w:rPr>
      </w:pPr>
      <w:r>
        <w:rPr>
          <w:rFonts w:ascii="Arial" w:cs="Arial" w:eastAsia="Arial" w:hAnsi="Arial"/>
          <w:sz w:val="17"/>
          <w:szCs w:val="17"/>
          <w:color w:val="auto"/>
        </w:rPr>
        <w:t>D. E. Shaw Adviser II, L.L.C. D. E. Shaw &amp; Co., L.L.C.</w:t>
      </w:r>
    </w:p>
    <w:p>
      <w:pPr>
        <w:ind w:left="1260" w:right="830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D. E. Shaw &amp; Co., L.P. David E. Shaw</w:t>
      </w:r>
    </w:p>
    <w:p>
      <w:pPr>
        <w:spacing w:after="0" w:line="181" w:lineRule="exact"/>
        <w:rPr>
          <w:rFonts w:ascii="Arial" w:cs="Arial" w:eastAsia="Arial" w:hAnsi="Arial"/>
          <w:sz w:val="18"/>
          <w:szCs w:val="18"/>
          <w:b w:val="1"/>
          <w:bCs w:val="1"/>
          <w:color w:val="auto"/>
        </w:rPr>
      </w:pPr>
    </w:p>
    <w:p>
      <w:pPr>
        <w:ind w:left="1260" w:right="5600" w:hanging="959"/>
        <w:spacing w:after="0" w:line="313" w:lineRule="auto"/>
        <w:tabs>
          <w:tab w:leader="none" w:pos="1173" w:val="left"/>
        </w:tabs>
        <w:numPr>
          <w:ilvl w:val="0"/>
          <w:numId w:val="4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Address of Principal Business Office or, if none, Residence </w:t>
      </w:r>
      <w:r>
        <w:rPr>
          <w:rFonts w:ascii="Arial" w:cs="Arial" w:eastAsia="Arial" w:hAnsi="Arial"/>
          <w:sz w:val="15"/>
          <w:szCs w:val="15"/>
          <w:color w:val="auto"/>
        </w:rPr>
        <w:t>The business address for each reporting person is:</w:t>
      </w:r>
    </w:p>
    <w:p>
      <w:pPr>
        <w:ind w:left="1260"/>
        <w:spacing w:after="0" w:line="186" w:lineRule="auto"/>
        <w:rPr>
          <w:sz w:val="20"/>
          <w:szCs w:val="20"/>
          <w:color w:val="auto"/>
        </w:rPr>
      </w:pPr>
      <w:r>
        <w:rPr>
          <w:rFonts w:ascii="Arial" w:cs="Arial" w:eastAsia="Arial" w:hAnsi="Arial"/>
          <w:sz w:val="18"/>
          <w:szCs w:val="18"/>
          <w:color w:val="auto"/>
        </w:rPr>
        <w:t>1166 Avenue of the Americas, 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ind w:left="1260"/>
        <w:spacing w:after="0"/>
        <w:rPr>
          <w:sz w:val="20"/>
          <w:szCs w:val="20"/>
          <w:color w:val="auto"/>
        </w:rPr>
      </w:pPr>
      <w:r>
        <w:rPr>
          <w:rFonts w:ascii="Arial" w:cs="Arial" w:eastAsia="Arial" w:hAnsi="Arial"/>
          <w:sz w:val="18"/>
          <w:szCs w:val="18"/>
          <w:color w:val="auto"/>
        </w:rPr>
        <w:t>New York, NY 10036</w:t>
      </w:r>
    </w:p>
    <w:p>
      <w:pPr>
        <w:spacing w:after="0" w:line="205" w:lineRule="exact"/>
        <w:rPr>
          <w:sz w:val="20"/>
          <w:szCs w:val="20"/>
          <w:color w:val="auto"/>
        </w:rPr>
      </w:pPr>
    </w:p>
    <w:p>
      <w:pPr>
        <w:ind w:left="1160" w:hanging="839"/>
        <w:spacing w:after="0"/>
        <w:tabs>
          <w:tab w:leader="none" w:pos="11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w:t>
      </w:r>
    </w:p>
    <w:p>
      <w:pPr>
        <w:spacing w:after="0" w:line="27" w:lineRule="exact"/>
        <w:rPr>
          <w:rFonts w:ascii="Arial" w:cs="Arial" w:eastAsia="Arial" w:hAnsi="Arial"/>
          <w:sz w:val="18"/>
          <w:szCs w:val="18"/>
          <w:b w:val="1"/>
          <w:bCs w:val="1"/>
          <w:color w:val="auto"/>
        </w:rPr>
      </w:pPr>
    </w:p>
    <w:p>
      <w:pPr>
        <w:ind w:left="1260" w:right="1340"/>
        <w:spacing w:after="0" w:line="281" w:lineRule="auto"/>
        <w:rPr>
          <w:rFonts w:ascii="Arial" w:cs="Arial" w:eastAsia="Arial" w:hAnsi="Arial"/>
          <w:sz w:val="18"/>
          <w:szCs w:val="18"/>
          <w:b w:val="1"/>
          <w:bCs w:val="1"/>
          <w:color w:val="auto"/>
        </w:rPr>
      </w:pPr>
      <w:r>
        <w:rPr>
          <w:rFonts w:ascii="Arial" w:cs="Arial" w:eastAsia="Arial" w:hAnsi="Arial"/>
          <w:sz w:val="16"/>
          <w:szCs w:val="16"/>
          <w:color w:val="auto"/>
        </w:rPr>
        <w:t>D. E. Shaw Galvanic Portfolios, L.L.C. is a limited liability company organized under the laws of the state of Delaware. D. E. Shaw Manager II, L.L.C. is a limited liability company organized under the laws of the state of Delaware.</w:t>
      </w:r>
    </w:p>
    <w:p>
      <w:pPr>
        <w:spacing w:after="0" w:line="1" w:lineRule="exact"/>
        <w:rPr>
          <w:rFonts w:ascii="Arial" w:cs="Arial" w:eastAsia="Arial" w:hAnsi="Arial"/>
          <w:sz w:val="18"/>
          <w:szCs w:val="18"/>
          <w:b w:val="1"/>
          <w:bCs w:val="1"/>
          <w:color w:val="auto"/>
        </w:rPr>
      </w:pPr>
    </w:p>
    <w:p>
      <w:pPr>
        <w:ind w:left="1260" w:right="2000"/>
        <w:spacing w:after="0" w:line="281" w:lineRule="auto"/>
        <w:rPr>
          <w:rFonts w:ascii="Arial" w:cs="Arial" w:eastAsia="Arial" w:hAnsi="Arial"/>
          <w:sz w:val="18"/>
          <w:szCs w:val="18"/>
          <w:b w:val="1"/>
          <w:bCs w:val="1"/>
          <w:color w:val="auto"/>
        </w:rPr>
      </w:pPr>
      <w:r>
        <w:rPr>
          <w:rFonts w:ascii="Arial" w:cs="Arial" w:eastAsia="Arial" w:hAnsi="Arial"/>
          <w:sz w:val="16"/>
          <w:szCs w:val="16"/>
          <w:color w:val="auto"/>
        </w:rPr>
        <w:t>D. E. Shaw Adviser II, L.L.C. is a limited liability company organized under the laws of the state of Delaware. D. E. Shaw &amp; Co., L.L.C. is a limited liability company organized under the laws of the state of Delaware.</w:t>
      </w:r>
    </w:p>
    <w:p>
      <w:pPr>
        <w:spacing w:after="0" w:line="1" w:lineRule="exact"/>
        <w:rPr>
          <w:rFonts w:ascii="Arial" w:cs="Arial" w:eastAsia="Arial" w:hAnsi="Arial"/>
          <w:sz w:val="18"/>
          <w:szCs w:val="18"/>
          <w:b w:val="1"/>
          <w:bCs w:val="1"/>
          <w:color w:val="auto"/>
        </w:rPr>
      </w:pPr>
    </w:p>
    <w:p>
      <w:pPr>
        <w:ind w:left="1260" w:right="296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D. E. Shaw &amp; Co., L.P. is a limited partnership organized under the laws of the state of Delaware. David E. Shaw is a citizen of the United States of America.</w:t>
      </w:r>
    </w:p>
    <w:p>
      <w:pPr>
        <w:spacing w:after="0" w:line="181" w:lineRule="exact"/>
        <w:rPr>
          <w:rFonts w:ascii="Arial" w:cs="Arial" w:eastAsia="Arial" w:hAnsi="Arial"/>
          <w:sz w:val="18"/>
          <w:szCs w:val="18"/>
          <w:b w:val="1"/>
          <w:bCs w:val="1"/>
          <w:color w:val="auto"/>
        </w:rPr>
      </w:pPr>
    </w:p>
    <w:p>
      <w:pPr>
        <w:ind w:left="1160" w:hanging="859"/>
        <w:spacing w:after="0"/>
        <w:tabs>
          <w:tab w:leader="none" w:pos="11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Title of Class of Securities</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Ordinary Shares, $0.001 par value</w:t>
      </w:r>
    </w:p>
    <w:p>
      <w:pPr>
        <w:spacing w:after="0" w:line="207" w:lineRule="exact"/>
        <w:rPr>
          <w:sz w:val="20"/>
          <w:szCs w:val="20"/>
          <w:color w:val="auto"/>
        </w:rPr>
      </w:pPr>
    </w:p>
    <w:p>
      <w:pPr>
        <w:ind w:left="1260" w:right="8840" w:hanging="939"/>
        <w:spacing w:after="0" w:line="312" w:lineRule="auto"/>
        <w:tabs>
          <w:tab w:leader="none" w:pos="1170"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CUSIP Number </w:t>
      </w:r>
      <w:r>
        <w:rPr>
          <w:rFonts w:ascii="Arial" w:cs="Arial" w:eastAsia="Arial" w:hAnsi="Arial"/>
          <w:sz w:val="17"/>
          <w:szCs w:val="17"/>
          <w:color w:val="auto"/>
        </w:rPr>
        <w:t>G48833118</w:t>
      </w:r>
    </w:p>
    <w:p>
      <w:pPr>
        <w:spacing w:after="0" w:line="14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3740" w:type="dxa"/>
            <w:vAlign w:val="bottom"/>
          </w:tcPr>
          <w:p>
            <w:pPr>
              <w:ind w:left="300"/>
              <w:spacing w:after="0"/>
              <w:rPr>
                <w:sz w:val="20"/>
                <w:szCs w:val="20"/>
                <w:color w:val="auto"/>
              </w:rPr>
            </w:pPr>
            <w:r>
              <w:rPr>
                <w:rFonts w:ascii="Arial" w:cs="Arial" w:eastAsia="Arial" w:hAnsi="Arial"/>
                <w:sz w:val="18"/>
                <w:szCs w:val="18"/>
                <w:b w:val="1"/>
                <w:bCs w:val="1"/>
                <w:color w:val="auto"/>
              </w:rPr>
              <w:t>Ownership</w:t>
            </w:r>
          </w:p>
        </w:tc>
        <w:tc>
          <w:tcPr>
            <w:tcW w:w="6640" w:type="dxa"/>
            <w:vAlign w:val="bottom"/>
          </w:tcPr>
          <w:p>
            <w:pPr>
              <w:spacing w:after="0"/>
              <w:rPr>
                <w:sz w:val="20"/>
                <w:szCs w:val="20"/>
                <w:color w:val="auto"/>
              </w:rPr>
            </w:pPr>
          </w:p>
        </w:tc>
      </w:tr>
      <w:tr>
        <w:trPr>
          <w:trHeight w:val="432"/>
        </w:trPr>
        <w:tc>
          <w:tcPr>
            <w:tcW w:w="4600" w:type="dxa"/>
            <w:vAlign w:val="bottom"/>
            <w:gridSpan w:val="2"/>
          </w:tcPr>
          <w:p>
            <w:pPr>
              <w:spacing w:after="0"/>
              <w:rPr>
                <w:sz w:val="20"/>
                <w:szCs w:val="20"/>
                <w:color w:val="auto"/>
              </w:rPr>
            </w:pPr>
            <w:r>
              <w:rPr>
                <w:rFonts w:ascii="Arial" w:cs="Arial" w:eastAsia="Arial" w:hAnsi="Arial"/>
                <w:sz w:val="18"/>
                <w:szCs w:val="18"/>
                <w:color w:val="auto"/>
              </w:rPr>
              <w:t>As of December 31, 2021:</w:t>
            </w:r>
          </w:p>
        </w:tc>
        <w:tc>
          <w:tcPr>
            <w:tcW w:w="6640" w:type="dxa"/>
            <w:vAlign w:val="bottom"/>
          </w:tcPr>
          <w:p>
            <w:pPr>
              <w:spacing w:after="0"/>
              <w:rPr>
                <w:sz w:val="24"/>
                <w:szCs w:val="24"/>
                <w:color w:val="auto"/>
              </w:rPr>
            </w:pPr>
          </w:p>
        </w:tc>
      </w:tr>
      <w:tr>
        <w:trPr>
          <w:trHeight w:val="432"/>
        </w:trPr>
        <w:tc>
          <w:tcPr>
            <w:tcW w:w="4600" w:type="dxa"/>
            <w:vAlign w:val="bottom"/>
            <w:gridSpan w:val="2"/>
          </w:tcPr>
          <w:p>
            <w:pPr>
              <w:spacing w:after="0"/>
              <w:rPr>
                <w:sz w:val="20"/>
                <w:szCs w:val="20"/>
                <w:color w:val="auto"/>
              </w:rPr>
            </w:pPr>
            <w:r>
              <w:rPr>
                <w:rFonts w:ascii="Arial" w:cs="Arial" w:eastAsia="Arial" w:hAnsi="Arial"/>
                <w:sz w:val="18"/>
                <w:szCs w:val="18"/>
                <w:color w:val="auto"/>
              </w:rPr>
              <w:t>(a)   Amount beneficially owned:</w:t>
            </w:r>
          </w:p>
        </w:tc>
        <w:tc>
          <w:tcPr>
            <w:tcW w:w="6640" w:type="dxa"/>
            <w:vAlign w:val="bottom"/>
          </w:tcPr>
          <w:p>
            <w:pPr>
              <w:spacing w:after="0"/>
              <w:rPr>
                <w:sz w:val="24"/>
                <w:szCs w:val="24"/>
                <w:color w:val="auto"/>
              </w:rPr>
            </w:pPr>
          </w:p>
        </w:tc>
      </w:tr>
      <w:tr>
        <w:trPr>
          <w:trHeight w:val="418"/>
        </w:trPr>
        <w:tc>
          <w:tcPr>
            <w:tcW w:w="4600" w:type="dxa"/>
            <w:vAlign w:val="bottom"/>
            <w:gridSpan w:val="2"/>
          </w:tcPr>
          <w:p>
            <w:pPr>
              <w:ind w:left="460"/>
              <w:spacing w:after="0"/>
              <w:rPr>
                <w:sz w:val="20"/>
                <w:szCs w:val="20"/>
                <w:color w:val="auto"/>
              </w:rPr>
            </w:pPr>
            <w:r>
              <w:rPr>
                <w:rFonts w:ascii="Arial" w:cs="Arial" w:eastAsia="Arial" w:hAnsi="Arial"/>
                <w:sz w:val="18"/>
                <w:szCs w:val="18"/>
                <w:color w:val="auto"/>
              </w:rPr>
              <w:t>D. E. Shaw Galvanic Portfolios, L.L.C.:</w:t>
            </w:r>
          </w:p>
        </w:tc>
        <w:tc>
          <w:tcPr>
            <w:tcW w:w="6640" w:type="dxa"/>
            <w:vAlign w:val="bottom"/>
          </w:tcPr>
          <w:p>
            <w:pPr>
              <w:ind w:left="1260"/>
              <w:spacing w:after="0"/>
              <w:rPr>
                <w:sz w:val="20"/>
                <w:szCs w:val="20"/>
                <w:color w:val="auto"/>
              </w:rPr>
            </w:pPr>
            <w:r>
              <w:rPr>
                <w:rFonts w:ascii="Arial" w:cs="Arial" w:eastAsia="Arial" w:hAnsi="Arial"/>
                <w:sz w:val="18"/>
                <w:szCs w:val="18"/>
                <w:color w:val="auto"/>
              </w:rPr>
              <w:t>4,727,513 shares</w:t>
            </w:r>
          </w:p>
        </w:tc>
      </w:tr>
      <w:tr>
        <w:trPr>
          <w:trHeight w:val="216"/>
        </w:trPr>
        <w:tc>
          <w:tcPr>
            <w:tcW w:w="8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6640" w:type="dxa"/>
            <w:vAlign w:val="bottom"/>
          </w:tcPr>
          <w:p>
            <w:pPr>
              <w:ind w:left="1260"/>
              <w:spacing w:after="0"/>
              <w:rPr>
                <w:sz w:val="20"/>
                <w:szCs w:val="20"/>
                <w:color w:val="auto"/>
              </w:rPr>
            </w:pPr>
            <w:r>
              <w:rPr>
                <w:rFonts w:ascii="Arial" w:cs="Arial" w:eastAsia="Arial" w:hAnsi="Arial"/>
                <w:sz w:val="18"/>
                <w:szCs w:val="18"/>
                <w:color w:val="auto"/>
                <w:w w:val="99"/>
              </w:rPr>
              <w:t>This is composed of (i) 4,538,755 shares in the name of D. E. Shaw</w:t>
            </w:r>
          </w:p>
        </w:tc>
      </w:tr>
      <w:tr>
        <w:trPr>
          <w:trHeight w:val="216"/>
        </w:trPr>
        <w:tc>
          <w:tcPr>
            <w:tcW w:w="8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6640" w:type="dxa"/>
            <w:vAlign w:val="bottom"/>
          </w:tcPr>
          <w:p>
            <w:pPr>
              <w:ind w:left="1260"/>
              <w:spacing w:after="0"/>
              <w:rPr>
                <w:sz w:val="20"/>
                <w:szCs w:val="20"/>
                <w:color w:val="auto"/>
              </w:rPr>
            </w:pPr>
            <w:r>
              <w:rPr>
                <w:rFonts w:ascii="Arial" w:cs="Arial" w:eastAsia="Arial" w:hAnsi="Arial"/>
                <w:sz w:val="18"/>
                <w:szCs w:val="18"/>
                <w:color w:val="auto"/>
              </w:rPr>
              <w:t>Galvanic Portfolios, L.L.C. and (ii) 188,758 shares that D. E. Shaw</w:t>
            </w:r>
          </w:p>
        </w:tc>
      </w:tr>
      <w:tr>
        <w:trPr>
          <w:trHeight w:val="216"/>
        </w:trPr>
        <w:tc>
          <w:tcPr>
            <w:tcW w:w="8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6640" w:type="dxa"/>
            <w:vAlign w:val="bottom"/>
          </w:tcPr>
          <w:p>
            <w:pPr>
              <w:ind w:left="1260"/>
              <w:spacing w:after="0"/>
              <w:rPr>
                <w:sz w:val="20"/>
                <w:szCs w:val="20"/>
                <w:color w:val="auto"/>
              </w:rPr>
            </w:pPr>
            <w:r>
              <w:rPr>
                <w:rFonts w:ascii="Arial" w:cs="Arial" w:eastAsia="Arial" w:hAnsi="Arial"/>
                <w:sz w:val="18"/>
                <w:szCs w:val="18"/>
                <w:color w:val="auto"/>
              </w:rPr>
              <w:t>Galvanic Portfolios, L.L.C. has the right to acquire upon exercise of</w:t>
            </w:r>
          </w:p>
        </w:tc>
      </w:tr>
      <w:tr>
        <w:trPr>
          <w:trHeight w:val="230"/>
        </w:trPr>
        <w:tc>
          <w:tcPr>
            <w:tcW w:w="8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6640" w:type="dxa"/>
            <w:vAlign w:val="bottom"/>
          </w:tcPr>
          <w:p>
            <w:pPr>
              <w:ind w:left="1260"/>
              <w:spacing w:after="0"/>
              <w:rPr>
                <w:sz w:val="20"/>
                <w:szCs w:val="20"/>
                <w:color w:val="auto"/>
              </w:rPr>
            </w:pPr>
            <w:r>
              <w:rPr>
                <w:rFonts w:ascii="Arial" w:cs="Arial" w:eastAsia="Arial" w:hAnsi="Arial"/>
                <w:sz w:val="18"/>
                <w:szCs w:val="18"/>
                <w:color w:val="auto"/>
              </w:rPr>
              <w:t>warrants.</w:t>
            </w:r>
          </w:p>
        </w:tc>
      </w:tr>
      <w:tr>
        <w:trPr>
          <w:trHeight w:val="418"/>
        </w:trPr>
        <w:tc>
          <w:tcPr>
            <w:tcW w:w="4600" w:type="dxa"/>
            <w:vAlign w:val="bottom"/>
            <w:gridSpan w:val="2"/>
          </w:tcPr>
          <w:p>
            <w:pPr>
              <w:ind w:left="460"/>
              <w:spacing w:after="0"/>
              <w:rPr>
                <w:sz w:val="20"/>
                <w:szCs w:val="20"/>
                <w:color w:val="auto"/>
              </w:rPr>
            </w:pPr>
            <w:r>
              <w:rPr>
                <w:rFonts w:ascii="Arial" w:cs="Arial" w:eastAsia="Arial" w:hAnsi="Arial"/>
                <w:sz w:val="18"/>
                <w:szCs w:val="18"/>
                <w:color w:val="auto"/>
              </w:rPr>
              <w:t>D. E. Shaw Manager II, L.L.C.:</w:t>
            </w:r>
          </w:p>
        </w:tc>
        <w:tc>
          <w:tcPr>
            <w:tcW w:w="6640" w:type="dxa"/>
            <w:vAlign w:val="bottom"/>
          </w:tcPr>
          <w:p>
            <w:pPr>
              <w:ind w:left="1260"/>
              <w:spacing w:after="0"/>
              <w:rPr>
                <w:sz w:val="20"/>
                <w:szCs w:val="20"/>
                <w:color w:val="auto"/>
              </w:rPr>
            </w:pPr>
            <w:r>
              <w:rPr>
                <w:rFonts w:ascii="Arial" w:cs="Arial" w:eastAsia="Arial" w:hAnsi="Arial"/>
                <w:sz w:val="18"/>
                <w:szCs w:val="18"/>
                <w:color w:val="auto"/>
              </w:rPr>
              <w:t>4,727,513 shares</w:t>
            </w:r>
          </w:p>
        </w:tc>
      </w:tr>
      <w:tr>
        <w:trPr>
          <w:trHeight w:val="216"/>
        </w:trPr>
        <w:tc>
          <w:tcPr>
            <w:tcW w:w="8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6640" w:type="dxa"/>
            <w:vAlign w:val="bottom"/>
          </w:tcPr>
          <w:p>
            <w:pPr>
              <w:ind w:left="1260"/>
              <w:spacing w:after="0"/>
              <w:rPr>
                <w:sz w:val="20"/>
                <w:szCs w:val="20"/>
                <w:color w:val="auto"/>
              </w:rPr>
            </w:pPr>
            <w:r>
              <w:rPr>
                <w:rFonts w:ascii="Arial" w:cs="Arial" w:eastAsia="Arial" w:hAnsi="Arial"/>
                <w:sz w:val="18"/>
                <w:szCs w:val="18"/>
                <w:color w:val="auto"/>
                <w:w w:val="99"/>
              </w:rPr>
              <w:t>This is composed of (i) 4,538,755 shares in the name of D. E. Shaw</w:t>
            </w:r>
          </w:p>
        </w:tc>
      </w:tr>
      <w:tr>
        <w:trPr>
          <w:trHeight w:val="216"/>
        </w:trPr>
        <w:tc>
          <w:tcPr>
            <w:tcW w:w="8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6640" w:type="dxa"/>
            <w:vAlign w:val="bottom"/>
          </w:tcPr>
          <w:p>
            <w:pPr>
              <w:ind w:left="1260"/>
              <w:spacing w:after="0"/>
              <w:rPr>
                <w:sz w:val="20"/>
                <w:szCs w:val="20"/>
                <w:color w:val="auto"/>
              </w:rPr>
            </w:pPr>
            <w:r>
              <w:rPr>
                <w:rFonts w:ascii="Arial" w:cs="Arial" w:eastAsia="Arial" w:hAnsi="Arial"/>
                <w:sz w:val="18"/>
                <w:szCs w:val="18"/>
                <w:color w:val="auto"/>
              </w:rPr>
              <w:t>Galvanic Portfolios, L.L.C. and (ii) 188,758 shares that D. E. Shaw</w:t>
            </w:r>
          </w:p>
        </w:tc>
      </w:tr>
      <w:tr>
        <w:trPr>
          <w:trHeight w:val="216"/>
        </w:trPr>
        <w:tc>
          <w:tcPr>
            <w:tcW w:w="8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6640" w:type="dxa"/>
            <w:vAlign w:val="bottom"/>
          </w:tcPr>
          <w:p>
            <w:pPr>
              <w:ind w:left="1260"/>
              <w:spacing w:after="0"/>
              <w:rPr>
                <w:sz w:val="20"/>
                <w:szCs w:val="20"/>
                <w:color w:val="auto"/>
              </w:rPr>
            </w:pPr>
            <w:r>
              <w:rPr>
                <w:rFonts w:ascii="Arial" w:cs="Arial" w:eastAsia="Arial" w:hAnsi="Arial"/>
                <w:sz w:val="18"/>
                <w:szCs w:val="18"/>
                <w:color w:val="auto"/>
              </w:rPr>
              <w:t>Galvanic Portfolios, L.L.C. has the right to acquire upon exercise of</w:t>
            </w:r>
          </w:p>
        </w:tc>
      </w:tr>
      <w:tr>
        <w:trPr>
          <w:trHeight w:val="230"/>
        </w:trPr>
        <w:tc>
          <w:tcPr>
            <w:tcW w:w="8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6640" w:type="dxa"/>
            <w:vAlign w:val="bottom"/>
          </w:tcPr>
          <w:p>
            <w:pPr>
              <w:ind w:left="1260"/>
              <w:spacing w:after="0"/>
              <w:rPr>
                <w:sz w:val="20"/>
                <w:szCs w:val="20"/>
                <w:color w:val="auto"/>
              </w:rPr>
            </w:pPr>
            <w:r>
              <w:rPr>
                <w:rFonts w:ascii="Arial" w:cs="Arial" w:eastAsia="Arial" w:hAnsi="Arial"/>
                <w:sz w:val="18"/>
                <w:szCs w:val="18"/>
                <w:color w:val="auto"/>
              </w:rPr>
              <w:t>warrants.</w:t>
            </w:r>
          </w:p>
        </w:tc>
      </w:tr>
      <w:tr>
        <w:trPr>
          <w:trHeight w:val="418"/>
        </w:trPr>
        <w:tc>
          <w:tcPr>
            <w:tcW w:w="4600" w:type="dxa"/>
            <w:vAlign w:val="bottom"/>
            <w:gridSpan w:val="2"/>
          </w:tcPr>
          <w:p>
            <w:pPr>
              <w:ind w:left="460"/>
              <w:spacing w:after="0"/>
              <w:rPr>
                <w:sz w:val="20"/>
                <w:szCs w:val="20"/>
                <w:color w:val="auto"/>
              </w:rPr>
            </w:pPr>
            <w:r>
              <w:rPr>
                <w:rFonts w:ascii="Arial" w:cs="Arial" w:eastAsia="Arial" w:hAnsi="Arial"/>
                <w:sz w:val="18"/>
                <w:szCs w:val="18"/>
                <w:color w:val="auto"/>
              </w:rPr>
              <w:t>D. E. Shaw Adviser II, L.L.C.:</w:t>
            </w:r>
          </w:p>
        </w:tc>
        <w:tc>
          <w:tcPr>
            <w:tcW w:w="6640" w:type="dxa"/>
            <w:vAlign w:val="bottom"/>
          </w:tcPr>
          <w:p>
            <w:pPr>
              <w:ind w:left="1260"/>
              <w:spacing w:after="0"/>
              <w:rPr>
                <w:sz w:val="20"/>
                <w:szCs w:val="20"/>
                <w:color w:val="auto"/>
              </w:rPr>
            </w:pPr>
            <w:r>
              <w:rPr>
                <w:rFonts w:ascii="Arial" w:cs="Arial" w:eastAsia="Arial" w:hAnsi="Arial"/>
                <w:sz w:val="18"/>
                <w:szCs w:val="18"/>
                <w:color w:val="auto"/>
              </w:rPr>
              <w:t>4,727,513 shares</w:t>
            </w:r>
          </w:p>
        </w:tc>
      </w:tr>
      <w:tr>
        <w:trPr>
          <w:trHeight w:val="216"/>
        </w:trPr>
        <w:tc>
          <w:tcPr>
            <w:tcW w:w="8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6640" w:type="dxa"/>
            <w:vAlign w:val="bottom"/>
          </w:tcPr>
          <w:p>
            <w:pPr>
              <w:ind w:left="1260"/>
              <w:spacing w:after="0"/>
              <w:rPr>
                <w:sz w:val="20"/>
                <w:szCs w:val="20"/>
                <w:color w:val="auto"/>
              </w:rPr>
            </w:pPr>
            <w:r>
              <w:rPr>
                <w:rFonts w:ascii="Arial" w:cs="Arial" w:eastAsia="Arial" w:hAnsi="Arial"/>
                <w:sz w:val="18"/>
                <w:szCs w:val="18"/>
                <w:color w:val="auto"/>
                <w:w w:val="99"/>
              </w:rPr>
              <w:t>This is composed of (i) 4,538,755 shares in the name of D. E. Shaw</w:t>
            </w:r>
          </w:p>
        </w:tc>
      </w:tr>
      <w:tr>
        <w:trPr>
          <w:trHeight w:val="216"/>
        </w:trPr>
        <w:tc>
          <w:tcPr>
            <w:tcW w:w="8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6640" w:type="dxa"/>
            <w:vAlign w:val="bottom"/>
          </w:tcPr>
          <w:p>
            <w:pPr>
              <w:ind w:left="1260"/>
              <w:spacing w:after="0"/>
              <w:rPr>
                <w:sz w:val="20"/>
                <w:szCs w:val="20"/>
                <w:color w:val="auto"/>
              </w:rPr>
            </w:pPr>
            <w:r>
              <w:rPr>
                <w:rFonts w:ascii="Arial" w:cs="Arial" w:eastAsia="Arial" w:hAnsi="Arial"/>
                <w:sz w:val="18"/>
                <w:szCs w:val="18"/>
                <w:color w:val="auto"/>
              </w:rPr>
              <w:t>Galvanic Portfolios, L.L.C. and (ii) 188,758 shares that D. E. Shaw</w:t>
            </w:r>
          </w:p>
        </w:tc>
      </w:tr>
      <w:tr>
        <w:trPr>
          <w:trHeight w:val="216"/>
        </w:trPr>
        <w:tc>
          <w:tcPr>
            <w:tcW w:w="8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6640" w:type="dxa"/>
            <w:vAlign w:val="bottom"/>
          </w:tcPr>
          <w:p>
            <w:pPr>
              <w:ind w:left="1260"/>
              <w:spacing w:after="0"/>
              <w:rPr>
                <w:sz w:val="20"/>
                <w:szCs w:val="20"/>
                <w:color w:val="auto"/>
              </w:rPr>
            </w:pPr>
            <w:r>
              <w:rPr>
                <w:rFonts w:ascii="Arial" w:cs="Arial" w:eastAsia="Arial" w:hAnsi="Arial"/>
                <w:sz w:val="18"/>
                <w:szCs w:val="18"/>
                <w:color w:val="auto"/>
              </w:rPr>
              <w:t>Galvanic Portfolios, L.L.C. has the right to acquire upon exercise of</w:t>
            </w:r>
          </w:p>
        </w:tc>
      </w:tr>
      <w:tr>
        <w:trPr>
          <w:trHeight w:val="230"/>
        </w:trPr>
        <w:tc>
          <w:tcPr>
            <w:tcW w:w="8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6640" w:type="dxa"/>
            <w:vAlign w:val="bottom"/>
          </w:tcPr>
          <w:p>
            <w:pPr>
              <w:ind w:left="1260"/>
              <w:spacing w:after="0"/>
              <w:rPr>
                <w:sz w:val="20"/>
                <w:szCs w:val="20"/>
                <w:color w:val="auto"/>
              </w:rPr>
            </w:pPr>
            <w:r>
              <w:rPr>
                <w:rFonts w:ascii="Arial" w:cs="Arial" w:eastAsia="Arial" w:hAnsi="Arial"/>
                <w:sz w:val="18"/>
                <w:szCs w:val="18"/>
                <w:color w:val="auto"/>
              </w:rPr>
              <w:t>warrants.</w:t>
            </w:r>
          </w:p>
        </w:tc>
      </w:tr>
      <w:tr>
        <w:trPr>
          <w:trHeight w:val="702"/>
        </w:trPr>
        <w:tc>
          <w:tcPr>
            <w:tcW w:w="86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987" w:gutter="0" w:footer="0" w:header="0"/>
        </w:sectPr>
      </w:pPr>
    </w:p>
    <w:bookmarkStart w:id="8" w:name="page9"/>
    <w:bookmarkEnd w:id="8"/>
    <w:p>
      <w:pPr>
        <w:ind w:left="452"/>
        <w:spacing w:after="0"/>
        <w:rPr>
          <w:sz w:val="20"/>
          <w:szCs w:val="20"/>
          <w:color w:val="auto"/>
        </w:rPr>
      </w:pPr>
      <w:r>
        <w:rPr>
          <w:rFonts w:ascii="Arial" w:cs="Arial" w:eastAsia="Arial" w:hAnsi="Arial"/>
          <w:sz w:val="18"/>
          <w:szCs w:val="18"/>
          <w:color w:val="auto"/>
        </w:rPr>
        <w:t>D. E. Shaw &amp; Co.,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52"/>
        <w:spacing w:after="0"/>
        <w:rPr>
          <w:sz w:val="20"/>
          <w:szCs w:val="20"/>
          <w:color w:val="auto"/>
        </w:rPr>
      </w:pPr>
      <w:r>
        <w:rPr>
          <w:rFonts w:ascii="Arial" w:cs="Arial" w:eastAsia="Arial" w:hAnsi="Arial"/>
          <w:sz w:val="18"/>
          <w:szCs w:val="18"/>
          <w:color w:val="auto"/>
        </w:rPr>
        <w:t>D. E. Shaw &amp; Co.,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52"/>
        <w:spacing w:after="0"/>
        <w:rPr>
          <w:sz w:val="20"/>
          <w:szCs w:val="20"/>
          <w:color w:val="auto"/>
        </w:rPr>
      </w:pPr>
      <w:r>
        <w:rPr>
          <w:rFonts w:ascii="Arial" w:cs="Arial" w:eastAsia="Arial" w:hAnsi="Arial"/>
          <w:sz w:val="18"/>
          <w:szCs w:val="18"/>
          <w:color w:val="auto"/>
        </w:rPr>
        <w:t>David E. Shaw: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52" w:hanging="452"/>
        <w:spacing w:after="0"/>
        <w:tabs>
          <w:tab w:leader="none" w:pos="452"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3" w:lineRule="exact"/>
        <w:rPr>
          <w:rFonts w:ascii="Arial" w:cs="Arial" w:eastAsia="Arial" w:hAnsi="Arial"/>
          <w:sz w:val="18"/>
          <w:szCs w:val="18"/>
          <w:color w:val="auto"/>
        </w:rPr>
      </w:pPr>
    </w:p>
    <w:p>
      <w:pPr>
        <w:ind w:left="452" w:right="1780"/>
        <w:spacing w:after="0" w:line="265" w:lineRule="auto"/>
        <w:rPr>
          <w:rFonts w:ascii="Arial" w:cs="Arial" w:eastAsia="Arial" w:hAnsi="Arial"/>
          <w:sz w:val="18"/>
          <w:szCs w:val="18"/>
          <w:color w:val="auto"/>
        </w:rPr>
      </w:pPr>
      <w:r>
        <w:rPr>
          <w:rFonts w:ascii="Arial" w:cs="Arial" w:eastAsia="Arial" w:hAnsi="Arial"/>
          <w:sz w:val="17"/>
          <w:szCs w:val="17"/>
          <w:color w:val="auto"/>
        </w:rPr>
        <w:t>D. E. Shaw Galvanic Portfolios, L.L.C.: D. E. Shaw Manager II, L.L.C.:</w:t>
      </w:r>
    </w:p>
    <w:p>
      <w:pPr>
        <w:ind w:left="452" w:right="2460"/>
        <w:spacing w:after="0" w:line="265" w:lineRule="auto"/>
        <w:rPr>
          <w:rFonts w:ascii="Arial" w:cs="Arial" w:eastAsia="Arial" w:hAnsi="Arial"/>
          <w:sz w:val="18"/>
          <w:szCs w:val="18"/>
          <w:color w:val="auto"/>
        </w:rPr>
      </w:pPr>
      <w:r>
        <w:rPr>
          <w:rFonts w:ascii="Arial" w:cs="Arial" w:eastAsia="Arial" w:hAnsi="Arial"/>
          <w:sz w:val="17"/>
          <w:szCs w:val="17"/>
          <w:color w:val="auto"/>
        </w:rPr>
        <w:t>D. E. Shaw Adviser II, L.L.C.: D. E. Shaw &amp; Co., L.L.C.:</w:t>
      </w:r>
    </w:p>
    <w:p>
      <w:pPr>
        <w:ind w:left="452" w:right="2940"/>
        <w:spacing w:after="0" w:line="260" w:lineRule="auto"/>
        <w:rPr>
          <w:rFonts w:ascii="Arial" w:cs="Arial" w:eastAsia="Arial" w:hAnsi="Arial"/>
          <w:sz w:val="18"/>
          <w:szCs w:val="18"/>
          <w:color w:val="auto"/>
        </w:rPr>
      </w:pPr>
      <w:r>
        <w:rPr>
          <w:rFonts w:ascii="Arial" w:cs="Arial" w:eastAsia="Arial" w:hAnsi="Arial"/>
          <w:sz w:val="18"/>
          <w:szCs w:val="18"/>
          <w:color w:val="auto"/>
        </w:rPr>
        <w:t>D. E. Shaw &amp; Co., L.P.: David E. Shaw:</w:t>
      </w:r>
    </w:p>
    <w:p>
      <w:pPr>
        <w:spacing w:after="0" w:line="185" w:lineRule="exact"/>
        <w:rPr>
          <w:rFonts w:ascii="Arial" w:cs="Arial" w:eastAsia="Arial" w:hAnsi="Arial"/>
          <w:sz w:val="18"/>
          <w:szCs w:val="18"/>
          <w:color w:val="auto"/>
        </w:rPr>
      </w:pPr>
    </w:p>
    <w:p>
      <w:pPr>
        <w:ind w:left="452" w:hanging="452"/>
        <w:spacing w:after="0"/>
        <w:tabs>
          <w:tab w:leader="none" w:pos="452" w:val="left"/>
        </w:tabs>
        <w:numPr>
          <w:ilvl w:val="0"/>
          <w:numId w:val="47"/>
        </w:numPr>
        <w:rPr>
          <w:rFonts w:ascii="Arial" w:cs="Arial" w:eastAsia="Arial" w:hAnsi="Arial"/>
          <w:sz w:val="18"/>
          <w:szCs w:val="18"/>
          <w:color w:val="auto"/>
        </w:rPr>
      </w:pPr>
      <w:r>
        <w:rPr>
          <w:rFonts w:ascii="Arial" w:cs="Arial" w:eastAsia="Arial" w:hAnsi="Arial"/>
          <w:sz w:val="18"/>
          <w:szCs w:val="18"/>
          <w:color w:val="auto"/>
        </w:rPr>
        <w:t>Number of shares to which the person has:</w:t>
      </w:r>
    </w:p>
    <w:p>
      <w:pPr>
        <w:spacing w:after="0" w:line="23" w:lineRule="exact"/>
        <w:rPr>
          <w:rFonts w:ascii="Arial" w:cs="Arial" w:eastAsia="Arial" w:hAnsi="Arial"/>
          <w:sz w:val="18"/>
          <w:szCs w:val="18"/>
          <w:color w:val="auto"/>
        </w:rPr>
      </w:pPr>
    </w:p>
    <w:p>
      <w:pPr>
        <w:ind w:left="672" w:right="1580" w:hanging="216"/>
        <w:spacing w:after="0" w:line="265" w:lineRule="auto"/>
        <w:rPr>
          <w:rFonts w:ascii="Arial" w:cs="Arial" w:eastAsia="Arial" w:hAnsi="Arial"/>
          <w:sz w:val="18"/>
          <w:szCs w:val="18"/>
          <w:color w:val="auto"/>
        </w:rPr>
      </w:pPr>
      <w:r>
        <w:rPr>
          <w:rFonts w:ascii="Arial" w:cs="Arial" w:eastAsia="Arial" w:hAnsi="Arial"/>
          <w:sz w:val="17"/>
          <w:szCs w:val="17"/>
          <w:color w:val="auto"/>
        </w:rPr>
        <w:t>(i) Sole power to vote or to direct the vote: D. E. Shaw Galvanic Portfolios, L.L.C.: D. E. Shaw Manager II, L.L.C.:</w:t>
      </w:r>
    </w:p>
    <w:p>
      <w:pPr>
        <w:ind w:left="672" w:right="2240"/>
        <w:spacing w:after="0" w:line="265" w:lineRule="auto"/>
        <w:rPr>
          <w:rFonts w:ascii="Arial" w:cs="Arial" w:eastAsia="Arial" w:hAnsi="Arial"/>
          <w:sz w:val="18"/>
          <w:szCs w:val="18"/>
          <w:color w:val="auto"/>
        </w:rPr>
      </w:pPr>
      <w:r>
        <w:rPr>
          <w:rFonts w:ascii="Arial" w:cs="Arial" w:eastAsia="Arial" w:hAnsi="Arial"/>
          <w:sz w:val="17"/>
          <w:szCs w:val="17"/>
          <w:color w:val="auto"/>
        </w:rPr>
        <w:t>D. E. Shaw Adviser II, L.L.C.: D. E. Shaw &amp; Co., L.L.C.:</w:t>
      </w:r>
    </w:p>
    <w:p>
      <w:pPr>
        <w:ind w:left="672" w:right="2740"/>
        <w:spacing w:after="0" w:line="260" w:lineRule="auto"/>
        <w:rPr>
          <w:rFonts w:ascii="Arial" w:cs="Arial" w:eastAsia="Arial" w:hAnsi="Arial"/>
          <w:sz w:val="18"/>
          <w:szCs w:val="18"/>
          <w:color w:val="auto"/>
        </w:rPr>
      </w:pPr>
      <w:r>
        <w:rPr>
          <w:rFonts w:ascii="Arial" w:cs="Arial" w:eastAsia="Arial" w:hAnsi="Arial"/>
          <w:sz w:val="18"/>
          <w:szCs w:val="18"/>
          <w:color w:val="auto"/>
        </w:rPr>
        <w:t>D. E. Shaw &amp; Co., L.P.: David E. Shaw:</w:t>
      </w:r>
    </w:p>
    <w:p>
      <w:pPr>
        <w:spacing w:after="0" w:line="185" w:lineRule="exact"/>
        <w:rPr>
          <w:sz w:val="20"/>
          <w:szCs w:val="20"/>
          <w:color w:val="auto"/>
        </w:rPr>
      </w:pPr>
    </w:p>
    <w:p>
      <w:pPr>
        <w:ind w:left="452"/>
        <w:spacing w:after="0"/>
        <w:rPr>
          <w:sz w:val="20"/>
          <w:szCs w:val="20"/>
          <w:color w:val="auto"/>
        </w:rPr>
      </w:pPr>
      <w:r>
        <w:rPr>
          <w:rFonts w:ascii="Arial" w:cs="Arial" w:eastAsia="Arial" w:hAnsi="Arial"/>
          <w:sz w:val="18"/>
          <w:szCs w:val="18"/>
          <w:color w:val="auto"/>
        </w:rPr>
        <w:t>(ii)Shared power to vote or to direct the vote:</w:t>
      </w:r>
    </w:p>
    <w:p>
      <w:pPr>
        <w:spacing w:after="0" w:line="23" w:lineRule="exact"/>
        <w:rPr>
          <w:sz w:val="20"/>
          <w:szCs w:val="20"/>
          <w:color w:val="auto"/>
        </w:rPr>
      </w:pPr>
    </w:p>
    <w:p>
      <w:pPr>
        <w:ind w:left="672"/>
        <w:spacing w:after="0"/>
        <w:rPr>
          <w:sz w:val="20"/>
          <w:szCs w:val="20"/>
          <w:color w:val="auto"/>
        </w:rPr>
      </w:pPr>
      <w:r>
        <w:rPr>
          <w:rFonts w:ascii="Arial" w:cs="Arial" w:eastAsia="Arial" w:hAnsi="Arial"/>
          <w:sz w:val="18"/>
          <w:szCs w:val="18"/>
          <w:color w:val="auto"/>
        </w:rPr>
        <w:t>D. E. Shaw Galvanic Portfolios, L.L.C.:</w:t>
      </w:r>
    </w:p>
    <w:p>
      <w:pPr>
        <w:spacing w:after="0" w:line="9" w:lineRule="exact"/>
        <w:rPr>
          <w:sz w:val="20"/>
          <w:szCs w:val="20"/>
          <w:color w:val="auto"/>
        </w:rPr>
      </w:pPr>
    </w:p>
    <w:p>
      <w:pPr>
        <w:ind w:left="672"/>
        <w:spacing w:after="0"/>
        <w:rPr>
          <w:sz w:val="20"/>
          <w:szCs w:val="20"/>
          <w:color w:val="auto"/>
        </w:rPr>
      </w:pPr>
      <w:r>
        <w:rPr>
          <w:rFonts w:ascii="Arial" w:cs="Arial" w:eastAsia="Arial" w:hAnsi="Arial"/>
          <w:sz w:val="18"/>
          <w:szCs w:val="18"/>
          <w:color w:val="auto"/>
        </w:rPr>
        <w:t>D. E. Shaw Manager II, L.L.C.:</w:t>
      </w:r>
    </w:p>
    <w:p>
      <w:pPr>
        <w:spacing w:after="0" w:line="9" w:lineRule="exact"/>
        <w:rPr>
          <w:sz w:val="20"/>
          <w:szCs w:val="20"/>
          <w:color w:val="auto"/>
        </w:rPr>
      </w:pPr>
    </w:p>
    <w:p>
      <w:pPr>
        <w:ind w:left="672"/>
        <w:spacing w:after="0"/>
        <w:rPr>
          <w:sz w:val="20"/>
          <w:szCs w:val="20"/>
          <w:color w:val="auto"/>
        </w:rPr>
      </w:pPr>
      <w:r>
        <w:rPr>
          <w:rFonts w:ascii="Arial" w:cs="Arial" w:eastAsia="Arial" w:hAnsi="Arial"/>
          <w:sz w:val="18"/>
          <w:szCs w:val="18"/>
          <w:color w:val="auto"/>
        </w:rPr>
        <w:t>D. E. Shaw Adviser II, L.L.C.:</w:t>
      </w:r>
    </w:p>
    <w:p>
      <w:pPr>
        <w:spacing w:after="0" w:line="9" w:lineRule="exact"/>
        <w:rPr>
          <w:sz w:val="20"/>
          <w:szCs w:val="20"/>
          <w:color w:val="auto"/>
        </w:rPr>
      </w:pPr>
    </w:p>
    <w:p>
      <w:pPr>
        <w:ind w:left="672"/>
        <w:spacing w:after="0"/>
        <w:rPr>
          <w:sz w:val="20"/>
          <w:szCs w:val="20"/>
          <w:color w:val="auto"/>
        </w:rPr>
      </w:pPr>
      <w:r>
        <w:rPr>
          <w:rFonts w:ascii="Arial" w:cs="Arial" w:eastAsia="Arial" w:hAnsi="Arial"/>
          <w:sz w:val="18"/>
          <w:szCs w:val="18"/>
          <w:color w:val="auto"/>
        </w:rPr>
        <w:t>D. E. Shaw &amp; Co., L.L.C.:</w:t>
      </w:r>
    </w:p>
    <w:p>
      <w:pPr>
        <w:spacing w:after="0" w:line="9" w:lineRule="exact"/>
        <w:rPr>
          <w:sz w:val="20"/>
          <w:szCs w:val="20"/>
          <w:color w:val="auto"/>
        </w:rPr>
      </w:pPr>
    </w:p>
    <w:p>
      <w:pPr>
        <w:ind w:left="672"/>
        <w:spacing w:after="0"/>
        <w:rPr>
          <w:sz w:val="20"/>
          <w:szCs w:val="20"/>
          <w:color w:val="auto"/>
        </w:rPr>
      </w:pPr>
      <w:r>
        <w:rPr>
          <w:rFonts w:ascii="Arial" w:cs="Arial" w:eastAsia="Arial" w:hAnsi="Arial"/>
          <w:sz w:val="18"/>
          <w:szCs w:val="18"/>
          <w:color w:val="auto"/>
        </w:rPr>
        <w:t>D. E. Shaw &amp; Co., L.P.:</w:t>
      </w:r>
    </w:p>
    <w:p>
      <w:pPr>
        <w:spacing w:after="0" w:line="9" w:lineRule="exact"/>
        <w:rPr>
          <w:sz w:val="20"/>
          <w:szCs w:val="20"/>
          <w:color w:val="auto"/>
        </w:rPr>
      </w:pPr>
    </w:p>
    <w:p>
      <w:pPr>
        <w:ind w:left="672"/>
        <w:spacing w:after="0"/>
        <w:rPr>
          <w:sz w:val="20"/>
          <w:szCs w:val="20"/>
          <w:color w:val="auto"/>
        </w:rPr>
      </w:pPr>
      <w:r>
        <w:rPr>
          <w:rFonts w:ascii="Arial" w:cs="Arial" w:eastAsia="Arial" w:hAnsi="Arial"/>
          <w:sz w:val="18"/>
          <w:szCs w:val="18"/>
          <w:color w:val="auto"/>
        </w:rPr>
        <w:t>David E. Shaw:</w:t>
      </w:r>
    </w:p>
    <w:p>
      <w:pPr>
        <w:spacing w:after="0" w:line="211" w:lineRule="exact"/>
        <w:rPr>
          <w:sz w:val="20"/>
          <w:szCs w:val="20"/>
          <w:color w:val="auto"/>
        </w:rPr>
      </w:pPr>
    </w:p>
    <w:p>
      <w:pPr>
        <w:ind w:left="432"/>
        <w:spacing w:after="0"/>
        <w:rPr>
          <w:sz w:val="20"/>
          <w:szCs w:val="20"/>
          <w:color w:val="auto"/>
        </w:rPr>
      </w:pPr>
      <w:r>
        <w:rPr>
          <w:rFonts w:ascii="Arial" w:cs="Arial" w:eastAsia="Arial" w:hAnsi="Arial"/>
          <w:sz w:val="17"/>
          <w:szCs w:val="17"/>
          <w:color w:val="auto"/>
        </w:rPr>
        <w:t>(iii)Sole power to dispose or to direct the disposition of:</w:t>
      </w:r>
    </w:p>
    <w:p>
      <w:pPr>
        <w:spacing w:after="0" w:line="35" w:lineRule="exact"/>
        <w:rPr>
          <w:sz w:val="20"/>
          <w:szCs w:val="20"/>
          <w:color w:val="auto"/>
        </w:rPr>
      </w:pPr>
    </w:p>
    <w:p>
      <w:pPr>
        <w:ind w:left="672"/>
        <w:spacing w:after="0"/>
        <w:rPr>
          <w:sz w:val="20"/>
          <w:szCs w:val="20"/>
          <w:color w:val="auto"/>
        </w:rPr>
      </w:pPr>
      <w:r>
        <w:rPr>
          <w:rFonts w:ascii="Arial" w:cs="Arial" w:eastAsia="Arial" w:hAnsi="Arial"/>
          <w:sz w:val="18"/>
          <w:szCs w:val="18"/>
          <w:color w:val="auto"/>
        </w:rPr>
        <w:t>D. E. Shaw Galvanic Portfolios, L.L.C.:</w:t>
      </w:r>
    </w:p>
    <w:p>
      <w:pPr>
        <w:spacing w:after="0" w:line="9" w:lineRule="exact"/>
        <w:rPr>
          <w:sz w:val="20"/>
          <w:szCs w:val="20"/>
          <w:color w:val="auto"/>
        </w:rPr>
      </w:pPr>
    </w:p>
    <w:p>
      <w:pPr>
        <w:ind w:left="672"/>
        <w:spacing w:after="0"/>
        <w:rPr>
          <w:sz w:val="20"/>
          <w:szCs w:val="20"/>
          <w:color w:val="auto"/>
        </w:rPr>
      </w:pPr>
      <w:r>
        <w:rPr>
          <w:rFonts w:ascii="Arial" w:cs="Arial" w:eastAsia="Arial" w:hAnsi="Arial"/>
          <w:sz w:val="18"/>
          <w:szCs w:val="18"/>
          <w:color w:val="auto"/>
        </w:rPr>
        <w:t>D. E. Shaw Manager II, L.L.C.:</w:t>
      </w:r>
    </w:p>
    <w:p>
      <w:pPr>
        <w:spacing w:after="0" w:line="9" w:lineRule="exact"/>
        <w:rPr>
          <w:sz w:val="20"/>
          <w:szCs w:val="20"/>
          <w:color w:val="auto"/>
        </w:rPr>
      </w:pPr>
    </w:p>
    <w:p>
      <w:pPr>
        <w:ind w:left="672"/>
        <w:spacing w:after="0"/>
        <w:rPr>
          <w:sz w:val="20"/>
          <w:szCs w:val="20"/>
          <w:color w:val="auto"/>
        </w:rPr>
      </w:pPr>
      <w:r>
        <w:rPr>
          <w:rFonts w:ascii="Arial" w:cs="Arial" w:eastAsia="Arial" w:hAnsi="Arial"/>
          <w:sz w:val="18"/>
          <w:szCs w:val="18"/>
          <w:color w:val="auto"/>
        </w:rPr>
        <w:t>D. E. Shaw Adviser II, L.L.C.:</w:t>
      </w:r>
    </w:p>
    <w:p>
      <w:pPr>
        <w:spacing w:after="0" w:line="9" w:lineRule="exact"/>
        <w:rPr>
          <w:sz w:val="20"/>
          <w:szCs w:val="20"/>
          <w:color w:val="auto"/>
        </w:rPr>
      </w:pPr>
    </w:p>
    <w:p>
      <w:pPr>
        <w:ind w:left="672"/>
        <w:spacing w:after="0"/>
        <w:rPr>
          <w:sz w:val="20"/>
          <w:szCs w:val="20"/>
          <w:color w:val="auto"/>
        </w:rPr>
      </w:pPr>
      <w:r>
        <w:rPr>
          <w:rFonts w:ascii="Arial" w:cs="Arial" w:eastAsia="Arial" w:hAnsi="Arial"/>
          <w:sz w:val="18"/>
          <w:szCs w:val="18"/>
          <w:color w:val="auto"/>
        </w:rPr>
        <w:t>D. E. Shaw &amp; Co., L.L.C.:</w:t>
      </w:r>
    </w:p>
    <w:p>
      <w:pPr>
        <w:spacing w:after="0" w:line="9" w:lineRule="exact"/>
        <w:rPr>
          <w:sz w:val="20"/>
          <w:szCs w:val="20"/>
          <w:color w:val="auto"/>
        </w:rPr>
      </w:pPr>
    </w:p>
    <w:p>
      <w:pPr>
        <w:ind w:left="672"/>
        <w:spacing w:after="0"/>
        <w:rPr>
          <w:sz w:val="20"/>
          <w:szCs w:val="20"/>
          <w:color w:val="auto"/>
        </w:rPr>
      </w:pPr>
      <w:r>
        <w:rPr>
          <w:rFonts w:ascii="Arial" w:cs="Arial" w:eastAsia="Arial" w:hAnsi="Arial"/>
          <w:sz w:val="18"/>
          <w:szCs w:val="18"/>
          <w:color w:val="auto"/>
        </w:rPr>
        <w:t>D. E. Shaw &amp; Co., L.P.:</w:t>
      </w:r>
    </w:p>
    <w:p>
      <w:pPr>
        <w:spacing w:after="0" w:line="9" w:lineRule="exact"/>
        <w:rPr>
          <w:sz w:val="20"/>
          <w:szCs w:val="20"/>
          <w:color w:val="auto"/>
        </w:rPr>
      </w:pPr>
    </w:p>
    <w:p>
      <w:pPr>
        <w:ind w:left="672"/>
        <w:spacing w:after="0"/>
        <w:rPr>
          <w:sz w:val="20"/>
          <w:szCs w:val="20"/>
          <w:color w:val="auto"/>
        </w:rPr>
      </w:pPr>
      <w:r>
        <w:rPr>
          <w:rFonts w:ascii="Arial" w:cs="Arial" w:eastAsia="Arial" w:hAnsi="Arial"/>
          <w:sz w:val="18"/>
          <w:szCs w:val="18"/>
          <w:color w:val="auto"/>
        </w:rPr>
        <w:t>David E. Shaw:</w:t>
      </w:r>
    </w:p>
    <w:p>
      <w:pPr>
        <w:spacing w:after="0" w:line="211" w:lineRule="exact"/>
        <w:rPr>
          <w:sz w:val="20"/>
          <w:szCs w:val="20"/>
          <w:color w:val="auto"/>
        </w:rPr>
      </w:pPr>
    </w:p>
    <w:p>
      <w:pPr>
        <w:ind w:left="432"/>
        <w:spacing w:after="0"/>
        <w:rPr>
          <w:sz w:val="20"/>
          <w:szCs w:val="20"/>
          <w:color w:val="auto"/>
        </w:rPr>
      </w:pPr>
      <w:r>
        <w:rPr>
          <w:rFonts w:ascii="Arial" w:cs="Arial" w:eastAsia="Arial" w:hAnsi="Arial"/>
          <w:sz w:val="16"/>
          <w:szCs w:val="16"/>
          <w:color w:val="auto"/>
        </w:rPr>
        <w:t>(iv)Shared power to dispose or to direct the disposition of:</w:t>
      </w:r>
    </w:p>
    <w:p>
      <w:pPr>
        <w:spacing w:after="0" w:line="46" w:lineRule="exact"/>
        <w:rPr>
          <w:sz w:val="20"/>
          <w:szCs w:val="20"/>
          <w:color w:val="auto"/>
        </w:rPr>
      </w:pPr>
    </w:p>
    <w:p>
      <w:pPr>
        <w:ind w:left="672"/>
        <w:spacing w:after="0"/>
        <w:rPr>
          <w:sz w:val="20"/>
          <w:szCs w:val="20"/>
          <w:color w:val="auto"/>
        </w:rPr>
      </w:pPr>
      <w:r>
        <w:rPr>
          <w:rFonts w:ascii="Arial" w:cs="Arial" w:eastAsia="Arial" w:hAnsi="Arial"/>
          <w:sz w:val="18"/>
          <w:szCs w:val="18"/>
          <w:color w:val="auto"/>
        </w:rPr>
        <w:t>D. E. Shaw Galvanic Portfolios, L.L.C.:</w:t>
      </w:r>
    </w:p>
    <w:p>
      <w:pPr>
        <w:spacing w:after="0" w:line="9" w:lineRule="exact"/>
        <w:rPr>
          <w:sz w:val="20"/>
          <w:szCs w:val="20"/>
          <w:color w:val="auto"/>
        </w:rPr>
      </w:pPr>
    </w:p>
    <w:p>
      <w:pPr>
        <w:ind w:left="672"/>
        <w:spacing w:after="0"/>
        <w:rPr>
          <w:sz w:val="20"/>
          <w:szCs w:val="20"/>
          <w:color w:val="auto"/>
        </w:rPr>
      </w:pPr>
      <w:r>
        <w:rPr>
          <w:rFonts w:ascii="Arial" w:cs="Arial" w:eastAsia="Arial" w:hAnsi="Arial"/>
          <w:sz w:val="18"/>
          <w:szCs w:val="18"/>
          <w:color w:val="auto"/>
        </w:rPr>
        <w:t>D. E. Shaw Manager II, L.L.C.:</w:t>
      </w:r>
    </w:p>
    <w:p>
      <w:pPr>
        <w:spacing w:after="0" w:line="9" w:lineRule="exact"/>
        <w:rPr>
          <w:sz w:val="20"/>
          <w:szCs w:val="20"/>
          <w:color w:val="auto"/>
        </w:rPr>
      </w:pPr>
    </w:p>
    <w:p>
      <w:pPr>
        <w:ind w:left="672"/>
        <w:spacing w:after="0"/>
        <w:rPr>
          <w:sz w:val="20"/>
          <w:szCs w:val="20"/>
          <w:color w:val="auto"/>
        </w:rPr>
      </w:pPr>
      <w:r>
        <w:rPr>
          <w:rFonts w:ascii="Arial" w:cs="Arial" w:eastAsia="Arial" w:hAnsi="Arial"/>
          <w:sz w:val="18"/>
          <w:szCs w:val="18"/>
          <w:color w:val="auto"/>
        </w:rPr>
        <w:t>D. E. Shaw Adviser II, L.L.C.:</w:t>
      </w:r>
    </w:p>
    <w:p>
      <w:pPr>
        <w:spacing w:after="0" w:line="9" w:lineRule="exact"/>
        <w:rPr>
          <w:sz w:val="20"/>
          <w:szCs w:val="20"/>
          <w:color w:val="auto"/>
        </w:rPr>
      </w:pPr>
    </w:p>
    <w:p>
      <w:pPr>
        <w:ind w:left="672"/>
        <w:spacing w:after="0"/>
        <w:rPr>
          <w:sz w:val="20"/>
          <w:szCs w:val="20"/>
          <w:color w:val="auto"/>
        </w:rPr>
      </w:pPr>
      <w:r>
        <w:rPr>
          <w:rFonts w:ascii="Arial" w:cs="Arial" w:eastAsia="Arial" w:hAnsi="Arial"/>
          <w:sz w:val="18"/>
          <w:szCs w:val="18"/>
          <w:color w:val="auto"/>
        </w:rPr>
        <w:t>D. E. Shaw &amp; Co., L.L.C.:</w:t>
      </w:r>
    </w:p>
    <w:p>
      <w:pPr>
        <w:spacing w:after="0" w:line="9" w:lineRule="exact"/>
        <w:rPr>
          <w:sz w:val="20"/>
          <w:szCs w:val="20"/>
          <w:color w:val="auto"/>
        </w:rPr>
      </w:pPr>
    </w:p>
    <w:p>
      <w:pPr>
        <w:ind w:left="672"/>
        <w:spacing w:after="0"/>
        <w:rPr>
          <w:sz w:val="20"/>
          <w:szCs w:val="20"/>
          <w:color w:val="auto"/>
        </w:rPr>
      </w:pPr>
      <w:r>
        <w:rPr>
          <w:rFonts w:ascii="Arial" w:cs="Arial" w:eastAsia="Arial" w:hAnsi="Arial"/>
          <w:sz w:val="18"/>
          <w:szCs w:val="18"/>
          <w:color w:val="auto"/>
        </w:rPr>
        <w:t>D. E. Shaw &amp; Co., L.P.:</w:t>
      </w:r>
    </w:p>
    <w:p>
      <w:pPr>
        <w:spacing w:after="0" w:line="9" w:lineRule="exact"/>
        <w:rPr>
          <w:sz w:val="20"/>
          <w:szCs w:val="20"/>
          <w:color w:val="auto"/>
        </w:rPr>
      </w:pPr>
    </w:p>
    <w:p>
      <w:pPr>
        <w:ind w:left="672"/>
        <w:spacing w:after="0"/>
        <w:rPr>
          <w:sz w:val="20"/>
          <w:szCs w:val="20"/>
          <w:color w:val="auto"/>
        </w:rPr>
      </w:pPr>
      <w:r>
        <w:rPr>
          <w:rFonts w:ascii="Arial" w:cs="Arial" w:eastAsia="Arial" w:hAnsi="Arial"/>
          <w:sz w:val="18"/>
          <w:szCs w:val="18"/>
          <w:color w:val="auto"/>
        </w:rPr>
        <w:t>David E. Shaw: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4,727,513 shares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is composed of (i) 4,538,755 shares in the name of D. E. Shaw Galvanic Portfolios, L.L.C. and (ii) 188,758 shares that D. E. Shaw Galvanic Portfolios, L.L.C. has the right to acquire upon exercise of warrants.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4,727,513 shares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is composed of (i) 4,538,755 shares in the name of D. E. Shaw Galvanic Portfolios, L.L.C. and (ii) 188,758 shares that D. E. Shaw Galvanic Portfolios, L.L.C. has the right to acquire upon exercise of warrants.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4,727,513 shares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is composed of (i) 4,538,755 shares in the name of D. E. Shaw Galvanic Portfolios, L.L.C. and (ii) 188,758 shares that D. E. Shaw Galvanic Portfolios, L.L.C. has the right to acquire upon exercise of warrants.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6.7%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6.7%</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-0- shares</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-0- shares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-0- shares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-0- shares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-0- shares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-0- shares</w:t>
      </w:r>
    </w:p>
    <w:p>
      <w:pPr>
        <w:spacing w:after="0" w:line="200" w:lineRule="exact"/>
        <w:rPr>
          <w:sz w:val="20"/>
          <w:szCs w:val="20"/>
          <w:color w:val="auto"/>
        </w:rPr>
      </w:pPr>
    </w:p>
    <w:p>
      <w:pPr>
        <w:spacing w:after="0" w:line="2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4,727,513 shares</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4,727,513 shares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4,727,513 shares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4,727,513 shares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4,727,513 shares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4,727,513 shares</w:t>
      </w:r>
    </w:p>
    <w:p>
      <w:pPr>
        <w:spacing w:after="0" w:line="200" w:lineRule="exact"/>
        <w:rPr>
          <w:sz w:val="20"/>
          <w:szCs w:val="20"/>
          <w:color w:val="auto"/>
        </w:rPr>
      </w:pPr>
    </w:p>
    <w:p>
      <w:pPr>
        <w:spacing w:after="0" w:line="2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-0- shares</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-0- shares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-0- shares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-0- shares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-0- shares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-0- shares</w:t>
      </w:r>
    </w:p>
    <w:p>
      <w:pPr>
        <w:spacing w:after="0" w:line="200" w:lineRule="exact"/>
        <w:rPr>
          <w:sz w:val="20"/>
          <w:szCs w:val="20"/>
          <w:color w:val="auto"/>
        </w:rPr>
      </w:pPr>
    </w:p>
    <w:p>
      <w:pPr>
        <w:spacing w:after="0" w:line="2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4,727,513 shares</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4,727,513 shares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4,727,513 shares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4,727,513 shares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4,727,513 shares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4,727,513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434340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5132" w:space="720"/>
            <w:col w:w="4900"/>
          </w:cols>
          <w:pgMar w:left="328" w:top="935" w:right="819" w:bottom="1440" w:gutter="0" w:footer="0" w:header="0"/>
        </w:sectPr>
      </w:pPr>
    </w:p>
    <w:bookmarkStart w:id="9" w:name="page10"/>
    <w:bookmarkEnd w:id="9"/>
    <w:p>
      <w:pPr>
        <w:ind w:right="60"/>
        <w:spacing w:after="0" w:line="291" w:lineRule="auto"/>
        <w:rPr>
          <w:sz w:val="20"/>
          <w:szCs w:val="20"/>
          <w:color w:val="auto"/>
        </w:rPr>
      </w:pPr>
      <w:r>
        <w:rPr>
          <w:rFonts w:ascii="Arial" w:cs="Arial" w:eastAsia="Arial" w:hAnsi="Arial"/>
          <w:sz w:val="16"/>
          <w:szCs w:val="16"/>
          <w:color w:val="auto"/>
        </w:rPr>
        <w:t>David E. Shaw does not own any shares directly. By virtue of David E. Shaw’s position as President and sole shareholder of D. E. Shaw &amp; Co., Inc., which is the general partner of D. E. Shaw &amp; Co., L.P., which in turn is the managing member of D. E. Shaw Adviser II, L.L.C., which in turn is the investment adviser of D. E. Shaw Galvanic Portfolios, L.L.C., and by virtue of David E. Shaw’s position as President and sole shareholder of D. E. Shaw &amp; Co. II, Inc., which is the managing member of D. E. Shaw &amp; Co., L.L.C., which in turn is the managing member of D. E. Shaw Manager II, L.L.C., which in turn is the manager of D. E. Shaw Galvanic Portfolios, L.L.C., David E. Shaw may be deemed to have the shared power to vote or direct the vote of, and the shared power to dispose or direct the disposition of, the 4,727,513 shares as described above constituting 6.7% of the outstanding shares and, therefore, David E. Shaw may be deemed to be the beneficial owner of such shares. David E. Shaw disclaims beneficial ownership of such 4,727,513 shares.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20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040" w:type="dxa"/>
            <w:vAlign w:val="bottom"/>
          </w:tcPr>
          <w:p>
            <w:pPr>
              <w:ind w:left="100"/>
              <w:spacing w:after="0"/>
              <w:rPr>
                <w:sz w:val="20"/>
                <w:szCs w:val="20"/>
                <w:color w:val="auto"/>
              </w:rPr>
            </w:pPr>
            <w:r>
              <w:rPr>
                <w:rFonts w:ascii="Arial" w:cs="Arial" w:eastAsia="Arial" w:hAnsi="Arial"/>
                <w:sz w:val="18"/>
                <w:szCs w:val="18"/>
                <w:b w:val="1"/>
                <w:bCs w:val="1"/>
                <w:color w:val="auto"/>
              </w:rPr>
              <w:t>Ownership of Five Percent or Less of a Class</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Not Applicable</w:t>
            </w:r>
          </w:p>
        </w:tc>
        <w:tc>
          <w:tcPr>
            <w:tcW w:w="10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040" w:type="dxa"/>
            <w:vAlign w:val="bottom"/>
          </w:tcPr>
          <w:p>
            <w:pPr>
              <w:ind w:left="10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Not Applicable</w:t>
            </w:r>
          </w:p>
        </w:tc>
        <w:tc>
          <w:tcPr>
            <w:tcW w:w="10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20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040" w:type="dxa"/>
            <w:vAlign w:val="bottom"/>
          </w:tcPr>
          <w:p>
            <w:pPr>
              <w:ind w:left="100"/>
              <w:spacing w:after="0"/>
              <w:rPr>
                <w:sz w:val="20"/>
                <w:szCs w:val="20"/>
                <w:color w:val="auto"/>
              </w:rPr>
            </w:pPr>
            <w:r>
              <w:rPr>
                <w:rFonts w:ascii="Arial" w:cs="Arial" w:eastAsia="Arial" w:hAnsi="Arial"/>
                <w:sz w:val="18"/>
                <w:szCs w:val="18"/>
                <w:b w:val="1"/>
                <w:bCs w:val="1"/>
                <w:color w:val="auto"/>
                <w:w w:val="96"/>
              </w:rPr>
              <w:t>Identification and Classification of the Subsidiary Which Acquired the Security Being Reported on By the Parent Holding</w:t>
            </w:r>
          </w:p>
        </w:tc>
        <w:tc>
          <w:tcPr>
            <w:tcW w:w="0" w:type="dxa"/>
            <w:vAlign w:val="bottom"/>
          </w:tcPr>
          <w:p>
            <w:pPr>
              <w:spacing w:after="0"/>
              <w:rPr>
                <w:sz w:val="1"/>
                <w:szCs w:val="1"/>
                <w:color w:val="auto"/>
              </w:rPr>
            </w:pPr>
          </w:p>
        </w:tc>
      </w:tr>
      <w:tr>
        <w:trPr>
          <w:trHeight w:val="234"/>
        </w:trPr>
        <w:tc>
          <w:tcPr>
            <w:tcW w:w="1200" w:type="dxa"/>
            <w:vAlign w:val="bottom"/>
            <w:vMerge w:val="restart"/>
          </w:tcPr>
          <w:p>
            <w:pPr>
              <w:spacing w:after="0"/>
              <w:rPr>
                <w:sz w:val="20"/>
                <w:szCs w:val="20"/>
                <w:color w:val="auto"/>
              </w:rPr>
            </w:pPr>
            <w:r>
              <w:rPr>
                <w:rFonts w:ascii="Arial" w:cs="Arial" w:eastAsia="Arial" w:hAnsi="Arial"/>
                <w:sz w:val="18"/>
                <w:szCs w:val="18"/>
                <w:color w:val="auto"/>
              </w:rPr>
              <w:t>Not Applicable</w:t>
            </w:r>
          </w:p>
        </w:tc>
        <w:tc>
          <w:tcPr>
            <w:tcW w:w="10040" w:type="dxa"/>
            <w:vAlign w:val="bottom"/>
          </w:tcPr>
          <w:p>
            <w:pPr>
              <w:ind w:left="100"/>
              <w:spacing w:after="0"/>
              <w:rPr>
                <w:sz w:val="20"/>
                <w:szCs w:val="20"/>
                <w:color w:val="auto"/>
              </w:rPr>
            </w:pPr>
            <w:r>
              <w:rPr>
                <w:rFonts w:ascii="Arial" w:cs="Arial" w:eastAsia="Arial" w:hAnsi="Arial"/>
                <w:sz w:val="18"/>
                <w:szCs w:val="18"/>
                <w:b w:val="1"/>
                <w:bCs w:val="1"/>
                <w:color w:val="auto"/>
              </w:rPr>
              <w:t>Company or Control Person.</w:t>
            </w:r>
          </w:p>
        </w:tc>
        <w:tc>
          <w:tcPr>
            <w:tcW w:w="0" w:type="dxa"/>
            <w:vAlign w:val="bottom"/>
          </w:tcPr>
          <w:p>
            <w:pPr>
              <w:spacing w:after="0"/>
              <w:rPr>
                <w:sz w:val="1"/>
                <w:szCs w:val="1"/>
                <w:color w:val="auto"/>
              </w:rPr>
            </w:pPr>
          </w:p>
        </w:tc>
      </w:tr>
      <w:tr>
        <w:trPr>
          <w:trHeight w:val="216"/>
        </w:trPr>
        <w:tc>
          <w:tcPr>
            <w:tcW w:w="1200" w:type="dxa"/>
            <w:vAlign w:val="bottom"/>
            <w:vMerge w:val="continue"/>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120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040" w:type="dxa"/>
            <w:vAlign w:val="bottom"/>
          </w:tcPr>
          <w:p>
            <w:pPr>
              <w:ind w:left="100"/>
              <w:spacing w:after="0"/>
              <w:rPr>
                <w:sz w:val="20"/>
                <w:szCs w:val="20"/>
                <w:color w:val="auto"/>
              </w:rPr>
            </w:pPr>
            <w:r>
              <w:rPr>
                <w:rFonts w:ascii="Arial" w:cs="Arial" w:eastAsia="Arial" w:hAnsi="Arial"/>
                <w:sz w:val="18"/>
                <w:szCs w:val="18"/>
                <w:b w:val="1"/>
                <w:bCs w:val="1"/>
                <w:color w:val="auto"/>
              </w:rPr>
              <w:t>Identification and Classification of Members of the Group</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Not Applicable</w:t>
            </w:r>
          </w:p>
        </w:tc>
        <w:tc>
          <w:tcPr>
            <w:tcW w:w="10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0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10040" w:type="dxa"/>
            <w:vAlign w:val="bottom"/>
          </w:tcPr>
          <w:p>
            <w:pPr>
              <w:ind w:left="100"/>
              <w:spacing w:after="0"/>
              <w:rPr>
                <w:sz w:val="20"/>
                <w:szCs w:val="20"/>
                <w:color w:val="auto"/>
              </w:rPr>
            </w:pPr>
            <w:r>
              <w:rPr>
                <w:rFonts w:ascii="Arial" w:cs="Arial" w:eastAsia="Arial" w:hAnsi="Arial"/>
                <w:sz w:val="18"/>
                <w:szCs w:val="18"/>
                <w:b w:val="1"/>
                <w:bCs w:val="1"/>
                <w:color w:val="auto"/>
              </w:rPr>
              <w:t>Notice of Dissolution of Group</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Not Applicable</w:t>
            </w:r>
          </w:p>
        </w:tc>
        <w:tc>
          <w:tcPr>
            <w:tcW w:w="10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0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10040" w:type="dxa"/>
            <w:vAlign w:val="bottom"/>
          </w:tcPr>
          <w:p>
            <w:pPr>
              <w:ind w:left="100"/>
              <w:spacing w:after="0"/>
              <w:rPr>
                <w:sz w:val="20"/>
                <w:szCs w:val="20"/>
                <w:color w:val="auto"/>
              </w:rPr>
            </w:pPr>
            <w:r>
              <w:rPr>
                <w:rFonts w:ascii="Arial" w:cs="Arial" w:eastAsia="Arial" w:hAnsi="Arial"/>
                <w:sz w:val="18"/>
                <w:szCs w:val="18"/>
                <w:b w:val="1"/>
                <w:bCs w:val="1"/>
                <w:color w:val="auto"/>
              </w:rPr>
              <w:t>Certification</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Not Applicable</w:t>
            </w:r>
          </w:p>
        </w:tc>
        <w:tc>
          <w:tcPr>
            <w:tcW w:w="10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120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After reasonable inquiry and to the best of their knowledge and belief, the undersigned certify that the information set forth in this statement is true, complete and correct. Powers of Attorney, dated March 1, 2017, granted by David E. Shaw in favor of Nathan Thomas, are attached hereto.</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2022</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 E. Shaw Galvanic Portfolios,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Nathan Thomas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Nathan Thomas</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 E. Shaw Manager II,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Nathan Thomas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Nathan Thomas</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 E. Shaw Adviser II,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Nathan Thomas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Nathan Thomas</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Compliance Officer</w:t>
      </w: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 E. Shaw &amp; Co.,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Nathan Thomas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Nathan Thomas</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 E. Shaw &amp; Co., L.P.</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Nathan Thomas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Nathan Thomas</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Compliance Officer</w:t>
      </w: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David E. Shaw</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Nathan Thomas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Nathan Thomas</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Attorney-in-Fact for David E. 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40"/>
          </w:cols>
          <w:pgMar w:left="320" w:top="904" w:right="939" w:bottom="1440" w:gutter="0" w:footer="0" w:header="0"/>
        </w:sectPr>
      </w:pPr>
    </w:p>
    <w:bookmarkStart w:id="11" w:name="page12"/>
    <w:bookmarkEnd w:id="11"/>
    <w:p>
      <w:pPr>
        <w:jc w:val="center"/>
        <w:ind w:right="-59"/>
        <w:spacing w:after="0"/>
        <w:rPr>
          <w:sz w:val="20"/>
          <w:szCs w:val="20"/>
          <w:color w:val="auto"/>
        </w:rPr>
      </w:pPr>
      <w:r>
        <w:rPr>
          <w:rFonts w:ascii="Arial" w:cs="Arial" w:eastAsia="Arial" w:hAnsi="Arial"/>
          <w:sz w:val="18"/>
          <w:szCs w:val="18"/>
          <w:b w:val="1"/>
          <w:bCs w:val="1"/>
          <w:u w:val="single" w:color="auto"/>
          <w:color w:val="auto"/>
        </w:rPr>
        <w:t>Exhibit 1</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POWER OF ATTORNEY</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FOR CERTAIN REGULATORY FILINGS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INCLUDING CERTAIN FILINGS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UNDER THE SECURITIES EXCHANGE ACT OF 1934</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AND THE INVESTMENT ADVISERS ACT OF 1940</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David E. Shaw, hereby make, constitute, and appoint each 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Edward Fishman,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Julius Gaudio,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Martin Lebwohl,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Maximilian Stone,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David Sweet,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Nathan Thomas,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Eric Wepsic,</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acting individually, as my agent and attorney-in-fact, with full power of substitution, for the purpose of, from time to time, (i) executing in my name and/or my capacity as President of D. E. Shaw &amp; Co., Inc. (acting for itself or as the general partner of D. E. Shaw &amp; Co., L.P. and general partner, managing member, or manager of other entities, any of which in turn may be acting for itself or other entities) all documents, certificates, instruments, statements, other filings, and amendments to the foregoing (collectively, “documents”) determined by such person to be necessary or appropriate to comply with any registration or regulatory disclosure requirements and/or ownership or control-person reporting requirements imposed by any United States or non-United States governmental or regulatory authority, including without limitation Form ADV, Forms 3, 4, 5, and 13F, and Schedules 13D and 13G required to be filed with the United States Securities and Exchange Commission, and (ii) delivering, furnishing, or filing any such documents to or with the appropriate governmental or regulatory authority. Any such determination shall be conclusively evidenced by such person’s execution, delivery, furnishing, and/or filing of the applicable document.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This power of attorney shall be valid from the date hereof and replaces the power granted on January 1, 2017, which is hereby cancelled.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WITNESS HEREOF, I have executed this instrument as of the date set forth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E. SHAW, as President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 E. Shaw &amp; Co.,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 David E. Shaw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u w:val="single" w:color="auto"/>
          <w:color w:val="auto"/>
        </w:rPr>
        <w:t>Exhibit 2</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POWER OF ATTORNEY</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 CERTAIN REGULATORY FILINGS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INCLUDING CERTAIN FILINGS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UNDER THE SECURITIES EXCHANGE ACT OF 1934</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AND THE INVESTMENT ADVISERS ACT OF 1940</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David E. Shaw, hereby make, constitute, and appoint each 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Edward Fishman,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Julius Gaudio,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Martin Lebwohl,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Maximilian Stone,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David Sweet,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Nathan Thomas,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Eric Wepsic,</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acting individually, as my agent and attorney-in-fact, with full power of substitution, for the purpose of, from time to time, (i) executing in my name and/or my capacity as President of D. E. Shaw &amp; Co. II, Inc. (acting for itself or as the managing member of D. E. Shaw &amp; Co., L.L.C. and general partner, managing member, or manager of other entities, any of which in turn may be acting for itself or other entities) all documents, certificates, instruments, statements, other filings, and amendments to the foregoing (collectively, “documents”) determined by such person to be necessary or appropriate to comply with any registration or regulatory disclosure requirements and/or ownership or control-person reporting requirements imposed by any United States or non-United States governmental or regulatory authority, including without limitation Form ADV, Forms 3, 4, 5, and 13F, and Schedules 13D and 13G required to be filed with the United States Securities and Exchange Commission, and (ii) delivering, furnishing, or filing any such documents to or with the appropriate governmental or regulatory authority. Any such determination shall be conclusively evidenced by such person’s execution, delivery, furnishing, and/or filing of the applicable document.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This power of attorney shall be valid from the date hereof and replaces the power granted on January 1, 2017, which is hereby cancelled.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WITNESS HEREOF, I have executed this instrument as of the date set forth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E. SHAW, as President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 E. Shaw &amp; Co. 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 David E. Shaw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13" w:name="page14"/>
    <w:bookmarkEnd w:id="13"/>
    <w:p>
      <w:pPr>
        <w:jc w:val="center"/>
        <w:ind w:right="-139"/>
        <w:spacing w:after="0"/>
        <w:rPr>
          <w:sz w:val="20"/>
          <w:szCs w:val="20"/>
          <w:color w:val="auto"/>
        </w:rPr>
      </w:pPr>
      <w:r>
        <w:rPr>
          <w:rFonts w:ascii="Arial" w:cs="Arial" w:eastAsia="Arial" w:hAnsi="Arial"/>
          <w:sz w:val="18"/>
          <w:szCs w:val="18"/>
          <w:b w:val="1"/>
          <w:bCs w:val="1"/>
          <w:u w:val="single" w:color="auto"/>
          <w:color w:val="auto"/>
        </w:rPr>
        <w:t>Exhibit 3</w:t>
      </w:r>
    </w:p>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accordance with Rule 13d-1(k)(1) under the Securities Exchange Act of 1934, as amended, each of the undersigned Reporting Persons hereby agrees to the joint filing, along with all other such Reporting Persons, on behalf of each of them of a statement on Schedule 13G (including amendments thereto) with respect to the Ordinary Shares, $0.001 par value, of Weatherford International plc, and that this Agreement be included as an Exhibit to such joint filing. This Agreement may be executed in any number of counterparts, all of which taken together shall constitute one and the same instrument.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each of the undersigned hereby executes this Agreement as of this 14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February, 2022.</w:t>
      </w:r>
    </w:p>
    <w:p>
      <w:pPr>
        <w:spacing w:after="0" w:line="35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 E. Shaw Galvanic Portfolios,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Nathan Thomas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Nathan Thomas</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 E. Shaw Manager II,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Nathan Thomas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Nathan Thomas</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 E. Shaw Adviser II,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Nathan Thomas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Nathan Thomas</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Compliance Officer</w:t>
      </w: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 E. Shaw &amp; Co.,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Nathan Thomas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Nathan Thomas</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 E. Shaw &amp; Co., L.P.</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Nathan Thomas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Nathan Thomas</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Compliance Officer</w:t>
      </w: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David E. Shaw</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Nathan Thomas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Nathan Thomas</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Attorney-in-Fact for David E. 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100"/>
      </w:cols>
      <w:pgMar w:left="320" w:top="36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1."/>
      <w:numFmt w:val="decimal"/>
      <w:start w:val="1"/>
    </w:lvl>
  </w:abstractNum>
  <w:abstractNum w:abstractNumId="2">
    <w:nsid w:val="79838CB2"/>
    <w:multiLevelType w:val="hybridMultilevel"/>
    <w:lvl w:ilvl="0">
      <w:lvlJc w:val="left"/>
      <w:lvlText w:val="%1"/>
      <w:numFmt w:val="decimal"/>
      <w:start w:val="1"/>
    </w:lvl>
    <w:lvl w:ilvl="1">
      <w:lvlJc w:val="left"/>
      <w:lvlText w:val="(%2)"/>
      <w:numFmt w:val="lowerLetter"/>
      <w:start w:val="1"/>
    </w:lvl>
  </w:abstractNum>
  <w:abstractNum w:abstractNumId="3">
    <w:nsid w:val="4353D0CD"/>
    <w:multiLevelType w:val="hybridMultilevel"/>
    <w:lvl w:ilvl="0">
      <w:lvlJc w:val="left"/>
      <w:lvlText w:val="%1."/>
      <w:numFmt w:val="decimal"/>
      <w:start w:val="3"/>
    </w:lvl>
    <w:lvl w:ilvl="1">
      <w:lvlJc w:val="left"/>
      <w:lvlText w:val="%2"/>
      <w:numFmt w:val="lowerLetter"/>
      <w:start w:val="1"/>
    </w:lvl>
  </w:abstractNum>
  <w:abstractNum w:abstractNumId="4">
    <w:nsid w:val="B03E0C6"/>
    <w:multiLevelType w:val="hybridMultilevel"/>
    <w:lvl w:ilvl="0">
      <w:lvlJc w:val="left"/>
      <w:lvlText w:val="%1"/>
      <w:numFmt w:val="decimal"/>
      <w:start w:val="1"/>
    </w:lvl>
    <w:lvl w:ilvl="1">
      <w:lvlJc w:val="left"/>
      <w:lvlText w:val="%2."/>
      <w:numFmt w:val="decimal"/>
      <w:start w:val="6"/>
    </w:lvl>
  </w:abstractNum>
  <w:abstractNum w:abstractNumId="5">
    <w:nsid w:val="189A769B"/>
    <w:multiLevelType w:val="hybridMultilevel"/>
    <w:lvl w:ilvl="0">
      <w:lvlJc w:val="left"/>
      <w:lvlText w:val="%1."/>
      <w:numFmt w:val="decimal"/>
      <w:start w:val="9"/>
    </w:lvl>
    <w:lvl w:ilvl="1">
      <w:lvlJc w:val="left"/>
      <w:lvlText w:val="%2"/>
      <w:numFmt w:val="decimal"/>
      <w:start w:val="1"/>
    </w:lvl>
  </w:abstractNum>
  <w:abstractNum w:abstractNumId="6">
    <w:nsid w:val="54E49EB4"/>
    <w:multiLevelType w:val="hybridMultilevel"/>
    <w:lvl w:ilvl="0">
      <w:lvlJc w:val="left"/>
      <w:lvlText w:val="1"/>
      <w:numFmt w:val="bullet"/>
      <w:start w:val="1"/>
    </w:lvl>
  </w:abstractNum>
  <w:abstractNum w:abstractNumId="7">
    <w:nsid w:val="71F32454"/>
    <w:multiLevelType w:val="hybridMultilevel"/>
    <w:lvl w:ilvl="0">
      <w:lvlJc w:val="left"/>
      <w:lvlText w:val="2"/>
      <w:numFmt w:val="bullet"/>
      <w:start w:val="1"/>
    </w:lvl>
  </w:abstractNum>
  <w:abstractNum w:abstractNumId="8">
    <w:nsid w:val="2CA88611"/>
    <w:multiLevelType w:val="hybridMultilevel"/>
    <w:lvl w:ilvl="0">
      <w:lvlJc w:val="left"/>
      <w:lvlText w:val="%1."/>
      <w:numFmt w:val="decimal"/>
      <w:start w:val="1"/>
    </w:lvl>
  </w:abstractNum>
  <w:abstractNum w:abstractNumId="9">
    <w:nsid w:val="836C40E"/>
    <w:multiLevelType w:val="hybridMultilevel"/>
    <w:lvl w:ilvl="0">
      <w:lvlJc w:val="left"/>
      <w:lvlText w:val="%1"/>
      <w:numFmt w:val="decimal"/>
      <w:start w:val="1"/>
    </w:lvl>
    <w:lvl w:ilvl="1">
      <w:lvlJc w:val="left"/>
      <w:lvlText w:val="(%2)"/>
      <w:numFmt w:val="lowerLetter"/>
      <w:start w:val="1"/>
    </w:lvl>
  </w:abstractNum>
  <w:abstractNum w:abstractNumId="10">
    <w:nsid w:val="2901D82"/>
    <w:multiLevelType w:val="hybridMultilevel"/>
    <w:lvl w:ilvl="0">
      <w:lvlJc w:val="left"/>
      <w:lvlText w:val="%1."/>
      <w:numFmt w:val="decimal"/>
      <w:start w:val="3"/>
    </w:lvl>
    <w:lvl w:ilvl="1">
      <w:lvlJc w:val="left"/>
      <w:lvlText w:val="%2"/>
      <w:numFmt w:val="lowerLetter"/>
      <w:start w:val="1"/>
    </w:lvl>
  </w:abstractNum>
  <w:abstractNum w:abstractNumId="11">
    <w:nsid w:val="3A95F874"/>
    <w:multiLevelType w:val="hybridMultilevel"/>
    <w:lvl w:ilvl="0">
      <w:lvlJc w:val="left"/>
      <w:lvlText w:val="%1"/>
      <w:numFmt w:val="decimal"/>
      <w:start w:val="1"/>
    </w:lvl>
    <w:lvl w:ilvl="1">
      <w:lvlJc w:val="left"/>
      <w:lvlText w:val="%2."/>
      <w:numFmt w:val="decimal"/>
      <w:start w:val="6"/>
    </w:lvl>
  </w:abstractNum>
  <w:abstractNum w:abstractNumId="12">
    <w:nsid w:val="8138641"/>
    <w:multiLevelType w:val="hybridMultilevel"/>
    <w:lvl w:ilvl="0">
      <w:lvlJc w:val="left"/>
      <w:lvlText w:val="%1."/>
      <w:numFmt w:val="decimal"/>
      <w:start w:val="9"/>
    </w:lvl>
    <w:lvl w:ilvl="1">
      <w:lvlJc w:val="left"/>
      <w:lvlText w:val="%2"/>
      <w:numFmt w:val="decimal"/>
      <w:start w:val="1"/>
    </w:lvl>
  </w:abstractNum>
  <w:abstractNum w:abstractNumId="13">
    <w:nsid w:val="1E7FF521"/>
    <w:multiLevelType w:val="hybridMultilevel"/>
    <w:lvl w:ilvl="0">
      <w:lvlJc w:val="left"/>
      <w:lvlText w:val="1"/>
      <w:numFmt w:val="bullet"/>
      <w:start w:val="1"/>
    </w:lvl>
  </w:abstractNum>
  <w:abstractNum w:abstractNumId="14">
    <w:nsid w:val="7C3DBD3D"/>
    <w:multiLevelType w:val="hybridMultilevel"/>
    <w:lvl w:ilvl="0">
      <w:lvlJc w:val="left"/>
      <w:lvlText w:val="2"/>
      <w:numFmt w:val="bullet"/>
      <w:start w:val="1"/>
    </w:lvl>
  </w:abstractNum>
  <w:abstractNum w:abstractNumId="15">
    <w:nsid w:val="737B8DDC"/>
    <w:multiLevelType w:val="hybridMultilevel"/>
    <w:lvl w:ilvl="0">
      <w:lvlJc w:val="left"/>
      <w:lvlText w:val="%1."/>
      <w:numFmt w:val="decimal"/>
      <w:start w:val="1"/>
    </w:lvl>
  </w:abstractNum>
  <w:abstractNum w:abstractNumId="16">
    <w:nsid w:val="6CEAF087"/>
    <w:multiLevelType w:val="hybridMultilevel"/>
    <w:lvl w:ilvl="0">
      <w:lvlJc w:val="left"/>
      <w:lvlText w:val="%1"/>
      <w:numFmt w:val="decimal"/>
      <w:start w:val="1"/>
    </w:lvl>
    <w:lvl w:ilvl="1">
      <w:lvlJc w:val="left"/>
      <w:lvlText w:val="(%2)"/>
      <w:numFmt w:val="lowerLetter"/>
      <w:start w:val="1"/>
    </w:lvl>
  </w:abstractNum>
  <w:abstractNum w:abstractNumId="17">
    <w:nsid w:val="22221A70"/>
    <w:multiLevelType w:val="hybridMultilevel"/>
    <w:lvl w:ilvl="0">
      <w:lvlJc w:val="left"/>
      <w:lvlText w:val="%1."/>
      <w:numFmt w:val="decimal"/>
      <w:start w:val="3"/>
    </w:lvl>
    <w:lvl w:ilvl="1">
      <w:lvlJc w:val="left"/>
      <w:lvlText w:val="%2"/>
      <w:numFmt w:val="lowerLetter"/>
      <w:start w:val="1"/>
    </w:lvl>
  </w:abstractNum>
  <w:abstractNum w:abstractNumId="18">
    <w:nsid w:val="4516DDE9"/>
    <w:multiLevelType w:val="hybridMultilevel"/>
    <w:lvl w:ilvl="0">
      <w:lvlJc w:val="left"/>
      <w:lvlText w:val="%1"/>
      <w:numFmt w:val="decimal"/>
      <w:start w:val="1"/>
    </w:lvl>
    <w:lvl w:ilvl="1">
      <w:lvlJc w:val="left"/>
      <w:lvlText w:val="%2."/>
      <w:numFmt w:val="decimal"/>
      <w:start w:val="6"/>
    </w:lvl>
  </w:abstractNum>
  <w:abstractNum w:abstractNumId="19">
    <w:nsid w:val="3006C83E"/>
    <w:multiLevelType w:val="hybridMultilevel"/>
    <w:lvl w:ilvl="0">
      <w:lvlJc w:val="left"/>
      <w:lvlText w:val="%1."/>
      <w:numFmt w:val="decimal"/>
      <w:start w:val="9"/>
    </w:lvl>
    <w:lvl w:ilvl="1">
      <w:lvlJc w:val="left"/>
      <w:lvlText w:val="%2"/>
      <w:numFmt w:val="decimal"/>
      <w:start w:val="1"/>
    </w:lvl>
  </w:abstractNum>
  <w:abstractNum w:abstractNumId="20">
    <w:nsid w:val="614FD4A1"/>
    <w:multiLevelType w:val="hybridMultilevel"/>
    <w:lvl w:ilvl="0">
      <w:lvlJc w:val="left"/>
      <w:lvlText w:val="1"/>
      <w:numFmt w:val="bullet"/>
      <w:start w:val="1"/>
    </w:lvl>
  </w:abstractNum>
  <w:abstractNum w:abstractNumId="21">
    <w:nsid w:val="419AC241"/>
    <w:multiLevelType w:val="hybridMultilevel"/>
    <w:lvl w:ilvl="0">
      <w:lvlJc w:val="left"/>
      <w:lvlText w:val="2"/>
      <w:numFmt w:val="bullet"/>
      <w:start w:val="1"/>
    </w:lvl>
  </w:abstractNum>
  <w:abstractNum w:abstractNumId="22">
    <w:nsid w:val="5577F8E1"/>
    <w:multiLevelType w:val="hybridMultilevel"/>
    <w:lvl w:ilvl="0">
      <w:lvlJc w:val="left"/>
      <w:lvlText w:val="%1."/>
      <w:numFmt w:val="decimal"/>
      <w:start w:val="1"/>
    </w:lvl>
  </w:abstractNum>
  <w:abstractNum w:abstractNumId="23">
    <w:nsid w:val="440BADFC"/>
    <w:multiLevelType w:val="hybridMultilevel"/>
    <w:lvl w:ilvl="0">
      <w:lvlJc w:val="left"/>
      <w:lvlText w:val="%1"/>
      <w:numFmt w:val="decimal"/>
      <w:start w:val="1"/>
    </w:lvl>
    <w:lvl w:ilvl="1">
      <w:lvlJc w:val="left"/>
      <w:lvlText w:val="(%2)"/>
      <w:numFmt w:val="lowerLetter"/>
      <w:start w:val="1"/>
    </w:lvl>
  </w:abstractNum>
  <w:abstractNum w:abstractNumId="24">
    <w:nsid w:val="5072367"/>
    <w:multiLevelType w:val="hybridMultilevel"/>
    <w:lvl w:ilvl="0">
      <w:lvlJc w:val="left"/>
      <w:lvlText w:val="%1."/>
      <w:numFmt w:val="decimal"/>
      <w:start w:val="3"/>
    </w:lvl>
    <w:lvl w:ilvl="1">
      <w:lvlJc w:val="left"/>
      <w:lvlText w:val="%2"/>
      <w:numFmt w:val="lowerLetter"/>
      <w:start w:val="1"/>
    </w:lvl>
  </w:abstractNum>
  <w:abstractNum w:abstractNumId="25">
    <w:nsid w:val="3804823E"/>
    <w:multiLevelType w:val="hybridMultilevel"/>
    <w:lvl w:ilvl="0">
      <w:lvlJc w:val="left"/>
      <w:lvlText w:val="%1"/>
      <w:numFmt w:val="decimal"/>
      <w:start w:val="1"/>
    </w:lvl>
    <w:lvl w:ilvl="1">
      <w:lvlJc w:val="left"/>
      <w:lvlText w:val="%2."/>
      <w:numFmt w:val="decimal"/>
      <w:start w:val="6"/>
    </w:lvl>
  </w:abstractNum>
  <w:abstractNum w:abstractNumId="26">
    <w:nsid w:val="77465F01"/>
    <w:multiLevelType w:val="hybridMultilevel"/>
    <w:lvl w:ilvl="0">
      <w:lvlJc w:val="left"/>
      <w:lvlText w:val="%1."/>
      <w:numFmt w:val="decimal"/>
      <w:start w:val="9"/>
    </w:lvl>
    <w:lvl w:ilvl="1">
      <w:lvlJc w:val="left"/>
      <w:lvlText w:val="%2"/>
      <w:numFmt w:val="decimal"/>
      <w:start w:val="1"/>
    </w:lvl>
  </w:abstractNum>
  <w:abstractNum w:abstractNumId="27">
    <w:nsid w:val="7724C67E"/>
    <w:multiLevelType w:val="hybridMultilevel"/>
    <w:lvl w:ilvl="0">
      <w:lvlJc w:val="left"/>
      <w:lvlText w:val="1"/>
      <w:numFmt w:val="bullet"/>
      <w:start w:val="1"/>
    </w:lvl>
  </w:abstractNum>
  <w:abstractNum w:abstractNumId="28">
    <w:nsid w:val="5C482A97"/>
    <w:multiLevelType w:val="hybridMultilevel"/>
    <w:lvl w:ilvl="0">
      <w:lvlJc w:val="left"/>
      <w:lvlText w:val="2"/>
      <w:numFmt w:val="bullet"/>
      <w:start w:val="1"/>
    </w:lvl>
  </w:abstractNum>
  <w:abstractNum w:abstractNumId="29">
    <w:nsid w:val="2463B9EA"/>
    <w:multiLevelType w:val="hybridMultilevel"/>
    <w:lvl w:ilvl="0">
      <w:lvlJc w:val="left"/>
      <w:lvlText w:val="%1."/>
      <w:numFmt w:val="decimal"/>
      <w:start w:val="1"/>
    </w:lvl>
  </w:abstractNum>
  <w:abstractNum w:abstractNumId="30">
    <w:nsid w:val="5E884ADC"/>
    <w:multiLevelType w:val="hybridMultilevel"/>
    <w:lvl w:ilvl="0">
      <w:lvlJc w:val="left"/>
      <w:lvlText w:val="%1"/>
      <w:numFmt w:val="decimal"/>
      <w:start w:val="1"/>
    </w:lvl>
    <w:lvl w:ilvl="1">
      <w:lvlJc w:val="left"/>
      <w:lvlText w:val="(%2)"/>
      <w:numFmt w:val="lowerLetter"/>
      <w:start w:val="1"/>
    </w:lvl>
  </w:abstractNum>
  <w:abstractNum w:abstractNumId="31">
    <w:nsid w:val="51EAD36B"/>
    <w:multiLevelType w:val="hybridMultilevel"/>
    <w:lvl w:ilvl="0">
      <w:lvlJc w:val="left"/>
      <w:lvlText w:val="%1."/>
      <w:numFmt w:val="decimal"/>
      <w:start w:val="3"/>
    </w:lvl>
    <w:lvl w:ilvl="1">
      <w:lvlJc w:val="left"/>
      <w:lvlText w:val="%2"/>
      <w:numFmt w:val="lowerLetter"/>
      <w:start w:val="1"/>
    </w:lvl>
  </w:abstractNum>
  <w:abstractNum w:abstractNumId="32">
    <w:nsid w:val="2D517796"/>
    <w:multiLevelType w:val="hybridMultilevel"/>
    <w:lvl w:ilvl="0">
      <w:lvlJc w:val="left"/>
      <w:lvlText w:val="%1"/>
      <w:numFmt w:val="decimal"/>
      <w:start w:val="1"/>
    </w:lvl>
    <w:lvl w:ilvl="1">
      <w:lvlJc w:val="left"/>
      <w:lvlText w:val="%2."/>
      <w:numFmt w:val="decimal"/>
      <w:start w:val="6"/>
    </w:lvl>
  </w:abstractNum>
  <w:abstractNum w:abstractNumId="33">
    <w:nsid w:val="580BD78F"/>
    <w:multiLevelType w:val="hybridMultilevel"/>
    <w:lvl w:ilvl="0">
      <w:lvlJc w:val="left"/>
      <w:lvlText w:val="%1."/>
      <w:numFmt w:val="decimal"/>
      <w:start w:val="9"/>
    </w:lvl>
    <w:lvl w:ilvl="1">
      <w:lvlJc w:val="left"/>
      <w:lvlText w:val="%2"/>
      <w:numFmt w:val="decimal"/>
      <w:start w:val="1"/>
    </w:lvl>
  </w:abstractNum>
  <w:abstractNum w:abstractNumId="34">
    <w:nsid w:val="153EA438"/>
    <w:multiLevelType w:val="hybridMultilevel"/>
    <w:lvl w:ilvl="0">
      <w:lvlJc w:val="left"/>
      <w:lvlText w:val="1"/>
      <w:numFmt w:val="bullet"/>
      <w:start w:val="1"/>
    </w:lvl>
  </w:abstractNum>
  <w:abstractNum w:abstractNumId="35">
    <w:nsid w:val="3855585C"/>
    <w:multiLevelType w:val="hybridMultilevel"/>
    <w:lvl w:ilvl="0">
      <w:lvlJc w:val="left"/>
      <w:lvlText w:val="2"/>
      <w:numFmt w:val="bullet"/>
      <w:start w:val="1"/>
    </w:lvl>
  </w:abstractNum>
  <w:abstractNum w:abstractNumId="36">
    <w:nsid w:val="70A64E2A"/>
    <w:multiLevelType w:val="hybridMultilevel"/>
    <w:lvl w:ilvl="0">
      <w:lvlJc w:val="left"/>
      <w:lvlText w:val="%1."/>
      <w:numFmt w:val="decimal"/>
      <w:start w:val="1"/>
    </w:lvl>
    <w:lvl w:ilvl="1">
      <w:lvlJc w:val="left"/>
      <w:lvlText w:val="(%2)"/>
      <w:numFmt w:val="lowerLetter"/>
      <w:start w:val="1"/>
    </w:lvl>
  </w:abstractNum>
  <w:abstractNum w:abstractNumId="37">
    <w:nsid w:val="6A2342EC"/>
    <w:multiLevelType w:val="hybridMultilevel"/>
    <w:lvl w:ilvl="0">
      <w:lvlJc w:val="left"/>
      <w:lvlText w:val="%1"/>
      <w:numFmt w:val="decimal"/>
      <w:start w:val="1"/>
    </w:lvl>
    <w:lvl w:ilvl="1">
      <w:lvlJc w:val="left"/>
      <w:lvlText w:val="%2."/>
      <w:numFmt w:val="decimal"/>
      <w:start w:val="6"/>
    </w:lvl>
  </w:abstractNum>
  <w:abstractNum w:abstractNumId="38">
    <w:nsid w:val="2A487CB0"/>
    <w:multiLevelType w:val="hybridMultilevel"/>
    <w:lvl w:ilvl="0">
      <w:lvlJc w:val="left"/>
      <w:lvlText w:val="%1."/>
      <w:numFmt w:val="decimal"/>
      <w:start w:val="9"/>
    </w:lvl>
    <w:lvl w:ilvl="1">
      <w:lvlJc w:val="left"/>
      <w:lvlText w:val="%2"/>
      <w:numFmt w:val="decimal"/>
      <w:start w:val="1"/>
    </w:lvl>
  </w:abstractNum>
  <w:abstractNum w:abstractNumId="39">
    <w:nsid w:val="1D4ED43B"/>
    <w:multiLevelType w:val="hybridMultilevel"/>
    <w:lvl w:ilvl="0">
      <w:lvlJc w:val="left"/>
      <w:lvlText w:val="1"/>
      <w:numFmt w:val="bullet"/>
      <w:start w:val="1"/>
    </w:lvl>
  </w:abstractNum>
  <w:abstractNum w:abstractNumId="40">
    <w:nsid w:val="725A06FB"/>
    <w:multiLevelType w:val="hybridMultilevel"/>
    <w:lvl w:ilvl="0">
      <w:lvlJc w:val="left"/>
      <w:lvlText w:val="2"/>
      <w:numFmt w:val="bullet"/>
      <w:start w:val="1"/>
    </w:lvl>
  </w:abstractNum>
  <w:abstractNum w:abstractNumId="41">
    <w:nsid w:val="2CD89A32"/>
    <w:multiLevelType w:val="hybridMultilevel"/>
    <w:lvl w:ilvl="0">
      <w:lvlJc w:val="left"/>
      <w:lvlText w:val="(%1)"/>
      <w:numFmt w:val="lowerLetter"/>
      <w:start w:val="1"/>
    </w:lvl>
  </w:abstractNum>
  <w:abstractNum w:abstractNumId="42">
    <w:nsid w:val="57E4CCAF"/>
    <w:multiLevelType w:val="hybridMultilevel"/>
    <w:lvl w:ilvl="0">
      <w:lvlJc w:val="left"/>
      <w:lvlText w:val="(%1)"/>
      <w:numFmt w:val="lowerLetter"/>
      <w:start w:val="2"/>
    </w:lvl>
  </w:abstractNum>
  <w:abstractNum w:abstractNumId="43">
    <w:nsid w:val="7A6D8D3C"/>
    <w:multiLevelType w:val="hybridMultilevel"/>
    <w:lvl w:ilvl="0">
      <w:lvlJc w:val="left"/>
      <w:lvlText w:val="(%1)"/>
      <w:numFmt w:val="lowerLetter"/>
      <w:start w:val="1"/>
    </w:lvl>
  </w:abstractNum>
  <w:abstractNum w:abstractNumId="44">
    <w:nsid w:val="4B588F54"/>
    <w:multiLevelType w:val="hybridMultilevel"/>
    <w:lvl w:ilvl="0">
      <w:lvlJc w:val="left"/>
      <w:lvlText w:val="(%1)"/>
      <w:numFmt w:val="lowerLetter"/>
      <w:start w:val="3"/>
    </w:lvl>
    <w:lvl w:ilvl="1">
      <w:lvlJc w:val="left"/>
      <w:lvlText w:val="%2"/>
      <w:numFmt w:val="upperLetter"/>
      <w:start w:val="1"/>
    </w:lvl>
  </w:abstractNum>
  <w:abstractNum w:abstractNumId="45">
    <w:nsid w:val="542289EC"/>
    <w:multiLevelType w:val="hybridMultilevel"/>
    <w:lvl w:ilvl="0">
      <w:lvlJc w:val="left"/>
      <w:lvlText w:val="(%1)"/>
      <w:numFmt w:val="lowerLetter"/>
      <w:start w:val="5"/>
    </w:lvl>
  </w:abstractNum>
  <w:abstractNum w:abstractNumId="46">
    <w:nsid w:val="6DE91B18"/>
    <w:multiLevelType w:val="hybridMultilevel"/>
    <w:lvl w:ilvl="0">
      <w:lvlJc w:val="left"/>
      <w:lvlText w:val="(%1)"/>
      <w:numFmt w:val="lowerLetter"/>
      <w:start w:val="2"/>
    </w:lvl>
    <w:lvl w:ilvl="1">
      <w:lvlJc w:val="left"/>
      <w:lvlText w:val="%2"/>
      <w:numFmt w:val="upperLetter"/>
      <w:start w:val="1"/>
    </w:lvl>
    <w:lvl w:ilvl="2">
      <w:lvlJc w:val="left"/>
      <w:lvlText w:val="%3"/>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2022-02-14T15:14:17Z</dcterms:created>
  <dcterms:modified xsi:type="dcterms:W3CDTF">2022-02-14T15:14:17Z</dcterms:modified>
</cp:coreProperties>
</file>