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17, 2017</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1008380</wp:posOffset>
            </wp:positionH>
            <wp:positionV relativeFrom="paragraph">
              <wp:posOffset>172085</wp:posOffset>
            </wp:positionV>
            <wp:extent cx="5222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679" w:right="359" w:bottom="1440" w:gutter="0" w:footer="0" w:header="0"/>
        </w:sectPr>
      </w:pPr>
    </w:p>
    <w:bookmarkStart w:id="1" w:name="page2"/>
    <w:bookmarkEnd w:id="1"/>
    <w:p>
      <w:pPr>
        <w:ind w:left="4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17, 2017, Weatherford International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 subsidiary of the Company entered into Amendment No. 2 to Amended and Restated Credit Agreement with JPMorgan Chase Bank, N.A., as administrative agent, and the other lenders and parties thereto. Pursuant to the amendment, a portion of which is effective as of March 31, 2017, the Company amended its existing senior revolving credit facility to modify the definition of Consolidated Adjusted EBITDA set forth therein and to make other definitional and covenant modifications as detailed in Exhibit 10.1 attached hereto. In addition, under the terms of the amendment, the total commitments under the facility will be reduced from $1.38 billion to $1.199 billion.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April 17, 2017, the Company and a subsidiary of the Company entered into Amendment No. 2 to Term Loan Agreement with JPMorgan Chase Bank, N.A., as administrative agent, and the other lenders and parties thereto. Pursuant to the amendment, a portion of which is effective as of March 31, 2017, the Company amended its existing term loan agreement to modify the definition of Consolidated Adjusted EBITDA set forth therein, made definitional and covenant modifications, and clarified certain collateral matters as detailed in Exhibit 10.2 attached hereto.</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of each of the amendments above does not purport to be complete and is qualified in its entirety by reference to such amendment which are attached as Exhibits 10.1 and 10.2 to this Form 8-K and incorporated by reference into this Item 1.01.</w:t>
      </w:r>
    </w:p>
    <w:p>
      <w:pPr>
        <w:spacing w:after="0" w:line="329"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380" w:hanging="856"/>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48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2" w:lineRule="exact"/>
        <w:rPr>
          <w:sz w:val="20"/>
          <w:szCs w:val="20"/>
          <w:color w:val="auto"/>
        </w:rPr>
      </w:pPr>
    </w:p>
    <w:p>
      <w:pPr>
        <w:ind w:left="840" w:right="2680" w:hanging="643"/>
        <w:spacing w:after="0" w:line="264"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2 to Amended and Restated Credit Agreement, dated April 17, 2017, among Weatherford International Ltd. (Bermuda), Weatherford International plc (Ireland), the lenders party thereto and JPMorgan Chase Bank, N.A., as administrative agent.</w:t>
      </w:r>
    </w:p>
    <w:p>
      <w:pPr>
        <w:spacing w:after="0" w:line="235" w:lineRule="exact"/>
        <w:rPr>
          <w:sz w:val="20"/>
          <w:szCs w:val="20"/>
          <w:color w:val="auto"/>
        </w:rPr>
      </w:pPr>
    </w:p>
    <w:p>
      <w:pPr>
        <w:ind w:left="840" w:right="2400" w:hanging="643"/>
        <w:spacing w:after="0" w:line="264"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2 to Term Loan Agreement, dated April 17, 2017, among Weatherford International Ltd. (Bermuda), Weatherford International plc (Ireland), the lenders party thereto and JPMorgan Chase Bank, N.A., as administrative agent.</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April 17,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Christina M. Ibrahim</w:t>
      </w:r>
    </w:p>
    <w:p>
      <w:pPr>
        <w:spacing w:after="0" w:line="9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220"/>
          </w:cols>
          <w:pgMar w:left="240" w:top="580"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Exhibits Index</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58489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2" w:lineRule="exact"/>
        <w:rPr>
          <w:sz w:val="20"/>
          <w:szCs w:val="20"/>
          <w:color w:val="auto"/>
        </w:rPr>
      </w:pPr>
    </w:p>
    <w:p>
      <w:pPr>
        <w:ind w:left="800" w:right="1479" w:hanging="643"/>
        <w:spacing w:after="0" w:line="264"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2 to Amended and Restated Credit Agreement, dated April 17, 2017, among Weatherford International Ltd. (Bermuda), Weatherford International plc (Ireland), the lenders party thereto and JPMorgan Chase Bank, N.A., as administrative agent.</w:t>
      </w:r>
    </w:p>
    <w:p>
      <w:pPr>
        <w:spacing w:after="0" w:line="235" w:lineRule="exact"/>
        <w:rPr>
          <w:sz w:val="20"/>
          <w:szCs w:val="20"/>
          <w:color w:val="auto"/>
        </w:rPr>
      </w:pPr>
    </w:p>
    <w:p>
      <w:pPr>
        <w:ind w:left="800" w:right="1199" w:hanging="643"/>
        <w:spacing w:after="0" w:line="264"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2 to Term Loan Agreement, dated April 17, 2017, among Weatherford International Ltd. (Bermuda), Weatherford International plc (Ireland), the lenders party thereto and JPMorgan Chase Bank, N.A., as administrative agent.</w:t>
      </w:r>
    </w:p>
    <w:p>
      <w:pPr>
        <w:sectPr>
          <w:pgSz w:w="11900" w:h="16838" w:orient="portrait"/>
          <w:cols w:equalWidth="0" w:num="1">
            <w:col w:w="10179"/>
          </w:cols>
          <w:pgMar w:left="28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AMENDED AND RESTATED CREDIT AGREEMENT</w:t>
      </w:r>
    </w:p>
    <w:p>
      <w:pPr>
        <w:spacing w:after="0" w:line="22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1"/>
          <w:szCs w:val="21"/>
          <w:color w:val="auto"/>
        </w:rPr>
        <w:t>THIS AMENDMENT NO. 2 TO AMENDED AND RESTATED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April 17, 2017 by and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PLC, an Irish public limited company (“</w:t>
      </w:r>
      <w:r>
        <w:rPr>
          <w:rFonts w:ascii="Arial" w:cs="Arial" w:eastAsia="Arial" w:hAnsi="Arial"/>
          <w:sz w:val="21"/>
          <w:szCs w:val="21"/>
          <w:u w:val="single" w:color="auto"/>
          <w:color w:val="auto"/>
        </w:rPr>
        <w:t>WIL</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Ireland</w:t>
      </w:r>
      <w:r>
        <w:rPr>
          <w:rFonts w:ascii="Arial" w:cs="Arial" w:eastAsia="Arial" w:hAnsi="Arial"/>
          <w:sz w:val="21"/>
          <w:szCs w:val="21"/>
          <w:color w:val="auto"/>
        </w:rPr>
        <w:t>” and, together with WIL-Bermuda, the “</w:t>
      </w:r>
      <w:r>
        <w:rPr>
          <w:rFonts w:ascii="Arial" w:cs="Arial" w:eastAsia="Arial" w:hAnsi="Arial"/>
          <w:sz w:val="21"/>
          <w:szCs w:val="21"/>
          <w:u w:val="single" w:color="auto"/>
          <w:color w:val="auto"/>
        </w:rPr>
        <w:t>Obligor Parties</w:t>
      </w:r>
      <w:r>
        <w:rPr>
          <w:rFonts w:ascii="Arial" w:cs="Arial" w:eastAsia="Arial" w:hAnsi="Arial"/>
          <w:sz w:val="21"/>
          <w:szCs w:val="21"/>
          <w:color w:val="auto"/>
        </w:rPr>
        <w:t>”), the Lenders listed on the signature pages attached hereto and JPMORGAN CHASE BANK, N.A. (“</w:t>
      </w:r>
      <w:r>
        <w:rPr>
          <w:rFonts w:ascii="Arial" w:cs="Arial" w:eastAsia="Arial" w:hAnsi="Arial"/>
          <w:sz w:val="21"/>
          <w:szCs w:val="21"/>
          <w:u w:val="single" w:color="auto"/>
          <w:color w:val="auto"/>
        </w:rPr>
        <w:t>JPMorgan</w:t>
      </w:r>
      <w:r>
        <w:rPr>
          <w:rFonts w:ascii="Arial" w:cs="Arial" w:eastAsia="Arial" w:hAnsi="Arial"/>
          <w:sz w:val="21"/>
          <w:szCs w:val="21"/>
          <w:color w:val="auto"/>
        </w:rPr>
        <w:t>”), as administrative agent for the Lenders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reference is made to that certain Amended and Restated Credit Agreement, dated as of May 9, 2016, by and among the Obligor Parties, the lenders named therein, the Administrative Agent, JPMorgan, as Swingline Lender, and the Issuing Banks party thereto (as amended by that certain Amendment No. 1 to Amended and Restated Credit Agreement dated as of July 19, 2016 and as further amended, supplemented or otherwise modified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Obligor Parties have requested that the Lenders agree to amend certain provisions of the Credit Agreement, and the Required Lenders have agreed to amend the Credit Agreement as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but not otherwise defined herein shall have the meanings assigned to them in the Credit Agreement.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xml:space="preserve"> Upon the Amendment No. 2 Effective Date (as defined below), the Credit Agreement is hereby amended as follows; provided, that the amendments set forth in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deemed to be effective and applicable as of March 31, 2017:</w:t>
      </w:r>
    </w:p>
    <w:p>
      <w:pPr>
        <w:spacing w:after="0" w:line="226" w:lineRule="exact"/>
        <w:rPr>
          <w:sz w:val="20"/>
          <w:szCs w:val="20"/>
          <w:color w:val="auto"/>
        </w:rPr>
      </w:pPr>
    </w:p>
    <w:p>
      <w:pPr>
        <w:ind w:right="20" w:firstLine="656"/>
        <w:spacing w:after="0" w:line="263" w:lineRule="auto"/>
        <w:tabs>
          <w:tab w:leader="none" w:pos="1245"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21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Collateralized LC Exposure</w:t>
      </w:r>
      <w:r>
        <w:rPr>
          <w:rFonts w:ascii="Arial" w:cs="Arial" w:eastAsia="Arial" w:hAnsi="Arial"/>
          <w:sz w:val="19"/>
          <w:szCs w:val="19"/>
          <w:color w:val="auto"/>
        </w:rPr>
        <w:t>” means, with respect to any Specified Letter of Credit as of any date, the amount of cash collateral pledged to the applicable issuing bank or institution that issued such Specified Letter of Credit as security to cover reimbursement obligations of WIL-Ireland or any Restricted Subsidiary in respect of such Specified Letter of Credit, excluding any such cash collateral that is (a) in excess of the stated amount of such Specified Letter of Credit or</w:t>
      </w:r>
    </w:p>
    <w:p>
      <w:pPr>
        <w:spacing w:after="0" w:line="3" w:lineRule="exact"/>
        <w:rPr>
          <w:sz w:val="20"/>
          <w:szCs w:val="20"/>
          <w:color w:val="auto"/>
        </w:rPr>
      </w:pPr>
    </w:p>
    <w:p>
      <w:pPr>
        <w:ind w:left="660" w:hanging="4"/>
        <w:spacing w:after="0" w:line="246" w:lineRule="auto"/>
        <w:tabs>
          <w:tab w:leader="none" w:pos="97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designated solely for the purpose of paying or reimbursing any amounts other than amounts drawn under such Specified Letter of Credit.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5" w:name="page6"/>
    <w:bookmarkEnd w:id="5"/>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Joint Venture Investment</w:t>
      </w:r>
      <w:r>
        <w:rPr>
          <w:rFonts w:ascii="Arial" w:cs="Arial" w:eastAsia="Arial" w:hAnsi="Arial"/>
          <w:sz w:val="22"/>
          <w:szCs w:val="22"/>
          <w:color w:val="auto"/>
        </w:rPr>
        <w:t xml:space="preserve">” means an Investment permitted by </w:t>
      </w:r>
      <w:r>
        <w:rPr>
          <w:rFonts w:ascii="Arial" w:cs="Arial" w:eastAsia="Arial" w:hAnsi="Arial"/>
          <w:sz w:val="22"/>
          <w:szCs w:val="22"/>
          <w:u w:val="single" w:color="auto"/>
          <w:color w:val="auto"/>
        </w:rPr>
        <w:t>Section 8.06(h)</w:t>
      </w:r>
      <w:r>
        <w:rPr>
          <w:rFonts w:ascii="Arial" w:cs="Arial" w:eastAsia="Arial" w:hAnsi="Arial"/>
          <w:sz w:val="22"/>
          <w:szCs w:val="22"/>
          <w:color w:val="auto"/>
        </w:rPr>
        <w:t xml:space="preserve"> consisting of the contribution by WIL-Ireland or any Restricted Subsidiary of assets, other than cash or Cash Equivalents.</w:t>
      </w:r>
    </w:p>
    <w:p>
      <w:pPr>
        <w:spacing w:after="0" w:line="175"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Customer Notes Disposition</w:t>
      </w:r>
      <w:r>
        <w:rPr>
          <w:rFonts w:ascii="Arial" w:cs="Arial" w:eastAsia="Arial" w:hAnsi="Arial"/>
          <w:sz w:val="21"/>
          <w:szCs w:val="21"/>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76"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Asset Sale 2017 Threshold</w:t>
      </w:r>
      <w:r>
        <w:rPr>
          <w:rFonts w:ascii="Arial" w:cs="Arial" w:eastAsia="Arial" w:hAnsi="Arial"/>
          <w:sz w:val="21"/>
          <w:szCs w:val="21"/>
          <w:color w:val="auto"/>
        </w:rPr>
        <w:t xml:space="preserve">” means an amount equal to (a) $600,000,000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(b) the difference (if positive) between (i) $535,000,000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 the aggregate amount of cash payments received on or before December 31, 2017 by WIL-Ireland and any Restricted Subsidiary in connection with Investments by WIL-Ireland or any Restricted Subsidiary in the Designated Joint Venture permitted under </w:t>
      </w:r>
      <w:r>
        <w:rPr>
          <w:rFonts w:ascii="Arial" w:cs="Arial" w:eastAsia="Arial" w:hAnsi="Arial"/>
          <w:sz w:val="21"/>
          <w:szCs w:val="21"/>
          <w:u w:val="single" w:color="auto"/>
          <w:color w:val="auto"/>
        </w:rPr>
        <w:t>Section 8.06(h)(i)</w:t>
      </w:r>
      <w:r>
        <w:rPr>
          <w:rFonts w:ascii="Arial" w:cs="Arial" w:eastAsia="Arial" w:hAnsi="Arial"/>
          <w:sz w:val="21"/>
          <w:szCs w:val="21"/>
          <w:color w:val="auto"/>
        </w:rPr>
        <w:t>.</w:t>
      </w:r>
    </w:p>
    <w:p>
      <w:pPr>
        <w:spacing w:after="0" w:line="176" w:lineRule="exact"/>
        <w:rPr>
          <w:sz w:val="20"/>
          <w:szCs w:val="20"/>
          <w:color w:val="auto"/>
        </w:rPr>
      </w:pPr>
    </w:p>
    <w:p>
      <w:pPr>
        <w:ind w:left="960" w:hanging="304"/>
        <w:spacing w:after="0"/>
        <w:tabs>
          <w:tab w:leader="none" w:pos="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2"/>
          <w:numId w:val="5"/>
        </w:numPr>
        <w:rPr>
          <w:rFonts w:ascii="Arial" w:cs="Arial" w:eastAsia="Arial" w:hAnsi="Arial"/>
          <w:sz w:val="19"/>
          <w:szCs w:val="19"/>
          <w:color w:val="auto"/>
        </w:rPr>
      </w:pPr>
      <w:r>
        <w:rPr>
          <w:rFonts w:ascii="Arial" w:cs="Arial" w:eastAsia="Arial" w:hAnsi="Arial"/>
          <w:sz w:val="19"/>
          <w:szCs w:val="19"/>
          <w:color w:val="auto"/>
        </w:rPr>
        <w:t>The definition of “Consolidated Adjusted EBITDA” is hereby amended by amending and restating clause</w:t>
      </w:r>
    </w:p>
    <w:p>
      <w:pPr>
        <w:spacing w:after="0" w:line="56" w:lineRule="exact"/>
        <w:rPr>
          <w:rFonts w:ascii="Arial" w:cs="Arial" w:eastAsia="Arial" w:hAnsi="Arial"/>
          <w:sz w:val="19"/>
          <w:szCs w:val="19"/>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thereof in its entirety to read as follows:</w:t>
      </w:r>
    </w:p>
    <w:p>
      <w:pPr>
        <w:spacing w:after="0" w:line="242" w:lineRule="exact"/>
        <w:rPr>
          <w:rFonts w:ascii="Arial" w:cs="Arial" w:eastAsia="Arial" w:hAnsi="Arial"/>
          <w:sz w:val="22"/>
          <w:szCs w:val="22"/>
          <w:color w:val="auto"/>
        </w:rPr>
      </w:pPr>
    </w:p>
    <w:p>
      <w:pPr>
        <w:jc w:val="both"/>
        <w:ind w:left="660" w:hanging="4"/>
        <w:spacing w:after="0" w:line="260" w:lineRule="auto"/>
        <w:tabs>
          <w:tab w:leader="none" w:pos="975" w:val="left"/>
        </w:tabs>
        <w:numPr>
          <w:ilvl w:val="1"/>
          <w:numId w:val="6"/>
        </w:numPr>
        <w:rPr>
          <w:rFonts w:ascii="Arial" w:cs="Arial" w:eastAsia="Arial" w:hAnsi="Arial"/>
          <w:sz w:val="21"/>
          <w:szCs w:val="21"/>
          <w:color w:val="auto"/>
        </w:rPr>
      </w:pPr>
      <w:r>
        <w:rPr>
          <w:rFonts w:ascii="Arial" w:cs="Arial" w:eastAsia="Arial" w:hAnsi="Arial"/>
          <w:sz w:val="21"/>
          <w:szCs w:val="21"/>
          <w:color w:val="auto"/>
        </w:rPr>
        <w:t xml:space="preserve">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litigation, settlement and judgment costs and expenses (provided that the aggregate amount of all amounts added back pursuant to this clause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(excluding any such amounts attributable to Fiscal Quarters ending on or prior to March 31, 2016), shall not exceed (x) $400,000,000 during the term of this Agreement, (y) $200,000,000 for any Testing Period ending during the period from March 31, 2017 through September 30, 2017 and (z) $100,000,000 for any Testing Period ending thereafter),</w:t>
      </w:r>
    </w:p>
    <w:p>
      <w:pPr>
        <w:spacing w:after="0" w:line="181" w:lineRule="exact"/>
        <w:rPr>
          <w:rFonts w:ascii="Arial" w:cs="Arial" w:eastAsia="Arial" w:hAnsi="Arial"/>
          <w:sz w:val="21"/>
          <w:szCs w:val="21"/>
          <w:color w:val="auto"/>
        </w:rPr>
      </w:pPr>
    </w:p>
    <w:p>
      <w:pPr>
        <w:ind w:left="1620" w:hanging="315"/>
        <w:spacing w:after="0"/>
        <w:tabs>
          <w:tab w:leader="none" w:pos="1620" w:val="left"/>
        </w:tabs>
        <w:numPr>
          <w:ilvl w:val="2"/>
          <w:numId w:val="6"/>
        </w:numPr>
        <w:rPr>
          <w:rFonts w:ascii="Arial" w:cs="Arial" w:eastAsia="Arial" w:hAnsi="Arial"/>
          <w:sz w:val="21"/>
          <w:szCs w:val="21"/>
          <w:color w:val="auto"/>
        </w:rPr>
      </w:pPr>
      <w:r>
        <w:rPr>
          <w:rFonts w:ascii="Arial" w:cs="Arial" w:eastAsia="Arial" w:hAnsi="Arial"/>
          <w:sz w:val="21"/>
          <w:szCs w:val="21"/>
          <w:color w:val="auto"/>
        </w:rPr>
        <w:t>The definition of “Designated Assets” is hereby amended and restated in its entirety to read as follows:</w:t>
      </w:r>
    </w:p>
    <w:p>
      <w:pPr>
        <w:spacing w:after="0" w:line="272"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Assets</w:t>
      </w:r>
      <w:r>
        <w:rPr>
          <w:rFonts w:ascii="Arial" w:cs="Arial" w:eastAsia="Arial" w:hAnsi="Arial"/>
          <w:sz w:val="19"/>
          <w:szCs w:val="19"/>
          <w:color w:val="auto"/>
        </w:rPr>
        <w:t>” means, the assets used in the United States and Canadian land hydraulic fracturing pressure pumping, multistage completions and pump-down perforating businesses of WIL-Ireland and its Subsidiaries.</w:t>
      </w:r>
    </w:p>
    <w:p>
      <w:pPr>
        <w:spacing w:after="0" w:line="10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The definition of “Designated Joint Venture” is hereby amended and restated in its entirety to read as follows:</w:t>
      </w:r>
    </w:p>
    <w:p>
      <w:pPr>
        <w:spacing w:after="0" w:line="260" w:lineRule="exact"/>
        <w:rPr>
          <w:sz w:val="20"/>
          <w:szCs w:val="20"/>
          <w:color w:val="auto"/>
        </w:rPr>
      </w:pPr>
    </w:p>
    <w:p>
      <w:pPr>
        <w:ind w:left="660" w:right="1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Joint Venture</w:t>
      </w:r>
      <w:r>
        <w:rPr>
          <w:rFonts w:ascii="Arial" w:cs="Arial" w:eastAsia="Arial" w:hAnsi="Arial"/>
          <w:sz w:val="22"/>
          <w:szCs w:val="22"/>
          <w:color w:val="auto"/>
        </w:rPr>
        <w:t>” means either (a) the potential joint venture involving the Designated Assets that is described in the same writing delivered to the Administrative Agent and the Lenders prior to the Effective Date that describes the Designated Assets or (b) the joint venture between WIL-Ireland and Schlumberger Limited more particularly described in the press release of WIL-Ireland dated March 24, 2017 captioned “Weatherford and Schlumberger to Form OneStim Joint Venture”.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63" w:right="239" w:bottom="1440" w:gutter="0" w:footer="0" w:header="0"/>
        </w:sectPr>
      </w:pPr>
    </w:p>
    <w:bookmarkStart w:id="6" w:name="page7"/>
    <w:bookmarkEnd w:id="6"/>
    <w:p>
      <w:pPr>
        <w:jc w:val="both"/>
        <w:ind w:firstLine="1305"/>
        <w:spacing w:after="0" w:line="312" w:lineRule="auto"/>
        <w:tabs>
          <w:tab w:leader="none" w:pos="1957"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definition of “Specified Asset Sale” is hereby amended by (A) inserting the phrase “(including any Designated Joint Venture Investment)” immediately after the phrase “any Disposition of assets by WIL-Ireland or any Restricted Subsidiary” in the first and second lines thereof and (B) amending and restating clause (b) thereof in its entirety to read as follows:</w:t>
      </w:r>
    </w:p>
    <w:p>
      <w:pPr>
        <w:spacing w:after="0" w:line="174" w:lineRule="exact"/>
        <w:rPr>
          <w:rFonts w:ascii="Arial" w:cs="Arial" w:eastAsia="Arial" w:hAnsi="Arial"/>
          <w:sz w:val="19"/>
          <w:szCs w:val="19"/>
          <w:color w:val="auto"/>
        </w:rPr>
      </w:pPr>
    </w:p>
    <w:p>
      <w:pPr>
        <w:ind w:left="660" w:right="20" w:hanging="4"/>
        <w:spacing w:after="0" w:line="263"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Dispositions to the extent permitted by </w:t>
      </w:r>
      <w:r>
        <w:rPr>
          <w:rFonts w:ascii="Arial" w:cs="Arial" w:eastAsia="Arial" w:hAnsi="Arial"/>
          <w:sz w:val="22"/>
          <w:szCs w:val="22"/>
          <w:u w:val="single" w:color="auto"/>
          <w:color w:val="auto"/>
        </w:rPr>
        <w:t>Sections 8.05(a)</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8.05(b)</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8.05(c)</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8.05(e)</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8.05(f)</w:t>
      </w:r>
      <w:r>
        <w:rPr>
          <w:rFonts w:ascii="Arial" w:cs="Arial" w:eastAsia="Arial" w:hAnsi="Arial"/>
          <w:sz w:val="22"/>
          <w:szCs w:val="22"/>
          <w:color w:val="auto"/>
        </w:rPr>
        <w:t xml:space="preserve"> (other than Designated Joint Venture Investments), </w:t>
      </w:r>
      <w:r>
        <w:rPr>
          <w:rFonts w:ascii="Arial" w:cs="Arial" w:eastAsia="Arial" w:hAnsi="Arial"/>
          <w:sz w:val="22"/>
          <w:szCs w:val="22"/>
          <w:u w:val="single" w:color="auto"/>
          <w:color w:val="auto"/>
        </w:rPr>
        <w:t>8.05(g)</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8.05(i)</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8.05(k)</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8.05(l)</w:t>
      </w:r>
      <w:r>
        <w:rPr>
          <w:rFonts w:ascii="Arial" w:cs="Arial" w:eastAsia="Arial" w:hAnsi="Arial"/>
          <w:sz w:val="22"/>
          <w:szCs w:val="22"/>
          <w:color w:val="auto"/>
        </w:rPr>
        <w:t xml:space="preserve">, </w:t>
      </w:r>
      <w:r>
        <w:rPr>
          <w:rFonts w:ascii="Arial" w:cs="Arial" w:eastAsia="Arial" w:hAnsi="Arial"/>
          <w:sz w:val="22"/>
          <w:szCs w:val="22"/>
          <w:u w:val="single" w:color="auto"/>
          <w:color w:val="auto"/>
        </w:rPr>
        <w:t>8.05(m)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8.05(n)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760" w:hanging="455"/>
        <w:spacing w:after="0"/>
        <w:tabs>
          <w:tab w:leader="none" w:pos="176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definition of “Specified Leverage and LC Ratio” is hereby amended and restated in its entirety as follows:</w:t>
      </w:r>
    </w:p>
    <w:p>
      <w:pPr>
        <w:spacing w:after="0" w:line="295" w:lineRule="exact"/>
        <w:rPr>
          <w:sz w:val="20"/>
          <w:szCs w:val="20"/>
          <w:color w:val="auto"/>
        </w:rPr>
      </w:pPr>
    </w:p>
    <w:p>
      <w:pPr>
        <w:jc w:val="both"/>
        <w:ind w:left="660" w:right="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Leverage and LC Ratio</w:t>
      </w:r>
      <w:r>
        <w:rPr>
          <w:rFonts w:ascii="Arial" w:cs="Arial" w:eastAsia="Arial" w:hAnsi="Arial"/>
          <w:sz w:val="19"/>
          <w:szCs w:val="19"/>
          <w:color w:val="auto"/>
        </w:rPr>
        <w:t xml:space="preserve">” means, as of the last day of any Fiscal Quarter, the ratio of (a) the sum of (i) Specified Senior Indebtedness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aggregate undrawn amount of all Specified Letters of Credit as of such date,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(iii) the aggregate amount of all Cash Collateralized LC Exposure in respect of all Specified Letters of Credit as of such date to (b) Specified Consolidated Adjusted EBITDA for the Testing Period ending on such date.</w:t>
      </w:r>
    </w:p>
    <w:p>
      <w:pPr>
        <w:spacing w:after="0" w:line="143" w:lineRule="exact"/>
        <w:rPr>
          <w:sz w:val="20"/>
          <w:szCs w:val="20"/>
          <w:color w:val="auto"/>
        </w:rPr>
      </w:pPr>
    </w:p>
    <w:p>
      <w:pPr>
        <w:ind w:left="960" w:hanging="304"/>
        <w:spacing w:after="0"/>
        <w:tabs>
          <w:tab w:leader="none" w:pos="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Section 2.06(c) of the Credit Agreement is hereby amended and restated in its entirety as follows:</w:t>
      </w:r>
    </w:p>
    <w:p>
      <w:pPr>
        <w:spacing w:after="0" w:line="260" w:lineRule="exact"/>
        <w:rPr>
          <w:rFonts w:ascii="Arial" w:cs="Arial" w:eastAsia="Arial" w:hAnsi="Arial"/>
          <w:sz w:val="22"/>
          <w:szCs w:val="22"/>
          <w:color w:val="auto"/>
        </w:rPr>
      </w:pPr>
    </w:p>
    <w:p>
      <w:pPr>
        <w:ind w:left="1720" w:hanging="415"/>
        <w:spacing w:after="0"/>
        <w:tabs>
          <w:tab w:leader="none" w:pos="172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Reduction of Aggregate Commitments in connection with Certain Asset Sales</w:t>
      </w:r>
      <w:r>
        <w:rPr>
          <w:rFonts w:ascii="Arial" w:cs="Arial" w:eastAsia="Arial" w:hAnsi="Arial"/>
          <w:sz w:val="22"/>
          <w:szCs w:val="22"/>
          <w:color w:val="auto"/>
        </w:rPr>
        <w:t>. Until the Aggregate</w:t>
      </w:r>
    </w:p>
    <w:p>
      <w:pPr>
        <w:spacing w:after="0" w:line="21" w:lineRule="exact"/>
        <w:rPr>
          <w:rFonts w:ascii="Arial" w:cs="Arial" w:eastAsia="Arial" w:hAnsi="Arial"/>
          <w:sz w:val="22"/>
          <w:szCs w:val="22"/>
          <w:color w:val="auto"/>
        </w:rPr>
      </w:pPr>
    </w:p>
    <w:p>
      <w:pPr>
        <w:ind w:left="660"/>
        <w:spacing w:after="0" w:line="286" w:lineRule="auto"/>
        <w:rPr>
          <w:rFonts w:ascii="Arial" w:cs="Arial" w:eastAsia="Arial" w:hAnsi="Arial"/>
          <w:sz w:val="22"/>
          <w:szCs w:val="22"/>
          <w:color w:val="auto"/>
        </w:rPr>
      </w:pPr>
      <w:r>
        <w:rPr>
          <w:rFonts w:ascii="Arial" w:cs="Arial" w:eastAsia="Arial" w:hAnsi="Arial"/>
          <w:sz w:val="19"/>
          <w:szCs w:val="19"/>
          <w:color w:val="auto"/>
        </w:rPr>
        <w:t xml:space="preserve">Commitments have been permanently reduced (and only to the extent necessary to cause the Aggregate Commitments to be permanently reduced) to $900,000,000, in the event of any Specified Asset Sale, the Lenders’ Commitments shall be permanently reduced, ratably among the Lenders in accordance with their respective Commitments on the applicable Sale Related Commitment Reduction Date, by an aggregate amount equal to (i) with respect to the Land Rig Sale, 100% of the Net Cash Proceeds received by WIL-Ireland and its Restricted Subsidiaries from such sale and (ii) with respect to any Specified Asset Sale other than the Land Rig Sale (A) consummated prior to the Existing Maturity Date, 75% of the Net Cash Proceeds received by WIL-Ireland and its Restricted Subsidiaries from such sale and (B) consummated on or after the Existing Maturity Date, 75% of the Net Proceeds received by WIL-Ireland and its Restricted Subsidiaries from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with respect to the calendar year ending December 31, 2017, the Lenders’ Commitments shall be reduced pursuant to this </w:t>
      </w:r>
      <w:r>
        <w:rPr>
          <w:rFonts w:ascii="Arial" w:cs="Arial" w:eastAsia="Arial" w:hAnsi="Arial"/>
          <w:sz w:val="19"/>
          <w:szCs w:val="19"/>
          <w:u w:val="single" w:color="auto"/>
          <w:color w:val="auto"/>
        </w:rPr>
        <w:t>Section 2.06(c)(ii)</w:t>
      </w:r>
      <w:r>
        <w:rPr>
          <w:rFonts w:ascii="Arial" w:cs="Arial" w:eastAsia="Arial" w:hAnsi="Arial"/>
          <w:sz w:val="19"/>
          <w:szCs w:val="19"/>
          <w:color w:val="auto"/>
        </w:rPr>
        <w:t xml:space="preserve"> only to the extent that the Net Cash Proceeds received by WIL-Ireland and its Restricted Subsidiaries from the consummation of Specified Asset Sales during such calendar year exceeds the Specified Asset Sale 2017 Threshold and (y) with respect to any calendar year thereafter, the Lenders’ Commitments shall be reduced pursuant to this </w:t>
      </w:r>
      <w:r>
        <w:rPr>
          <w:rFonts w:ascii="Arial" w:cs="Arial" w:eastAsia="Arial" w:hAnsi="Arial"/>
          <w:sz w:val="19"/>
          <w:szCs w:val="19"/>
          <w:u w:val="single" w:color="auto"/>
          <w:color w:val="auto"/>
        </w:rPr>
        <w:t>Section 2.06(c)(ii)</w:t>
      </w:r>
      <w:r>
        <w:rPr>
          <w:rFonts w:ascii="Arial" w:cs="Arial" w:eastAsia="Arial" w:hAnsi="Arial"/>
          <w:sz w:val="19"/>
          <w:szCs w:val="19"/>
          <w:color w:val="auto"/>
        </w:rPr>
        <w:t xml:space="preserve"> only to the extent that the Net Cash Proceeds received by WIL-Ireland and its Restricted Subsidiaries from the consummation of Specified Asset Sales during such calendar year exceeds $50,000,000.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04" w:right="239" w:bottom="1440" w:gutter="0" w:footer="0" w:header="0"/>
        </w:sectPr>
      </w:pPr>
    </w:p>
    <w:bookmarkStart w:id="7" w:name="page8"/>
    <w:bookmarkEnd w:id="7"/>
    <w:p>
      <w:pPr>
        <w:ind w:left="80" w:firstLine="396"/>
        <w:spacing w:after="0" w:line="263" w:lineRule="auto"/>
        <w:tabs>
          <w:tab w:leader="none" w:pos="963"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Section 8.05 of the Credit Agreement is hereby amended by amending and restating clause (g) thereof in its entirety to read as follows:</w:t>
      </w:r>
    </w:p>
    <w:p>
      <w:pPr>
        <w:spacing w:after="0" w:line="215" w:lineRule="exact"/>
        <w:rPr>
          <w:rFonts w:ascii="Arial" w:cs="Arial" w:eastAsia="Arial" w:hAnsi="Arial"/>
          <w:sz w:val="22"/>
          <w:szCs w:val="22"/>
          <w:color w:val="auto"/>
        </w:rPr>
      </w:pPr>
    </w:p>
    <w:p>
      <w:pPr>
        <w:ind w:left="480" w:firstLine="645"/>
        <w:spacing w:after="0" w:line="276" w:lineRule="auto"/>
        <w:tabs>
          <w:tab w:leader="none" w:pos="1614"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Disposition of Receivables and Receivables Related Security in connection with any Permitted Factoring Transaction shall be permitted and any Permitted Customer Notes Disposition shall be permitted;</w:t>
      </w:r>
    </w:p>
    <w:p>
      <w:pPr>
        <w:spacing w:after="0" w:line="160" w:lineRule="exact"/>
        <w:rPr>
          <w:rFonts w:ascii="Arial" w:cs="Arial" w:eastAsia="Arial" w:hAnsi="Arial"/>
          <w:sz w:val="22"/>
          <w:szCs w:val="22"/>
          <w:color w:val="auto"/>
        </w:rPr>
      </w:pPr>
    </w:p>
    <w:p>
      <w:pPr>
        <w:ind w:firstLine="476"/>
        <w:spacing w:after="0" w:line="263" w:lineRule="auto"/>
        <w:tabs>
          <w:tab w:leader="none" w:pos="1012"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Section 8.09(c) of the Credit Agreement is hereby amended by replacing the words “Specified Leverage LC Ratio” with the term “Specified Leverage and LC Ratio”.</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Commitment Reduction.</w:t>
      </w:r>
      <w:r>
        <w:rPr>
          <w:rFonts w:ascii="Arial" w:cs="Arial" w:eastAsia="Arial" w:hAnsi="Arial"/>
          <w:sz w:val="21"/>
          <w:szCs w:val="21"/>
          <w:color w:val="auto"/>
        </w:rPr>
        <w:t xml:space="preserve"> The Borrowers desire to reduce the Commitments from $1,379,888,888.89 to $1,198,860,893.91 (the “</w:t>
      </w:r>
      <w:r>
        <w:rPr>
          <w:rFonts w:ascii="Arial" w:cs="Arial" w:eastAsia="Arial" w:hAnsi="Arial"/>
          <w:sz w:val="21"/>
          <w:szCs w:val="21"/>
          <w:u w:val="single" w:color="auto"/>
          <w:color w:val="auto"/>
        </w:rPr>
        <w:t>Commitment Reduction</w:t>
      </w:r>
      <w:r>
        <w:rPr>
          <w:rFonts w:ascii="Arial" w:cs="Arial" w:eastAsia="Arial" w:hAnsi="Arial"/>
          <w:sz w:val="21"/>
          <w:szCs w:val="21"/>
          <w:color w:val="auto"/>
        </w:rPr>
        <w:t>”), effective as of the Amendment No. 2 Effective Date. As provided in Section 2.06(e) of the Credit Agreement, the Commitment Reduction shall be made ratably among the Lenders in accordance with their respective Commitments. As such, after giving effect to the Commitment Reduction on the Amendment No. 2 Effective Date, each Lender’s Commitment shall be as set forth on Annex I attached hereto under the heading “Extended Commitment” or “Non-Extended Commitment”, as applicable, which shall automatically amend and restate Schedule 2.01 to the Credit Agreement. The Lenders hereby waive, solely with respect to the Commitment Reduction, (i) any notice required to be delivered by the Borrowers pursuant to Section 2.06(e) and (ii) the requirement that each reduction of the Commitments be in an amount that is an integral multiple of $1,000,000.</w:t>
      </w:r>
    </w:p>
    <w:p>
      <w:pPr>
        <w:spacing w:after="0" w:line="2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Amendment No. 2 Effective Date; Conditions Precedent.</w:t>
      </w:r>
      <w:r>
        <w:rPr>
          <w:rFonts w:ascii="Arial" w:cs="Arial" w:eastAsia="Arial" w:hAnsi="Arial"/>
          <w:sz w:val="22"/>
          <w:szCs w:val="22"/>
          <w:color w:val="auto"/>
        </w:rPr>
        <w:t xml:space="preserve"> This Amendment shall become effective on the date (the “</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on which the following conditions have been satisfied:</w:t>
      </w:r>
    </w:p>
    <w:p>
      <w:pPr>
        <w:spacing w:after="0" w:line="215" w:lineRule="exact"/>
        <w:rPr>
          <w:sz w:val="20"/>
          <w:szCs w:val="20"/>
          <w:color w:val="auto"/>
        </w:rPr>
      </w:pPr>
    </w:p>
    <w:p>
      <w:pPr>
        <w:ind w:right="20" w:firstLine="395"/>
        <w:spacing w:after="0" w:line="263" w:lineRule="auto"/>
        <w:tabs>
          <w:tab w:leader="none" w:pos="137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Administrative Agent shall have received, in form and substance reasonably satisfactory to the Administrative Agent, a counterpart of this Amendment executed by the Obligor Parties and the Required Lenders;</w:t>
      </w:r>
    </w:p>
    <w:p>
      <w:pPr>
        <w:spacing w:after="0" w:line="215" w:lineRule="exact"/>
        <w:rPr>
          <w:rFonts w:ascii="Arial" w:cs="Arial" w:eastAsia="Arial" w:hAnsi="Arial"/>
          <w:sz w:val="22"/>
          <w:szCs w:val="22"/>
          <w:color w:val="auto"/>
        </w:rPr>
      </w:pPr>
    </w:p>
    <w:p>
      <w:pPr>
        <w:jc w:val="both"/>
        <w:ind w:firstLine="395"/>
        <w:spacing w:after="0" w:line="260" w:lineRule="exact"/>
        <w:tabs>
          <w:tab w:leader="none" w:pos="903"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Obligor Parties shall have paid (i) to the Administrative Agent, the Lead Arrangers and the Lenders, as applicable, all fees and other amounts agreed upon by such parties to be paid on or prior to the Amendment No. 2 Effective Date and (ii) to the extent invoiced at or before 1:00 p.m., New York City time, on the Business Day immediately prior to the Amendment No. 2 Effective Date, all out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pocket expenses required to be reimbursed or paid by the Obligor Parties pursuant to Section 11.03 of the Credit Agreement or any other Loan Document; and</w:t>
      </w:r>
    </w:p>
    <w:p>
      <w:pPr>
        <w:spacing w:after="0" w:line="243" w:lineRule="exact"/>
        <w:rPr>
          <w:rFonts w:ascii="Arial" w:cs="Arial" w:eastAsia="Arial" w:hAnsi="Arial"/>
          <w:sz w:val="22"/>
          <w:szCs w:val="22"/>
          <w:color w:val="auto"/>
        </w:rPr>
      </w:pPr>
    </w:p>
    <w:p>
      <w:pPr>
        <w:ind w:left="860" w:hanging="465"/>
        <w:spacing w:after="0"/>
        <w:tabs>
          <w:tab w:leader="none" w:pos="8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To induce the other parties hereto to enter into this Amendment, each of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Obligor Parties represents and warrants that, after giving effect to each of the amendments set forth in this Amendment:</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420" w:top="591" w:right="239" w:bottom="1440" w:gutter="0" w:footer="0" w:header="0"/>
        </w:sectPr>
      </w:pPr>
    </w:p>
    <w:bookmarkStart w:id="8" w:name="page9"/>
    <w:bookmarkEnd w:id="8"/>
    <w:p>
      <w:pPr>
        <w:jc w:val="both"/>
        <w:ind w:left="180" w:firstLine="395"/>
        <w:spacing w:after="0" w:line="292" w:lineRule="auto"/>
        <w:tabs>
          <w:tab w:leader="none" w:pos="1554"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representations and warranties set forth in Article VI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No. 2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92" w:lineRule="exact"/>
        <w:rPr>
          <w:rFonts w:ascii="Arial" w:cs="Arial" w:eastAsia="Arial" w:hAnsi="Arial"/>
          <w:sz w:val="19"/>
          <w:szCs w:val="19"/>
          <w:color w:val="auto"/>
        </w:rPr>
      </w:pPr>
    </w:p>
    <w:p>
      <w:pPr>
        <w:ind w:left="1560" w:hanging="904"/>
        <w:spacing w:after="0"/>
        <w:tabs>
          <w:tab w:leader="none" w:pos="15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Amendment No. 2 Effective Date; and</w:t>
      </w:r>
    </w:p>
    <w:p>
      <w:pPr>
        <w:spacing w:after="0" w:line="294" w:lineRule="exact"/>
        <w:rPr>
          <w:rFonts w:ascii="Arial" w:cs="Arial" w:eastAsia="Arial" w:hAnsi="Arial"/>
          <w:sz w:val="19"/>
          <w:szCs w:val="19"/>
          <w:color w:val="auto"/>
        </w:rPr>
      </w:pPr>
    </w:p>
    <w:p>
      <w:pPr>
        <w:jc w:val="both"/>
        <w:ind w:firstLine="656"/>
        <w:spacing w:after="0" w:line="250" w:lineRule="auto"/>
        <w:tabs>
          <w:tab w:leader="none" w:pos="1536"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this Amendment constitutes the legal, valid and binding obligation of each of the Obligor Parties, enforceable against each of the Obligor Parties in accordance with its terms, except as enforceability may be limited by applicable bankruptcy, insolvency, or similar laws affecting the enforcement of creditors’ rights generally or by equitable principles of general applicability.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xml:space="preserve">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 any Obligor with respect to the terms, provisions, conditions and covenants of the Credit Agreement and the other Loan Documents made the subject hereof. Each Obligor Party represents and acknowledges that it has no claims, counterclaims, offsets, credits or defenses to the Loan Documents or the performance of its obligations thereunder.</w:t>
      </w:r>
    </w:p>
    <w:p>
      <w:pPr>
        <w:spacing w:after="0" w:line="2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Ratification.</w:t>
      </w:r>
      <w:r>
        <w:rPr>
          <w:rFonts w:ascii="Arial" w:cs="Arial" w:eastAsia="Arial" w:hAnsi="Arial"/>
          <w:sz w:val="19"/>
          <w:szCs w:val="19"/>
          <w:color w:val="auto"/>
        </w:rPr>
        <w:t xml:space="preserve"> Each of the Obligor Parties hereby ratifies and confirms, on behalf of itself and each other Guarantor, the Guarantors’ obligations under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Party agrees, on behalf of itself and each other Guarantor, that nothing contained in this Amendment shall adversely affect any right or remedy of the Administrative Agent or the Lenders under the Affiliate Guaranty or any of the other Loan Documents. Each Obligor Party agrees, on behalf of itself and each other Guarantor, that all references in the Affiliate Guaranty to the “Guaranteed Obligations” shall include, without limitation, all of the obligations of WIL-Bermuda to the Administrative Agent and the Lenders under the Credit Agreement, as amended by this Amendment. Finally, each Obligor Party hereby represents and warrants, on behalf of itself and each other Guarantor, that the execution and delivery of this Amendment and the other documents executed in connection herewith shall in no way change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7"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22"/>
          <w:szCs w:val="22"/>
          <w:color w:val="auto"/>
        </w:rPr>
        <w:t>or modify its or any other Guarantor’s obligations as a guarantor, debtor, pledgor, assignor, obligor and/or grantor under the Affiliate Guaranty and the other Loan Documents and shall not constitute a waiver by the Administrative Agent or the Lenders of any of their rights against any Guarantor.</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xml:space="preserve"> From and after the Amendment No. 2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Costs and Expenses.</w:t>
      </w:r>
      <w:r>
        <w:rPr>
          <w:rFonts w:ascii="Arial" w:cs="Arial" w:eastAsia="Arial" w:hAnsi="Arial"/>
          <w:sz w:val="22"/>
          <w:szCs w:val="22"/>
          <w:color w:val="auto"/>
        </w:rPr>
        <w:t xml:space="preserve"> Pursuant to the terms of Section 11.03 of the Credit Agreement, WIL-Bermuda agrees to pay all reasonable and documented out-of-pocket expenses incurred by the Administrative Agent and its Affiliates in connection with the preparation, execution and enforcement of this Amendment.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Choice of Law.</w:t>
      </w:r>
      <w:r>
        <w:rPr>
          <w:rFonts w:ascii="Arial" w:cs="Arial" w:eastAsia="Arial" w:hAnsi="Arial"/>
          <w:sz w:val="22"/>
          <w:szCs w:val="22"/>
          <w:color w:val="auto"/>
        </w:rPr>
        <w:t xml:space="preserve"> This Amendment and all other documents executed in connection herewith and the rights and obligations of the parties hereto and thereto, shall be construed in accordance with and governed by the law of the State of New York.</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Submission to Jurisdiction; Consent to Service of Process.</w:t>
      </w:r>
    </w:p>
    <w:p>
      <w:pPr>
        <w:spacing w:after="0" w:line="260" w:lineRule="exact"/>
        <w:rPr>
          <w:sz w:val="20"/>
          <w:szCs w:val="20"/>
          <w:color w:val="auto"/>
        </w:rPr>
      </w:pPr>
    </w:p>
    <w:p>
      <w:pPr>
        <w:jc w:val="both"/>
        <w:ind w:firstLine="656"/>
        <w:spacing w:after="0" w:line="258" w:lineRule="exact"/>
        <w:tabs>
          <w:tab w:leader="none" w:pos="133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(including this Section 11)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45" w:lineRule="exact"/>
        <w:rPr>
          <w:rFonts w:ascii="Arial" w:cs="Arial" w:eastAsia="Arial" w:hAnsi="Arial"/>
          <w:sz w:val="19"/>
          <w:szCs w:val="19"/>
          <w:color w:val="auto"/>
        </w:rPr>
      </w:pPr>
    </w:p>
    <w:p>
      <w:pPr>
        <w:jc w:val="both"/>
        <w:ind w:firstLine="656"/>
        <w:spacing w:after="0" w:line="248" w:lineRule="auto"/>
        <w:tabs>
          <w:tab w:leader="none" w:pos="11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Each Obligor Party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Party hereby irrevocably waives, to the fullest extent permitted by law, the defense of an inconvenient forum to the maintenance of such action or proceeding in any such court.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0" w:name="page11"/>
    <w:bookmarkEnd w:id="10"/>
    <w:p>
      <w:pPr>
        <w:jc w:val="both"/>
        <w:ind w:firstLine="656"/>
        <w:spacing w:after="0" w:line="260" w:lineRule="auto"/>
        <w:tabs>
          <w:tab w:leader="none" w:pos="1311" w:val="left"/>
        </w:tabs>
        <w:numPr>
          <w:ilvl w:val="1"/>
          <w:numId w:val="14"/>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221" w:lineRule="exact"/>
        <w:rPr>
          <w:rFonts w:ascii="Arial" w:cs="Arial" w:eastAsia="Arial" w:hAnsi="Arial"/>
          <w:sz w:val="21"/>
          <w:szCs w:val="21"/>
          <w:color w:val="auto"/>
        </w:rPr>
      </w:pPr>
    </w:p>
    <w:p>
      <w:pPr>
        <w:jc w:val="both"/>
        <w:ind w:firstLine="656"/>
        <w:spacing w:after="0" w:line="297" w:lineRule="auto"/>
        <w:tabs>
          <w:tab w:leader="none" w:pos="1313" w:val="left"/>
        </w:tabs>
        <w:numPr>
          <w:ilvl w:val="1"/>
          <w:numId w:val="14"/>
        </w:numPr>
        <w:rPr>
          <w:rFonts w:ascii="Arial" w:cs="Arial" w:eastAsia="Arial" w:hAnsi="Arial"/>
          <w:sz w:val="19"/>
          <w:szCs w:val="19"/>
          <w:color w:val="auto"/>
        </w:rPr>
      </w:pPr>
      <w:r>
        <w:rPr>
          <w:rFonts w:ascii="Arial" w:cs="Arial" w:eastAsia="Arial" w:hAnsi="Arial"/>
          <w:sz w:val="19"/>
          <w:szCs w:val="19"/>
          <w:color w:val="auto"/>
        </w:rPr>
        <w:t>Each Obligor Party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9"/>
          <w:szCs w:val="19"/>
          <w:color w:val="auto"/>
        </w:rPr>
      </w:pPr>
    </w:p>
    <w:p>
      <w:pPr>
        <w:jc w:val="both"/>
        <w:ind w:firstLine="656"/>
        <w:spacing w:after="0" w:line="259" w:lineRule="auto"/>
        <w:tabs>
          <w:tab w:leader="none" w:pos="1157"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0" w:lineRule="exact"/>
        <w:rPr>
          <w:rFonts w:ascii="Arial" w:cs="Arial" w:eastAsia="Arial" w:hAnsi="Arial"/>
          <w:sz w:val="21"/>
          <w:szCs w:val="21"/>
          <w:color w:val="auto"/>
        </w:rPr>
      </w:pPr>
    </w:p>
    <w:p>
      <w:pPr>
        <w:jc w:val="both"/>
        <w:ind w:firstLine="656"/>
        <w:spacing w:after="0" w:line="288" w:lineRule="auto"/>
        <w:tabs>
          <w:tab w:leader="none" w:pos="1159"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w:t>
      </w:r>
    </w:p>
    <w:p>
      <w:pPr>
        <w:spacing w:after="0" w:line="1" w:lineRule="exact"/>
        <w:rPr>
          <w:rFonts w:ascii="Arial" w:cs="Arial" w:eastAsia="Arial" w:hAnsi="Arial"/>
          <w:sz w:val="19"/>
          <w:szCs w:val="19"/>
          <w:color w:val="auto"/>
        </w:rPr>
      </w:pPr>
    </w:p>
    <w:p>
      <w:pPr>
        <w:ind w:firstLine="8"/>
        <w:spacing w:after="0" w:line="323" w:lineRule="auto"/>
        <w:tabs>
          <w:tab w:leader="none" w:pos="301" w:val="left"/>
        </w:tabs>
        <w:numPr>
          <w:ilvl w:val="0"/>
          <w:numId w:val="15"/>
        </w:numPr>
        <w:rPr>
          <w:rFonts w:ascii="Arial" w:cs="Arial" w:eastAsia="Arial" w:hAnsi="Arial"/>
          <w:sz w:val="19"/>
          <w:szCs w:val="19"/>
          <w:color w:val="auto"/>
        </w:rPr>
      </w:pPr>
      <w:r>
        <w:rPr>
          <w:rFonts w:ascii="Arial" w:cs="Arial" w:eastAsia="Arial" w:hAnsi="Arial"/>
          <w:sz w:val="19"/>
          <w:szCs w:val="19"/>
          <w:color w:val="auto"/>
        </w:rPr>
        <w:t>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163" w:lineRule="exact"/>
        <w:rPr>
          <w:rFonts w:ascii="Arial" w:cs="Arial" w:eastAsia="Arial" w:hAnsi="Arial"/>
          <w:sz w:val="19"/>
          <w:szCs w:val="19"/>
          <w:color w:val="auto"/>
        </w:rPr>
      </w:pPr>
    </w:p>
    <w:p>
      <w:pPr>
        <w:ind w:right="40" w:firstLine="656"/>
        <w:spacing w:after="0" w:line="250" w:lineRule="auto"/>
        <w:tabs>
          <w:tab w:leader="none" w:pos="1166" w:val="left"/>
        </w:tabs>
        <w:numPr>
          <w:ilvl w:val="1"/>
          <w:numId w:val="15"/>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55" w:val="left"/>
        </w:tabs>
        <w:numPr>
          <w:ilvl w:val="0"/>
          <w:numId w:val="16"/>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2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i w:val="1"/>
          <w:iCs w:val="1"/>
          <w:color w:val="auto"/>
        </w:rPr>
        <w:t>Remainder of page intentionally left blank; signature pages follow.</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2" w:name="page13"/>
    <w:bookmarkEnd w:id="12"/>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WIL-BERMUDA:</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Oscar J. Pinotti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24765</wp:posOffset>
            </wp:positionV>
            <wp:extent cx="284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Oscar J. Pinotti</w:t>
      </w:r>
    </w:p>
    <w:p>
      <w:pPr>
        <w:spacing w:after="0" w:line="4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1420"/>
          </w:cols>
          <w:pgMar w:left="240" w:top="591"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u w:val="single" w:color="auto"/>
          <w:color w:val="auto"/>
        </w:rPr>
        <w:t>WIL-IRELAND:</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Bastiaan E. van Houts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Bastiaan E. van Houts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Ming K. Chu</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Ming K. Chu</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Virginia Cosenza</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Virginia Cosenza</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17" w:name="page18"/>
    <w:bookmarkEnd w:id="17"/>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CREDIT AGRICOLE CORPORATE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INVESTMENT BANK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Page Dillehunt</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Page Dillehunt</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Willis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Michael Willis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440" w:right="1440"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Patrick Layton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Patrick Layton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THE BANK OF TOKYO-MITSUBISHI UFJ,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Kevin Sparks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Pr>
          <w:p>
            <w:pPr>
              <w:ind w:left="40"/>
              <w:spacing w:after="0"/>
              <w:rPr>
                <w:sz w:val="20"/>
                <w:szCs w:val="20"/>
                <w:color w:val="auto"/>
              </w:rPr>
            </w:pPr>
            <w:r>
              <w:rPr>
                <w:rFonts w:ascii="Arial" w:cs="Arial" w:eastAsia="Arial" w:hAnsi="Arial"/>
                <w:sz w:val="22"/>
                <w:szCs w:val="22"/>
                <w:color w:val="auto"/>
              </w:rPr>
              <w:t>Kevin Sparks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20" w:name="page21"/>
    <w:bookmarkEnd w:id="20"/>
    <w:p>
      <w:pPr>
        <w:ind w:left="2720"/>
        <w:spacing w:after="0"/>
        <w:rPr>
          <w:sz w:val="20"/>
          <w:szCs w:val="20"/>
          <w:color w:val="auto"/>
        </w:rPr>
      </w:pPr>
      <w:r>
        <w:rPr>
          <w:rFonts w:ascii="Arial" w:cs="Arial" w:eastAsia="Arial" w:hAnsi="Arial"/>
          <w:sz w:val="22"/>
          <w:szCs w:val="22"/>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7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Corder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5280" w:type="dxa"/>
            <w:vAlign w:val="bottom"/>
          </w:tcPr>
          <w:p>
            <w:pPr>
              <w:ind w:left="20"/>
              <w:spacing w:after="0"/>
              <w:rPr>
                <w:sz w:val="20"/>
                <w:szCs w:val="20"/>
                <w:color w:val="auto"/>
              </w:rPr>
            </w:pPr>
            <w:r>
              <w:rPr>
                <w:rFonts w:ascii="Arial" w:cs="Arial" w:eastAsia="Arial" w:hAnsi="Arial"/>
                <w:sz w:val="22"/>
                <w:szCs w:val="22"/>
                <w:color w:val="auto"/>
              </w:rPr>
              <w:t>Robert Corder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528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Amended and Restated Credit Agreement</w:t>
      </w:r>
    </w:p>
    <w:p>
      <w:pPr>
        <w:sectPr>
          <w:pgSz w:w="11900" w:h="16838" w:orient="portrait"/>
          <w:cols w:equalWidth="0" w:num="1">
            <w:col w:w="9019"/>
          </w:cols>
          <w:pgMar w:left="1440" w:top="1198"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Kevin Spivey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Pr>
          <w:p>
            <w:pPr>
              <w:ind w:left="40"/>
              <w:spacing w:after="0"/>
              <w:rPr>
                <w:sz w:val="20"/>
                <w:szCs w:val="20"/>
                <w:color w:val="auto"/>
              </w:rPr>
            </w:pPr>
            <w:r>
              <w:rPr>
                <w:rFonts w:ascii="Arial" w:cs="Arial" w:eastAsia="Arial" w:hAnsi="Arial"/>
                <w:sz w:val="22"/>
                <w:szCs w:val="22"/>
                <w:color w:val="auto"/>
              </w:rPr>
              <w:t>Kevin Spivey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198" w:right="1440"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Peter Kardos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Peter Kardos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440" w:right="1440"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Marguerite Sutton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Marguerite Sutton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820" w:right="1440" w:bottom="1440" w:gutter="0" w:footer="0" w:header="0"/>
        </w:sectPr>
      </w:pPr>
    </w:p>
    <w:bookmarkStart w:id="24" w:name="page25"/>
    <w:bookmarkEnd w:id="24"/>
    <w:p>
      <w:pPr>
        <w:ind w:left="2720"/>
        <w:spacing w:after="0"/>
        <w:rPr>
          <w:sz w:val="20"/>
          <w:szCs w:val="20"/>
          <w:color w:val="auto"/>
        </w:rPr>
      </w:pPr>
      <w:r>
        <w:rPr>
          <w:rFonts w:ascii="Arial" w:cs="Arial" w:eastAsia="Arial" w:hAnsi="Arial"/>
          <w:sz w:val="22"/>
          <w:szCs w:val="22"/>
          <w:color w:val="auto"/>
        </w:rPr>
        <w:t>STANDARD CHARTERED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7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 Aloupis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Steve Aloupis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2 to Amended and Restated Credit Agreement</w:t>
      </w:r>
    </w:p>
    <w:p>
      <w:pPr>
        <w:sectPr>
          <w:pgSz w:w="11900" w:h="16838" w:orient="portrait"/>
          <w:cols w:equalWidth="0" w:num="1">
            <w:col w:w="9019"/>
          </w:cols>
          <w:pgMar w:left="1440" w:top="820" w:right="1440"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HSBC BANK USA,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Adam Hendley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Adam Hendley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198" w:right="1440"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BANCO BILBAO VIZCAYA ARGENTINA, S.A. NEW</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YORK BRANCH</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Brian Crowley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Pr>
          <w:p>
            <w:pPr>
              <w:ind w:left="40"/>
              <w:spacing w:after="0"/>
              <w:rPr>
                <w:sz w:val="20"/>
                <w:szCs w:val="20"/>
                <w:color w:val="auto"/>
              </w:rPr>
            </w:pPr>
            <w:r>
              <w:rPr>
                <w:rFonts w:ascii="Arial" w:cs="Arial" w:eastAsia="Arial" w:hAnsi="Arial"/>
                <w:sz w:val="22"/>
                <w:szCs w:val="22"/>
                <w:color w:val="auto"/>
              </w:rPr>
              <w:t>Brian Crowley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Cara Younger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Pr>
          <w:p>
            <w:pPr>
              <w:ind w:left="40"/>
              <w:spacing w:after="0"/>
              <w:rPr>
                <w:sz w:val="20"/>
                <w:szCs w:val="20"/>
                <w:color w:val="auto"/>
              </w:rPr>
            </w:pPr>
            <w:r>
              <w:rPr>
                <w:rFonts w:ascii="Arial" w:cs="Arial" w:eastAsia="Arial" w:hAnsi="Arial"/>
                <w:sz w:val="22"/>
                <w:szCs w:val="22"/>
                <w:color w:val="auto"/>
              </w:rPr>
              <w:t>Cara Younger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198" w:right="1440" w:bottom="1440" w:gutter="0" w:footer="0" w:header="0"/>
        </w:sectPr>
      </w:pPr>
    </w:p>
    <w:bookmarkStart w:id="27" w:name="page28"/>
    <w:bookmarkEnd w:id="27"/>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THE TORONTO DOMINION BANK,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56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Savo Bozic</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440" w:right="1440"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NORDEA BANK AB (PUBL),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Olli Savikko</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40"/>
              <w:spacing w:after="0"/>
              <w:rPr>
                <w:sz w:val="20"/>
                <w:szCs w:val="20"/>
                <w:color w:val="auto"/>
              </w:rPr>
            </w:pPr>
            <w:r>
              <w:rPr>
                <w:rFonts w:ascii="Arial" w:cs="Arial" w:eastAsia="Arial" w:hAnsi="Arial"/>
                <w:sz w:val="22"/>
                <w:szCs w:val="22"/>
                <w:color w:val="auto"/>
              </w:rPr>
              <w:t>Olli Savikko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Christopher G. Spitler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40"/>
              <w:spacing w:after="0"/>
              <w:rPr>
                <w:sz w:val="20"/>
                <w:szCs w:val="20"/>
                <w:color w:val="auto"/>
              </w:rPr>
            </w:pPr>
            <w:r>
              <w:rPr>
                <w:rFonts w:ascii="Arial" w:cs="Arial" w:eastAsia="Arial" w:hAnsi="Arial"/>
                <w:sz w:val="22"/>
                <w:szCs w:val="22"/>
                <w:color w:val="auto"/>
              </w:rPr>
              <w:t>Christopher G. Spitler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2 to Amended and Restated Credit Agreement</w:t>
      </w:r>
    </w:p>
    <w:p>
      <w:pPr>
        <w:sectPr>
          <w:pgSz w:w="11900" w:h="16838" w:orient="portrait"/>
          <w:cols w:equalWidth="0" w:num="1">
            <w:col w:w="10179"/>
          </w:cols>
          <w:pgMar w:left="280" w:top="1415" w:right="1440"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UNICREDIT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D. Novellino</w:t>
            </w:r>
          </w:p>
        </w:tc>
        <w:tc>
          <w:tcPr>
            <w:tcW w:w="330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Michael D. Novellino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Scott Obeck</w:t>
            </w:r>
          </w:p>
        </w:tc>
        <w:tc>
          <w:tcPr>
            <w:tcW w:w="330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Scott Obeck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Director</w:t>
            </w:r>
          </w:p>
        </w:tc>
      </w:tr>
      <w:tr>
        <w:trPr>
          <w:trHeight w:val="935"/>
        </w:trPr>
        <w:tc>
          <w:tcPr>
            <w:tcW w:w="680" w:type="dxa"/>
            <w:vAlign w:val="bottom"/>
          </w:tcPr>
          <w:p>
            <w:pPr>
              <w:spacing w:after="0"/>
              <w:rPr>
                <w:sz w:val="24"/>
                <w:szCs w:val="24"/>
                <w:color w:val="auto"/>
              </w:rPr>
            </w:pPr>
          </w:p>
        </w:tc>
        <w:tc>
          <w:tcPr>
            <w:tcW w:w="7900" w:type="dxa"/>
            <w:vAlign w:val="bottom"/>
            <w:gridSpan w:val="2"/>
          </w:tcPr>
          <w:p>
            <w:pPr>
              <w:ind w:left="2080"/>
              <w:spacing w:after="0"/>
              <w:rPr>
                <w:sz w:val="20"/>
                <w:szCs w:val="20"/>
                <w:color w:val="auto"/>
              </w:rPr>
            </w:pPr>
            <w:r>
              <w:rPr>
                <w:rFonts w:ascii="Arial" w:cs="Arial" w:eastAsia="Arial" w:hAnsi="Arial"/>
                <w:sz w:val="18"/>
                <w:szCs w:val="18"/>
                <w:i w:val="1"/>
                <w:iCs w:val="1"/>
                <w:color w:val="auto"/>
                <w:w w:val="88"/>
              </w:rPr>
              <w:t>Signature Page to Amendment No. 2 to Amended and Restated Credit Agreement</w:t>
            </w:r>
          </w:p>
        </w:tc>
      </w:tr>
    </w:tbl>
    <w:p>
      <w:pPr>
        <w:sectPr>
          <w:pgSz w:w="11900" w:h="16838" w:orient="portrait"/>
          <w:cols w:equalWidth="0" w:num="1">
            <w:col w:w="10179"/>
          </w:cols>
          <w:pgMar w:left="280" w:top="820" w:right="1440" w:bottom="1440" w:gutter="0" w:footer="0" w:header="0"/>
        </w:sectPr>
      </w:pPr>
    </w:p>
    <w:bookmarkStart w:id="30" w:name="page31"/>
    <w:bookmarkEnd w:id="30"/>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SKANDINAVISKA ENSKILDA BANKEN AB (PUBL)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Penny Neville-Park</w:t>
            </w:r>
          </w:p>
        </w:tc>
      </w:tr>
      <w:tr>
        <w:trPr>
          <w:trHeight w:val="280"/>
        </w:trPr>
        <w:tc>
          <w:tcPr>
            <w:tcW w:w="5280" w:type="dxa"/>
            <w:vAlign w:val="bottom"/>
            <w:gridSpan w:val="2"/>
          </w:tcPr>
          <w:p>
            <w:pPr>
              <w:spacing w:after="0"/>
              <w:rPr>
                <w:sz w:val="20"/>
                <w:szCs w:val="20"/>
                <w:color w:val="auto"/>
              </w:rPr>
            </w:pPr>
            <w:r>
              <w:rPr>
                <w:rFonts w:ascii="Arial" w:cs="Arial" w:eastAsia="Arial" w:hAnsi="Arial"/>
                <w:sz w:val="22"/>
                <w:szCs w:val="22"/>
                <w:color w:val="auto"/>
              </w:rPr>
              <w:t>Name:  Penny Neville-Park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spacing w:after="0"/>
              <w:rPr>
                <w:sz w:val="24"/>
                <w:szCs w:val="24"/>
                <w:color w:val="auto"/>
              </w:rPr>
            </w:pPr>
          </w:p>
        </w:tc>
      </w:tr>
      <w:tr>
        <w:trPr>
          <w:trHeight w:val="94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40"/>
              <w:spacing w:after="0"/>
              <w:rPr>
                <w:sz w:val="20"/>
                <w:szCs w:val="20"/>
                <w:color w:val="auto"/>
              </w:rPr>
            </w:pPr>
            <w:r>
              <w:rPr>
                <w:rFonts w:ascii="Arial" w:cs="Arial" w:eastAsia="Arial" w:hAnsi="Arial"/>
                <w:sz w:val="22"/>
                <w:szCs w:val="22"/>
                <w:color w:val="auto"/>
              </w:rPr>
              <w:t>/s/ Alison Butt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10795</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Name:  Alison Butt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79"/>
          </w:cols>
          <w:pgMar w:left="2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auto"/>
        </w:rPr>
        <w:t>Signature Page to Amendment No. 2 to Amended and Restated Credit Agreement</w:t>
      </w:r>
    </w:p>
    <w:p>
      <w:pPr>
        <w:sectPr>
          <w:pgSz w:w="11900" w:h="16838" w:orient="portrait"/>
          <w:cols w:equalWidth="0" w:num="1">
            <w:col w:w="10179"/>
          </w:cols>
          <w:pgMar w:left="280" w:top="1440"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color w:val="auto"/>
        </w:rPr>
        <w:t>ARAB BANKING CORPORATION, GRAND CAYMAN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Victoria Gale</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40"/>
              <w:spacing w:after="0"/>
              <w:rPr>
                <w:sz w:val="20"/>
                <w:szCs w:val="20"/>
                <w:color w:val="auto"/>
              </w:rPr>
            </w:pPr>
            <w:r>
              <w:rPr>
                <w:rFonts w:ascii="Arial" w:cs="Arial" w:eastAsia="Arial" w:hAnsi="Arial"/>
                <w:sz w:val="22"/>
                <w:szCs w:val="22"/>
                <w:color w:val="auto"/>
              </w:rPr>
              <w:t>Victoria Gale</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40"/>
              <w:spacing w:after="0"/>
              <w:rPr>
                <w:sz w:val="20"/>
                <w:szCs w:val="20"/>
                <w:color w:val="auto"/>
              </w:rPr>
            </w:pPr>
            <w:r>
              <w:rPr>
                <w:rFonts w:ascii="Arial" w:cs="Arial" w:eastAsia="Arial" w:hAnsi="Arial"/>
                <w:sz w:val="22"/>
                <w:szCs w:val="22"/>
                <w:color w:val="auto"/>
              </w:rPr>
              <w:t>Vice President</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Rami Zaytoon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40"/>
              <w:spacing w:after="0"/>
              <w:rPr>
                <w:sz w:val="20"/>
                <w:szCs w:val="20"/>
                <w:color w:val="auto"/>
              </w:rPr>
            </w:pPr>
            <w:r>
              <w:rPr>
                <w:rFonts w:ascii="Arial" w:cs="Arial" w:eastAsia="Arial" w:hAnsi="Arial"/>
                <w:sz w:val="22"/>
                <w:szCs w:val="22"/>
                <w:color w:val="auto"/>
              </w:rPr>
              <w:t>Rami Zaytoon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ectPr>
          <w:pgSz w:w="11900" w:h="16838" w:orient="portrait"/>
          <w:cols w:equalWidth="0" w:num="1">
            <w:col w:w="10099"/>
          </w:cols>
          <w:pgMar w:left="36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80"/>
        <w:spacing w:after="0"/>
        <w:rPr>
          <w:sz w:val="20"/>
          <w:szCs w:val="20"/>
          <w:color w:val="auto"/>
        </w:rPr>
      </w:pPr>
      <w:r>
        <w:rPr>
          <w:rFonts w:ascii="Arial" w:cs="Arial" w:eastAsia="Arial" w:hAnsi="Arial"/>
          <w:sz w:val="16"/>
          <w:szCs w:val="16"/>
          <w:i w:val="1"/>
          <w:iCs w:val="1"/>
          <w:color w:val="auto"/>
        </w:rPr>
        <w:t>Signature Page to Amendment No. 2 to Amended and Restated Credit Agreement</w:t>
      </w:r>
    </w:p>
    <w:p>
      <w:pPr>
        <w:sectPr>
          <w:pgSz w:w="11900" w:h="16838" w:orient="portrait"/>
          <w:cols w:equalWidth="0" w:num="1">
            <w:col w:w="10099"/>
          </w:cols>
          <w:pgMar w:left="360" w:top="1171" w:right="1440" w:bottom="1440" w:gutter="0" w:footer="0" w:header="0"/>
          <w:type w:val="continuous"/>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See Attached</w:t>
      </w:r>
      <w:r>
        <w:rPr>
          <w:rFonts w:ascii="Arial" w:cs="Arial" w:eastAsia="Arial" w:hAnsi="Arial"/>
          <w:sz w:val="16"/>
          <w:szCs w:val="16"/>
          <w:b w:val="1"/>
          <w:bCs w:val="1"/>
          <w:color w:val="auto"/>
        </w:rPr>
        <w:t>]</w:t>
      </w:r>
    </w:p>
    <w:p>
      <w:pPr>
        <w:sectPr>
          <w:pgSz w:w="11900" w:h="16838" w:orient="portrait"/>
          <w:cols w:equalWidth="0" w:num="1">
            <w:col w:w="9019"/>
          </w:cols>
          <w:pgMar w:left="1440" w:top="580"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SCHEDULE 2.01</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620" w:type="dxa"/>
            <w:vAlign w:val="bottom"/>
            <w:vMerge w:val="restart"/>
          </w:tcPr>
          <w:p>
            <w:pPr>
              <w:spacing w:after="0"/>
              <w:rPr>
                <w:sz w:val="20"/>
                <w:szCs w:val="20"/>
                <w:color w:val="auto"/>
              </w:rPr>
            </w:pPr>
            <w:r>
              <w:rPr>
                <w:rFonts w:ascii="Arial" w:cs="Arial" w:eastAsia="Arial" w:hAnsi="Arial"/>
                <w:sz w:val="20"/>
                <w:szCs w:val="20"/>
                <w:b w:val="1"/>
                <w:bCs w:val="1"/>
                <w:color w:val="auto"/>
                <w:w w:val="89"/>
              </w:rPr>
              <w:t>Lender</w:t>
            </w:r>
          </w:p>
        </w:tc>
        <w:tc>
          <w:tcPr>
            <w:tcW w:w="1980" w:type="dxa"/>
            <w:vAlign w:val="bottom"/>
            <w:vMerge w:val="restart"/>
          </w:tcPr>
          <w:p>
            <w:pPr>
              <w:spacing w:after="0"/>
              <w:rPr>
                <w:sz w:val="19"/>
                <w:szCs w:val="19"/>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20"/>
                <w:szCs w:val="20"/>
                <w:b w:val="1"/>
                <w:bCs w:val="1"/>
                <w:color w:val="auto"/>
                <w:w w:val="89"/>
              </w:rPr>
              <w:t>Non-Extended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88"/>
              </w:rPr>
              <w:t>Extended</w:t>
            </w:r>
          </w:p>
        </w:tc>
        <w:tc>
          <w:tcPr>
            <w:tcW w:w="3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8"/>
              </w:rPr>
              <w:t>Applicable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jc w:val="center"/>
              <w:spacing w:after="0" w:line="209" w:lineRule="exact"/>
              <w:rPr>
                <w:sz w:val="20"/>
                <w:szCs w:val="20"/>
                <w:color w:val="auto"/>
              </w:rPr>
            </w:pPr>
            <w:r>
              <w:rPr>
                <w:rFonts w:ascii="Arial" w:cs="Arial" w:eastAsia="Arial" w:hAnsi="Arial"/>
                <w:sz w:val="20"/>
                <w:szCs w:val="20"/>
                <w:b w:val="1"/>
                <w:bCs w:val="1"/>
                <w:color w:val="auto"/>
                <w:w w:val="93"/>
              </w:rPr>
              <w:t>Commitment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4"/>
          </w:tcPr>
          <w:p>
            <w:pPr>
              <w:jc w:val="center"/>
              <w:ind w:right="340"/>
              <w:spacing w:after="0" w:line="209" w:lineRule="exact"/>
              <w:rPr>
                <w:sz w:val="20"/>
                <w:szCs w:val="20"/>
                <w:color w:val="auto"/>
              </w:rPr>
            </w:pPr>
            <w:r>
              <w:rPr>
                <w:rFonts w:ascii="Arial" w:cs="Arial" w:eastAsia="Arial" w:hAnsi="Arial"/>
                <w:sz w:val="20"/>
                <w:szCs w:val="20"/>
                <w:b w:val="1"/>
                <w:bCs w:val="1"/>
                <w:color w:val="auto"/>
                <w:w w:val="91"/>
              </w:rPr>
              <w:t>Commitment</w:t>
            </w:r>
          </w:p>
        </w:tc>
        <w:tc>
          <w:tcPr>
            <w:tcW w:w="1640" w:type="dxa"/>
            <w:vAlign w:val="bottom"/>
            <w:gridSpan w:val="3"/>
          </w:tcPr>
          <w:p>
            <w:pPr>
              <w:jc w:val="center"/>
              <w:ind w:right="20"/>
              <w:spacing w:after="0" w:line="209" w:lineRule="exact"/>
              <w:rPr>
                <w:sz w:val="20"/>
                <w:szCs w:val="20"/>
                <w:color w:val="auto"/>
              </w:rPr>
            </w:pPr>
            <w:r>
              <w:rPr>
                <w:rFonts w:ascii="Arial" w:cs="Arial" w:eastAsia="Arial" w:hAnsi="Arial"/>
                <w:sz w:val="20"/>
                <w:szCs w:val="20"/>
                <w:b w:val="1"/>
                <w:bCs w:val="1"/>
                <w:color w:val="auto"/>
                <w:w w:val="87"/>
              </w:rPr>
              <w:t>Percentage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160" w:type="dxa"/>
            <w:vAlign w:val="bottom"/>
            <w:gridSpan w:val="3"/>
          </w:tcPr>
          <w:p>
            <w:pPr>
              <w:spacing w:after="0"/>
              <w:rPr>
                <w:sz w:val="20"/>
                <w:szCs w:val="20"/>
                <w:color w:val="auto"/>
              </w:rPr>
            </w:pPr>
            <w:r>
              <w:rPr>
                <w:rFonts w:ascii="Arial" w:cs="Arial" w:eastAsia="Arial" w:hAnsi="Arial"/>
                <w:sz w:val="20"/>
                <w:szCs w:val="20"/>
                <w:color w:val="auto"/>
              </w:rPr>
              <w:t>JPMorgan Chase Bank, N.A.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7.9703793314%</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Deutsche Bank AG New York Branch</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7.9703793322%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Wells Fargo Bank, National Association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7.9703793322%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Morgan Stanley Bank, N.A.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7.9703793322%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The Bank of Tokyo-Mitsubishi UFJ, Ltd.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7.9703793322%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Citibank, N.A.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$95,553,760.91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7.9703793322%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Skandinaviska Enskilda Banken AB (publ)</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$67,299,279.90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5.6136020652%</w:t>
            </w:r>
          </w:p>
        </w:tc>
        <w:tc>
          <w:tcPr>
            <w:tcW w:w="0" w:type="dxa"/>
            <w:vAlign w:val="bottom"/>
          </w:tcPr>
          <w:p>
            <w:pPr>
              <w:spacing w:after="0"/>
              <w:rPr>
                <w:sz w:val="1"/>
                <w:szCs w:val="1"/>
                <w:color w:val="auto"/>
              </w:rPr>
            </w:pPr>
          </w:p>
        </w:tc>
      </w:tr>
      <w:tr>
        <w:trPr>
          <w:trHeight w:val="263"/>
        </w:trPr>
        <w:tc>
          <w:tcPr>
            <w:tcW w:w="4160" w:type="dxa"/>
            <w:vAlign w:val="bottom"/>
            <w:gridSpan w:val="3"/>
          </w:tcPr>
          <w:p>
            <w:pPr>
              <w:spacing w:after="0"/>
              <w:rPr>
                <w:sz w:val="20"/>
                <w:szCs w:val="20"/>
                <w:color w:val="auto"/>
              </w:rPr>
            </w:pPr>
            <w:r>
              <w:rPr>
                <w:rFonts w:ascii="Arial" w:cs="Arial" w:eastAsia="Arial" w:hAnsi="Arial"/>
                <w:sz w:val="20"/>
                <w:szCs w:val="20"/>
                <w:color w:val="auto"/>
              </w:rPr>
              <w:t>The Toronto Dominion Bank, New York</w:t>
            </w: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gridSpan w:val="3"/>
          </w:tcPr>
          <w:p>
            <w:pPr>
              <w:spacing w:after="0"/>
              <w:rPr>
                <w:sz w:val="20"/>
                <w:szCs w:val="20"/>
                <w:color w:val="auto"/>
              </w:rPr>
            </w:pPr>
            <w:r>
              <w:rPr>
                <w:rFonts w:ascii="Arial" w:cs="Arial" w:eastAsia="Arial" w:hAnsi="Arial"/>
                <w:sz w:val="20"/>
                <w:szCs w:val="20"/>
                <w:color w:val="auto"/>
              </w:rPr>
              <w:t>Branch</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1"/>
                <w:szCs w:val="21"/>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$67,299,279.90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5.6136020652%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Royal Bank of Canada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$60,569,351.91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5.0522418587%</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Standard Chartered Bank</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$54,512,416.72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4.5470176729%</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Barclays Bank PLC</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$48,455,481.53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4.0417934871%</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Nordea Bank AB (publ), New York Branch</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$43,071,539.13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3.5927053213%</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UniCredit Bank AG, New York Branch</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$43,071,539.13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3.5927053213%</w:t>
            </w:r>
          </w:p>
        </w:tc>
        <w:tc>
          <w:tcPr>
            <w:tcW w:w="0" w:type="dxa"/>
            <w:vAlign w:val="bottom"/>
          </w:tcPr>
          <w:p>
            <w:pPr>
              <w:spacing w:after="0"/>
              <w:rPr>
                <w:sz w:val="1"/>
                <w:szCs w:val="1"/>
                <w:color w:val="auto"/>
              </w:rPr>
            </w:pPr>
          </w:p>
        </w:tc>
      </w:tr>
      <w:tr>
        <w:trPr>
          <w:trHeight w:val="263"/>
        </w:trPr>
        <w:tc>
          <w:tcPr>
            <w:tcW w:w="4160" w:type="dxa"/>
            <w:vAlign w:val="bottom"/>
            <w:gridSpan w:val="3"/>
          </w:tcPr>
          <w:p>
            <w:pPr>
              <w:spacing w:after="0"/>
              <w:rPr>
                <w:sz w:val="20"/>
                <w:szCs w:val="20"/>
                <w:color w:val="auto"/>
              </w:rPr>
            </w:pPr>
            <w:r>
              <w:rPr>
                <w:rFonts w:ascii="Arial" w:cs="Arial" w:eastAsia="Arial" w:hAnsi="Arial"/>
                <w:sz w:val="20"/>
                <w:szCs w:val="20"/>
                <w:color w:val="auto"/>
              </w:rPr>
              <w:t>Banco Bilbao Vizcaya Argentaria, S.A. New</w:t>
            </w: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gridSpan w:val="3"/>
          </w:tcPr>
          <w:p>
            <w:pPr>
              <w:spacing w:after="0"/>
              <w:rPr>
                <w:sz w:val="20"/>
                <w:szCs w:val="20"/>
                <w:color w:val="auto"/>
              </w:rPr>
            </w:pPr>
            <w:r>
              <w:rPr>
                <w:rFonts w:ascii="Arial" w:cs="Arial" w:eastAsia="Arial" w:hAnsi="Arial"/>
                <w:sz w:val="20"/>
                <w:szCs w:val="20"/>
                <w:color w:val="auto"/>
              </w:rPr>
              <w:t>York Branch</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1"/>
                <w:szCs w:val="21"/>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$24,227,740.76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2.0208967432%</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Arab Banking Corporation, Grand Cayman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$18,170,805.57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1.5156725574%</w:t>
            </w:r>
          </w:p>
        </w:tc>
        <w:tc>
          <w:tcPr>
            <w:tcW w:w="0" w:type="dxa"/>
            <w:vAlign w:val="bottom"/>
          </w:tcPr>
          <w:p>
            <w:pPr>
              <w:spacing w:after="0"/>
              <w:rPr>
                <w:sz w:val="1"/>
                <w:szCs w:val="1"/>
                <w:color w:val="auto"/>
              </w:rPr>
            </w:pPr>
          </w:p>
        </w:tc>
      </w:tr>
      <w:tr>
        <w:trPr>
          <w:trHeight w:val="263"/>
        </w:trPr>
        <w:tc>
          <w:tcPr>
            <w:tcW w:w="4160" w:type="dxa"/>
            <w:vAlign w:val="bottom"/>
            <w:gridSpan w:val="3"/>
          </w:tcPr>
          <w:p>
            <w:pPr>
              <w:spacing w:after="0"/>
              <w:rPr>
                <w:sz w:val="20"/>
                <w:szCs w:val="20"/>
                <w:color w:val="auto"/>
              </w:rPr>
            </w:pPr>
            <w:r>
              <w:rPr>
                <w:rFonts w:ascii="Arial" w:cs="Arial" w:eastAsia="Arial" w:hAnsi="Arial"/>
                <w:sz w:val="20"/>
                <w:szCs w:val="20"/>
                <w:color w:val="auto"/>
              </w:rPr>
              <w:t>Credit Agricole Corporate and Investment</w:t>
            </w: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gridSpan w:val="3"/>
          </w:tcPr>
          <w:p>
            <w:pPr>
              <w:spacing w:after="0"/>
              <w:rPr>
                <w:sz w:val="20"/>
                <w:szCs w:val="20"/>
                <w:color w:val="auto"/>
              </w:rPr>
            </w:pPr>
            <w:r>
              <w:rPr>
                <w:rFonts w:ascii="Arial" w:cs="Arial" w:eastAsia="Arial" w:hAnsi="Arial"/>
                <w:sz w:val="20"/>
                <w:szCs w:val="20"/>
                <w:color w:val="auto"/>
              </w:rPr>
              <w:t>Bank</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$137,078,868.62</w:t>
            </w:r>
          </w:p>
        </w:tc>
        <w:tc>
          <w:tcPr>
            <w:tcW w:w="380" w:type="dxa"/>
            <w:vAlign w:val="bottom"/>
          </w:tcPr>
          <w:p>
            <w:pPr>
              <w:spacing w:after="0"/>
              <w:rPr>
                <w:sz w:val="21"/>
                <w:szCs w:val="21"/>
                <w:color w:val="auto"/>
              </w:rPr>
            </w:pPr>
          </w:p>
        </w:tc>
        <w:tc>
          <w:tcPr>
            <w:tcW w:w="128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11.4340929224%</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color w:val="auto"/>
              </w:rPr>
              <w:t>HSBC Bank USA, N.A.</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1"/>
              </w:rPr>
              <w:t>$61,782,025.29</w:t>
            </w:r>
          </w:p>
        </w:tc>
        <w:tc>
          <w:tcPr>
            <w:tcW w:w="380" w:type="dxa"/>
            <w:vAlign w:val="bottom"/>
          </w:tcPr>
          <w:p>
            <w:pPr>
              <w:spacing w:after="0"/>
              <w:rPr>
                <w:sz w:val="24"/>
                <w:szCs w:val="24"/>
                <w:color w:val="auto"/>
              </w:rPr>
            </w:pPr>
          </w:p>
        </w:tc>
        <w:tc>
          <w:tcPr>
            <w:tcW w:w="128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5.1533939929%</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$198,860,893.91</w:t>
            </w:r>
          </w:p>
        </w:tc>
        <w:tc>
          <w:tcPr>
            <w:tcW w:w="380" w:type="dxa"/>
            <w:vAlign w:val="bottom"/>
          </w:tcPr>
          <w:p>
            <w:pPr>
              <w:spacing w:after="0"/>
              <w:rPr>
                <w:sz w:val="24"/>
                <w:szCs w:val="24"/>
                <w:color w:val="auto"/>
              </w:rPr>
            </w:pPr>
          </w:p>
        </w:tc>
        <w:tc>
          <w:tcPr>
            <w:tcW w:w="17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$1,000,000,000</w:t>
            </w:r>
          </w:p>
        </w:tc>
        <w:tc>
          <w:tcPr>
            <w:tcW w:w="12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9"/>
              </w:rPr>
              <w:t>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138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TERM LOAN AGREEMENT</w:t>
      </w:r>
    </w:p>
    <w:p>
      <w:pPr>
        <w:spacing w:after="0" w:line="22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THIS AMENDMENT NO. 2 TO TERM LOAN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April 17, 2017, by and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WIL</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Ireland</w:t>
      </w:r>
      <w:r>
        <w:rPr>
          <w:rFonts w:ascii="Arial" w:cs="Arial" w:eastAsia="Arial" w:hAnsi="Arial"/>
          <w:sz w:val="22"/>
          <w:szCs w:val="22"/>
          <w:color w:val="auto"/>
        </w:rPr>
        <w:t>” and, together with WIL-Bermuda, the “</w:t>
      </w:r>
      <w:r>
        <w:rPr>
          <w:rFonts w:ascii="Arial" w:cs="Arial" w:eastAsia="Arial" w:hAnsi="Arial"/>
          <w:sz w:val="22"/>
          <w:szCs w:val="22"/>
          <w:u w:val="single" w:color="auto"/>
          <w:color w:val="auto"/>
        </w:rPr>
        <w:t>Obligor</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the Lenders listed on the signature pages attached hereto and JPMORGAN CHASE BANK, N.A., as administrative agent for the Lenders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reference is made to that certain Term Loan Agreement dated as of May 4, 2016 by and among the Obligor Parties, the lenders named therein and the Administrative Agent (as amended by that certain Amendment No. 1 to Term Loan Agreement dated as of July 19, 2016 and as further amended, supplemented or otherwise modified prior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Obligor Parties have requested that the Lenders agree to amend certain provisions of the Credit Agreement, and the Required Lenders have agreed to amend the Credit Agreement as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otherwise defined herein shall have the meanings assigned to them in the Credit Agreement.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xml:space="preserve">. Upon the Amendment No. 2 Effective Date (as defined below), the Credit Agreement is hereby amended as follows; provided, that the amendments set forth in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shall be deemed to be effective and applicable as of March 31, 2017:</w:t>
      </w:r>
    </w:p>
    <w:p>
      <w:pPr>
        <w:spacing w:after="0" w:line="226" w:lineRule="exact"/>
        <w:rPr>
          <w:sz w:val="20"/>
          <w:szCs w:val="20"/>
          <w:color w:val="auto"/>
        </w:rPr>
      </w:pPr>
    </w:p>
    <w:p>
      <w:pPr>
        <w:ind w:right="20" w:firstLine="656"/>
        <w:spacing w:after="0" w:line="263" w:lineRule="auto"/>
        <w:tabs>
          <w:tab w:leader="none" w:pos="1245"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215" w:lineRule="exact"/>
        <w:rPr>
          <w:sz w:val="20"/>
          <w:szCs w:val="20"/>
          <w:color w:val="auto"/>
        </w:rPr>
      </w:pPr>
    </w:p>
    <w:p>
      <w:pPr>
        <w:jc w:val="both"/>
        <w:ind w:left="130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Collateralized LC Exposure</w:t>
      </w:r>
      <w:r>
        <w:rPr>
          <w:rFonts w:ascii="Arial" w:cs="Arial" w:eastAsia="Arial" w:hAnsi="Arial"/>
          <w:sz w:val="21"/>
          <w:szCs w:val="21"/>
          <w:color w:val="auto"/>
        </w:rPr>
        <w:t>” means, with respect to any Specified Letter of Credit as of any date, the amount of cash collateral pledged to the applicable issuing bank or institution that issued such Specified Letter of Credit as security to cover reimbursement obligations of WIL-Ireland or any Restricted Subsidiary in respect of such Specified Letter of Credit, excluding any such cash collateral that is (a) in excess of the stated amount of such Specified Letter of Credit or (b) designated solely for the purpose of paying or reimbursing any amounts other than amounts drawn under such Specified Letter of Credit.</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Transfer</w:t>
      </w:r>
      <w:r>
        <w:rPr>
          <w:rFonts w:ascii="Arial" w:cs="Arial" w:eastAsia="Arial" w:hAnsi="Arial"/>
          <w:sz w:val="22"/>
          <w:szCs w:val="22"/>
          <w:color w:val="auto"/>
        </w:rPr>
        <w:t>” means any transaction described in Section 8.02, 8.05, 8.06 or 8.08 that requires, as a condition to being permitted thereunder, the pro forma Total Collateral Value not to be less than the Collateral Value Threshold.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5" w:name="page36"/>
    <w:bookmarkEnd w:id="35"/>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Value Threshold</w:t>
      </w:r>
      <w:r>
        <w:rPr>
          <w:rFonts w:ascii="Arial" w:cs="Arial" w:eastAsia="Arial" w:hAnsi="Arial"/>
          <w:sz w:val="22"/>
          <w:szCs w:val="22"/>
          <w:color w:val="auto"/>
        </w:rPr>
        <w:t>” means $2,000,000,000.</w:t>
      </w:r>
    </w:p>
    <w:p>
      <w:pPr>
        <w:spacing w:after="0" w:line="260" w:lineRule="exact"/>
        <w:rPr>
          <w:sz w:val="20"/>
          <w:szCs w:val="20"/>
          <w:color w:val="auto"/>
        </w:rPr>
      </w:pPr>
    </w:p>
    <w:p>
      <w:pPr>
        <w:jc w:val="both"/>
        <w:ind w:left="644"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Priority Perfected Collateral</w:t>
      </w:r>
      <w:r>
        <w:rPr>
          <w:rFonts w:ascii="Arial" w:cs="Arial" w:eastAsia="Arial" w:hAnsi="Arial"/>
          <w:sz w:val="21"/>
          <w:szCs w:val="21"/>
          <w:color w:val="auto"/>
        </w:rPr>
        <w:t xml:space="preserve">” means any Collateral that is subject to a valid and perfected first priority (or any analogous concept to the extent perfection does not apply in the relevant jurisdiction) Lien, subject to the Liens permitted by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(other than Liens specified in clause (g) and, to the extent securing Capital Lease Obligations, clause (k) of the definition of “Permitted Liens”), in favor of the Administrative Agent to secure the Secured Obligations but only to the extent that the Secured Parties do not share, and are not required to share, such Lien equally and ratably with the Existing Senior Notes or any of the obligations under the Citi Credit Documents (if in effect at the applicable time).</w:t>
      </w:r>
    </w:p>
    <w:p>
      <w:pPr>
        <w:spacing w:after="0" w:line="181" w:lineRule="exact"/>
        <w:rPr>
          <w:sz w:val="20"/>
          <w:szCs w:val="20"/>
          <w:color w:val="auto"/>
        </w:rPr>
      </w:pPr>
    </w:p>
    <w:p>
      <w:pPr>
        <w:jc w:val="both"/>
        <w:ind w:left="644"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Customer Notes Disposition</w:t>
      </w:r>
      <w:r>
        <w:rPr>
          <w:rFonts w:ascii="Arial" w:cs="Arial" w:eastAsia="Arial" w:hAnsi="Arial"/>
          <w:sz w:val="19"/>
          <w:szCs w:val="19"/>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43"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Obligor</w:t>
      </w:r>
      <w:r>
        <w:rPr>
          <w:rFonts w:ascii="Arial" w:cs="Arial" w:eastAsia="Arial" w:hAnsi="Arial"/>
          <w:sz w:val="22"/>
          <w:szCs w:val="22"/>
          <w:color w:val="auto"/>
        </w:rPr>
        <w:t>” means any Obligor that is not an Unsecured Guarantor.</w:t>
      </w:r>
    </w:p>
    <w:p>
      <w:pPr>
        <w:spacing w:after="0" w:line="260" w:lineRule="exact"/>
        <w:rPr>
          <w:sz w:val="20"/>
          <w:szCs w:val="20"/>
          <w:color w:val="auto"/>
        </w:rPr>
      </w:pPr>
    </w:p>
    <w:p>
      <w:pPr>
        <w:jc w:val="both"/>
        <w:ind w:left="644"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Collateral Value</w:t>
      </w:r>
      <w:r>
        <w:rPr>
          <w:rFonts w:ascii="Arial" w:cs="Arial" w:eastAsia="Arial" w:hAnsi="Arial"/>
          <w:sz w:val="21"/>
          <w:szCs w:val="21"/>
          <w:color w:val="auto"/>
        </w:rPr>
        <w:t>” means, as of any date of determination, the aggregate book value of all First Priority Perfected Collateral as of such date, (a) excluding the value of any such Collateral consisting of (i) cash, (ii) Cash Equivalents (and similar short-term marketable securities), (iii) intangible assets and (iv) Capital Stock of any Person, and (b) calculated on a consolidated basis for all Obligors (so as to exclude the value of any such Collateral consisting of obligations owing by one Obligor to another Obligor).</w:t>
      </w:r>
    </w:p>
    <w:p>
      <w:pPr>
        <w:spacing w:after="0" w:line="176" w:lineRule="exact"/>
        <w:rPr>
          <w:sz w:val="20"/>
          <w:szCs w:val="20"/>
          <w:color w:val="auto"/>
        </w:rPr>
      </w:pPr>
    </w:p>
    <w:p>
      <w:pPr>
        <w:ind w:left="644" w:right="3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Unsecured Guaranty Obligations</w:t>
      </w:r>
      <w:r>
        <w:rPr>
          <w:rFonts w:ascii="Arial" w:cs="Arial" w:eastAsia="Arial" w:hAnsi="Arial"/>
          <w:sz w:val="22"/>
          <w:szCs w:val="22"/>
          <w:color w:val="auto"/>
        </w:rPr>
        <w:t>” means, with respect any Unsecured Guarantor (but only for so long as such Person is and remains an Unsecured Guarantor), solely such Unsecured Guarantor’s obligations under the Guaranty Agreement to which it is a party.</w:t>
      </w:r>
    </w:p>
    <w:p>
      <w:pPr>
        <w:spacing w:after="0" w:line="226" w:lineRule="exact"/>
        <w:rPr>
          <w:sz w:val="20"/>
          <w:szCs w:val="20"/>
          <w:color w:val="auto"/>
        </w:rPr>
      </w:pPr>
    </w:p>
    <w:p>
      <w:pPr>
        <w:jc w:val="both"/>
        <w:ind w:left="644"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Unsecured Guarantor</w:t>
      </w:r>
      <w:r>
        <w:rPr>
          <w:rFonts w:ascii="Arial" w:cs="Arial" w:eastAsia="Arial" w:hAnsi="Arial"/>
          <w:sz w:val="19"/>
          <w:szCs w:val="19"/>
          <w:color w:val="auto"/>
        </w:rPr>
        <w:t>” means any Person that becomes a Guarantor after the Effective Date solely for such period of time as the Administrative Agent has agreed in writing to defer the delivery of all Collateral Documents otherwise required to be delivered by such Guarantor under Section 7.08 of the Credit Agreement.</w:t>
      </w:r>
    </w:p>
    <w:p>
      <w:pPr>
        <w:spacing w:after="0" w:line="134" w:lineRule="exact"/>
        <w:rPr>
          <w:sz w:val="20"/>
          <w:szCs w:val="20"/>
          <w:color w:val="auto"/>
        </w:rPr>
      </w:pPr>
    </w:p>
    <w:p>
      <w:pPr>
        <w:ind w:left="464" w:hanging="464"/>
        <w:spacing w:after="0"/>
        <w:tabs>
          <w:tab w:leader="none" w:pos="464"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60" w:lineRule="exact"/>
        <w:rPr>
          <w:rFonts w:ascii="Arial" w:cs="Arial" w:eastAsia="Arial" w:hAnsi="Arial"/>
          <w:sz w:val="22"/>
          <w:szCs w:val="22"/>
          <w:color w:val="auto"/>
        </w:rPr>
      </w:pPr>
    </w:p>
    <w:p>
      <w:pPr>
        <w:ind w:left="4" w:right="20" w:firstLine="645"/>
        <w:spacing w:after="0" w:line="263" w:lineRule="auto"/>
        <w:tabs>
          <w:tab w:leader="none" w:pos="1122"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definition of “Consolidated Adjusted EBITDA” is hereby amended by amending and restating clause (v) thereof in its entirety to read as follows:</w:t>
      </w:r>
    </w:p>
    <w:p>
      <w:pPr>
        <w:spacing w:after="0" w:line="1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91" w:right="239" w:bottom="1440" w:gutter="0" w:footer="0" w:header="0"/>
        </w:sectPr>
      </w:pPr>
    </w:p>
    <w:bookmarkStart w:id="36" w:name="page37"/>
    <w:bookmarkEnd w:id="36"/>
    <w:p>
      <w:pPr>
        <w:ind w:left="100" w:right="160" w:firstLine="5"/>
        <w:spacing w:after="0" w:line="292" w:lineRule="auto"/>
        <w:tabs>
          <w:tab w:leader="none" w:pos="40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extraordinary or non-recurring cash costs, expenses and charges, including those related to (A) severance, cost savings, operating expense reductions, facilities closings, percentage of completion contracts, consolidations, and integration costs and other restructuring charges or reserves and (B) litigation, settlement and judgment costs and expenses (provided that the aggregate amount of all amounts added back pursuant to this clause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(excluding any such amounts attributable to Fiscal Quarters ending on or prior to March 31, 2016), shall not exceed (x) $500,000,000 during the term of this Agreement, (y) $200,000,000 for any Testing Period ending during the period from March 31, 2017 through September 30, 2017 and (z) $100,000,000 for any Testing Period ending thereafter),</w:t>
      </w:r>
    </w:p>
    <w:p>
      <w:pPr>
        <w:spacing w:after="0" w:line="192"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definition of “Designated Assets” is hereby amended and restated in its entirety to read as follows:</w:t>
      </w:r>
    </w:p>
    <w:p>
      <w:pPr>
        <w:spacing w:after="0" w:line="260"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Assets</w:t>
      </w:r>
      <w:r>
        <w:rPr>
          <w:rFonts w:ascii="Arial" w:cs="Arial" w:eastAsia="Arial" w:hAnsi="Arial"/>
          <w:sz w:val="22"/>
          <w:szCs w:val="22"/>
          <w:color w:val="auto"/>
        </w:rPr>
        <w:t>” means, the assets used in the United States and Canadian land hydraulic fracturing pressure pumping, multistage completions and pump-down perforating businesses of WIL-Ireland and its Subsidiaries.</w:t>
      </w:r>
    </w:p>
    <w:p>
      <w:pPr>
        <w:spacing w:after="0" w:line="186"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The definition of “Designated Joint Venture” is hereby amended and restated in its entirety to read as follows:</w:t>
      </w:r>
    </w:p>
    <w:p>
      <w:pPr>
        <w:spacing w:after="0" w:line="260" w:lineRule="exact"/>
        <w:rPr>
          <w:sz w:val="20"/>
          <w:szCs w:val="20"/>
          <w:color w:val="auto"/>
        </w:rPr>
      </w:pPr>
    </w:p>
    <w:p>
      <w:pPr>
        <w:jc w:val="both"/>
        <w:ind w:left="1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Joint Venture</w:t>
      </w:r>
      <w:r>
        <w:rPr>
          <w:rFonts w:ascii="Arial" w:cs="Arial" w:eastAsia="Arial" w:hAnsi="Arial"/>
          <w:sz w:val="22"/>
          <w:szCs w:val="22"/>
          <w:color w:val="auto"/>
        </w:rPr>
        <w:t>” means either (a) the potential joint venture involving the Designated Assets that is described in the same writing delivered to the Administrative Agent and the Lenders prior to the Effective Date that describes the Designated Assets or (b) the joint venture between WIL-Ireland and Schlumberger Limited more particularly described in the press release of WIL-Ireland dated March 24, 2017 captioned “Weatherford and Schlumberger to Form OneStim Joint Venture”.</w:t>
      </w:r>
    </w:p>
    <w:p>
      <w:pPr>
        <w:spacing w:after="0" w:line="192"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The definition of “Secured Obligations” is hereby amended and restated in its entirety as follows:</w:t>
      </w:r>
    </w:p>
    <w:p>
      <w:pPr>
        <w:spacing w:after="0" w:line="260"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(a) all Obligations and (b) to the extent not constituting Debt (as defined in each of the Existing Senior Notes Indentures and each of the Citi Credit Documents), all Swap Obligations and Banking Services Obligations</w:t>
      </w:r>
    </w:p>
    <w:p>
      <w:pPr>
        <w:spacing w:after="0" w:line="186" w:lineRule="exact"/>
        <w:rPr>
          <w:sz w:val="20"/>
          <w:szCs w:val="20"/>
          <w:color w:val="auto"/>
        </w:rPr>
      </w:pPr>
    </w:p>
    <w:p>
      <w:pPr>
        <w:jc w:val="both"/>
        <w:ind w:left="100"/>
        <w:spacing w:after="0" w:line="297" w:lineRule="auto"/>
        <w:rPr>
          <w:sz w:val="20"/>
          <w:szCs w:val="20"/>
          <w:color w:val="auto"/>
        </w:rPr>
      </w:pPr>
      <w:r>
        <w:rPr>
          <w:rFonts w:ascii="Arial" w:cs="Arial" w:eastAsia="Arial" w:hAnsi="Arial"/>
          <w:sz w:val="19"/>
          <w:szCs w:val="19"/>
          <w:color w:val="auto"/>
        </w:rPr>
        <w:t>owing to one or more Lenders or their respective Affiliates; provided that (i) the term “Secured Obligations” shall not include, with respect to any Obligor, any Excluded Swap Obligations of such Obligor and (ii) in no event shall any use of the term “Secured Obligations” in any Collateral Document be construed to create or grant any security interest by any Obligor to secure any Unsecured Guaranty Obligations (it being understood and agreed that in no event shall any Unsecured Guaranty Obligations of an Unsecured Guarantor be secured by Liens on any Collateral).</w:t>
      </w:r>
    </w:p>
    <w:p>
      <w:pPr>
        <w:spacing w:after="0" w:line="147"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19"/>
          <w:szCs w:val="19"/>
          <w:color w:val="auto"/>
        </w:rPr>
        <w:t>The definition of “Specified Leverage and LC Ratio” is hereby amended and restated in its entirety as follows:</w:t>
      </w:r>
    </w:p>
    <w:p>
      <w:pPr>
        <w:spacing w:after="0" w:line="2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847" w:right="239" w:bottom="1440" w:gutter="0" w:footer="0" w:header="0"/>
        </w:sectPr>
      </w:pPr>
    </w:p>
    <w:bookmarkStart w:id="37" w:name="page38"/>
    <w:bookmarkEnd w:id="37"/>
    <w:p>
      <w:pPr>
        <w:ind w:left="1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Leverage and LC Ratio</w:t>
      </w:r>
      <w:r>
        <w:rPr>
          <w:rFonts w:ascii="Arial" w:cs="Arial" w:eastAsia="Arial" w:hAnsi="Arial"/>
          <w:sz w:val="19"/>
          <w:szCs w:val="19"/>
          <w:color w:val="auto"/>
        </w:rPr>
        <w:t>” means, as of the last day of any Fiscal Quarter, the ratio of (a) the sum of</w:t>
      </w:r>
    </w:p>
    <w:p>
      <w:pPr>
        <w:spacing w:after="0" w:line="56" w:lineRule="exact"/>
        <w:rPr>
          <w:sz w:val="20"/>
          <w:szCs w:val="20"/>
          <w:color w:val="auto"/>
        </w:rPr>
      </w:pPr>
    </w:p>
    <w:p>
      <w:pPr>
        <w:ind w:left="1300" w:right="140" w:firstLine="5"/>
        <w:spacing w:after="0" w:line="244" w:lineRule="auto"/>
        <w:tabs>
          <w:tab w:leader="none" w:pos="1558" w:val="left"/>
        </w:tabs>
        <w:numPr>
          <w:ilvl w:val="2"/>
          <w:numId w:val="20"/>
        </w:numPr>
        <w:rPr>
          <w:rFonts w:ascii="Arial" w:cs="Arial" w:eastAsia="Arial" w:hAnsi="Arial"/>
          <w:sz w:val="22"/>
          <w:szCs w:val="22"/>
          <w:color w:val="auto"/>
        </w:rPr>
      </w:pPr>
      <w:r>
        <w:rPr>
          <w:rFonts w:ascii="Arial" w:cs="Arial" w:eastAsia="Arial" w:hAnsi="Arial"/>
          <w:sz w:val="22"/>
          <w:szCs w:val="22"/>
          <w:color w:val="auto"/>
        </w:rPr>
        <w:t xml:space="preserve">Specified Senior Indebtedness as of such date,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aggregate undrawn amount of all Specified Letters of Credit as of such date,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(iii) the aggregate amount of all Cash Collateralized LC Exposure in respect of all Specified Letters of Credit as of such date to (b) Specified Consolidated Adjusted EBITDA for the Testing Period ending on such date.</w:t>
      </w:r>
    </w:p>
    <w:p>
      <w:pPr>
        <w:spacing w:after="0" w:line="236" w:lineRule="exact"/>
        <w:rPr>
          <w:rFonts w:ascii="Arial" w:cs="Arial" w:eastAsia="Arial" w:hAnsi="Arial"/>
          <w:sz w:val="22"/>
          <w:szCs w:val="22"/>
          <w:color w:val="auto"/>
        </w:rPr>
      </w:pPr>
    </w:p>
    <w:p>
      <w:pPr>
        <w:ind w:left="1120" w:hanging="464"/>
        <w:spacing w:after="0"/>
        <w:tabs>
          <w:tab w:leader="none" w:pos="1120" w:val="left"/>
        </w:tabs>
        <w:numPr>
          <w:ilvl w:val="1"/>
          <w:numId w:val="21"/>
        </w:numPr>
        <w:rPr>
          <w:rFonts w:ascii="Arial" w:cs="Arial" w:eastAsia="Arial" w:hAnsi="Arial"/>
          <w:sz w:val="19"/>
          <w:szCs w:val="19"/>
          <w:color w:val="auto"/>
        </w:rPr>
      </w:pPr>
      <w:r>
        <w:rPr>
          <w:rFonts w:ascii="Arial" w:cs="Arial" w:eastAsia="Arial" w:hAnsi="Arial"/>
          <w:sz w:val="19"/>
          <w:szCs w:val="19"/>
          <w:color w:val="auto"/>
        </w:rPr>
        <w:t>Section 7.01 of the Credit Agreement is hereby amended by (i) re-numbering paragraph (i) thereof as paragraph (j) and</w:t>
      </w:r>
    </w:p>
    <w:p>
      <w:pPr>
        <w:spacing w:after="0" w:line="56" w:lineRule="exact"/>
        <w:rPr>
          <w:rFonts w:ascii="Arial" w:cs="Arial" w:eastAsia="Arial" w:hAnsi="Arial"/>
          <w:sz w:val="19"/>
          <w:szCs w:val="19"/>
          <w:color w:val="auto"/>
        </w:rPr>
      </w:pPr>
    </w:p>
    <w:p>
      <w:pPr>
        <w:ind w:left="320" w:hanging="312"/>
        <w:spacing w:after="0"/>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inserting a new paragraph (i) in the appropriate order that reads as follows:</w:t>
      </w:r>
    </w:p>
    <w:p>
      <w:pPr>
        <w:spacing w:after="0" w:line="242" w:lineRule="exact"/>
        <w:rPr>
          <w:rFonts w:ascii="Arial" w:cs="Arial" w:eastAsia="Arial" w:hAnsi="Arial"/>
          <w:sz w:val="22"/>
          <w:szCs w:val="22"/>
          <w:color w:val="auto"/>
        </w:rPr>
      </w:pPr>
    </w:p>
    <w:p>
      <w:pPr>
        <w:jc w:val="both"/>
        <w:ind w:left="1300" w:firstLine="653"/>
        <w:spacing w:after="0" w:line="287" w:lineRule="auto"/>
        <w:tabs>
          <w:tab w:leader="none" w:pos="2472" w:val="left"/>
        </w:tabs>
        <w:numPr>
          <w:ilvl w:val="3"/>
          <w:numId w:val="22"/>
        </w:numPr>
        <w:rPr>
          <w:rFonts w:ascii="Arial" w:cs="Arial" w:eastAsia="Arial" w:hAnsi="Arial"/>
          <w:sz w:val="19"/>
          <w:szCs w:val="19"/>
          <w:color w:val="auto"/>
        </w:rPr>
      </w:pPr>
      <w:r>
        <w:rPr>
          <w:rFonts w:ascii="Arial" w:cs="Arial" w:eastAsia="Arial" w:hAnsi="Arial"/>
          <w:sz w:val="19"/>
          <w:szCs w:val="19"/>
          <w:color w:val="auto"/>
        </w:rPr>
        <w:t xml:space="preserve">Within 30 days after the consummation of any Collateral Transfer involving Collateral with a book value (measured as of the last day of the most recently ended Fiscal Quarter for which financial statements are available) greater than $100,000,000, (A) written notice of such Collateral Transfer (including the book value of the Collateral subject to such Collateral Transfer), (B) a certificate of a Principal Financial Officer of an Obligor Party certifying that, after giving pro forma effect to such Collateral Transfer, the Total Collateral Value (calculated as of the last day of the most recently ended Fiscal Quarter for which financial statements are available as if such Collateral Transfer occurred on such day) is no less than the Collateral Value Threshold and (C) if the Total Collateral Value described in the foregoing clause (B) is less than $3,000,000,000, reasonably detailed calculations demonstrating WIL-Ireland’s calculation of such Total Collateral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paragraph (i) shall not apply to any Collateral Transfer involving solely Collateral that constitutes Designated Assets to the extent such Collateral Transfer is made to any Subsidiary of WIL-Ireland prior to, and in preparation for, the contribution of the Designated Assets to the Designated Joint Venture contemplated by Section 8.06(h).</w:t>
      </w:r>
    </w:p>
    <w:p>
      <w:pPr>
        <w:spacing w:after="0" w:line="159" w:lineRule="exact"/>
        <w:rPr>
          <w:rFonts w:ascii="Arial" w:cs="Arial" w:eastAsia="Arial" w:hAnsi="Arial"/>
          <w:sz w:val="19"/>
          <w:szCs w:val="19"/>
          <w:color w:val="auto"/>
        </w:rPr>
      </w:pPr>
    </w:p>
    <w:p>
      <w:pPr>
        <w:ind w:firstLine="656"/>
        <w:spacing w:after="0" w:line="263" w:lineRule="auto"/>
        <w:tabs>
          <w:tab w:leader="none" w:pos="1186" w:val="left"/>
        </w:tabs>
        <w:numPr>
          <w:ilvl w:val="1"/>
          <w:numId w:val="22"/>
        </w:numPr>
        <w:rPr>
          <w:rFonts w:ascii="Arial" w:cs="Arial" w:eastAsia="Arial" w:hAnsi="Arial"/>
          <w:sz w:val="22"/>
          <w:szCs w:val="22"/>
          <w:color w:val="auto"/>
        </w:rPr>
      </w:pPr>
      <w:r>
        <w:rPr>
          <w:rFonts w:ascii="Arial" w:cs="Arial" w:eastAsia="Arial" w:hAnsi="Arial"/>
          <w:sz w:val="22"/>
          <w:szCs w:val="22"/>
          <w:color w:val="auto"/>
        </w:rPr>
        <w:t>Section 7.08(a) of the Credit Agreement is hereby amended by replacing “within 45 days” where it appears therein with “within 45 days (or such later date as may be agreed upon by the Administrative Agent)”.</w:t>
      </w:r>
    </w:p>
    <w:p>
      <w:pPr>
        <w:spacing w:after="0" w:line="215" w:lineRule="exact"/>
        <w:rPr>
          <w:rFonts w:ascii="Arial" w:cs="Arial" w:eastAsia="Arial" w:hAnsi="Arial"/>
          <w:sz w:val="22"/>
          <w:szCs w:val="22"/>
          <w:color w:val="auto"/>
        </w:rPr>
      </w:pPr>
    </w:p>
    <w:p>
      <w:pPr>
        <w:ind w:firstLine="656"/>
        <w:spacing w:after="0" w:line="343" w:lineRule="auto"/>
        <w:tabs>
          <w:tab w:leader="none" w:pos="1137" w:val="left"/>
        </w:tabs>
        <w:numPr>
          <w:ilvl w:val="1"/>
          <w:numId w:val="22"/>
        </w:numPr>
        <w:rPr>
          <w:rFonts w:ascii="Arial" w:cs="Arial" w:eastAsia="Arial" w:hAnsi="Arial"/>
          <w:sz w:val="19"/>
          <w:szCs w:val="19"/>
          <w:color w:val="auto"/>
        </w:rPr>
      </w:pPr>
      <w:r>
        <w:rPr>
          <w:rFonts w:ascii="Arial" w:cs="Arial" w:eastAsia="Arial" w:hAnsi="Arial"/>
          <w:sz w:val="19"/>
          <w:szCs w:val="19"/>
          <w:color w:val="auto"/>
        </w:rPr>
        <w:t>Section 8.02(a) of the Credit Agreement is hereby amended by (i) deleting the word “and” at the end of clause (B) of the first proviso and inserting a semicolon in its place and (ii) inserting the following clause at the end of the first proviso:</w:t>
      </w:r>
    </w:p>
    <w:p>
      <w:pPr>
        <w:spacing w:after="0" w:line="145"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and (D) other than in the case of any merger, consolidation or amalgamation involving only Secured Obligors, after giving pro forma effect to such merger, consolidation or amalgamation, the Total Collateral Value (calculated as of the last day of the most recently ended Fiscal Quarter for which financial statements are available as if such merger, consolidation or amalgamation occurred on such day) is no less than the Collateral Value Threshold;</w:t>
      </w:r>
    </w:p>
    <w:p>
      <w:pPr>
        <w:spacing w:after="0" w:line="143" w:lineRule="exact"/>
        <w:rPr>
          <w:sz w:val="20"/>
          <w:szCs w:val="20"/>
          <w:color w:val="auto"/>
        </w:rPr>
      </w:pPr>
    </w:p>
    <w:p>
      <w:pPr>
        <w:ind w:firstLine="656"/>
        <w:spacing w:after="0" w:line="287" w:lineRule="auto"/>
        <w:tabs>
          <w:tab w:leader="none" w:pos="1110"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Section 8.02(c) of the Credit Agreement is hereby amended by (i) deleting the word “and” at the end of clause (ii)(A) thereof and inserting a semicolon in its place and (ii) inserting the following clause at the end of clause (ii)(B) thereof: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7" w:right="239" w:bottom="1440" w:gutter="0" w:footer="0" w:header="0"/>
        </w:sectPr>
      </w:pPr>
    </w:p>
    <w:bookmarkStart w:id="38" w:name="page39"/>
    <w:bookmarkEnd w:id="38"/>
    <w:p>
      <w:pPr>
        <w:jc w:val="both"/>
        <w:ind w:left="1280" w:firstLine="5"/>
        <w:spacing w:after="0" w:line="263" w:lineRule="auto"/>
        <w:tabs>
          <w:tab w:leader="none" w:pos="1414" w:val="left"/>
        </w:tabs>
        <w:numPr>
          <w:ilvl w:val="1"/>
          <w:numId w:val="24"/>
        </w:numPr>
        <w:rPr>
          <w:rFonts w:ascii="Arial" w:cs="Arial" w:eastAsia="Arial" w:hAnsi="Arial"/>
          <w:sz w:val="21"/>
          <w:szCs w:val="21"/>
          <w:color w:val="auto"/>
        </w:rPr>
      </w:pPr>
      <w:r>
        <w:rPr>
          <w:rFonts w:ascii="Arial" w:cs="Arial" w:eastAsia="Arial" w:hAnsi="Arial"/>
          <w:sz w:val="21"/>
          <w:szCs w:val="21"/>
          <w:color w:val="auto"/>
        </w:rPr>
        <w:t>and (C) other than in the case of any winding up, liquidation or dissolution of a Restricted Subsidiary all of the Capital Stock of which is directly owned by one or more Secured Obligors, after giving pro forma effect to such winding up, liquidation or dissolution, the Total Collateral Value (calculated as of the last day of the most recently ended Fiscal Quarter for which financial statements are available as if such merger, consolidation or amalgamation occurred on such day) is no less than the Collateral Value Threshold.</w:t>
      </w:r>
    </w:p>
    <w:p>
      <w:pPr>
        <w:spacing w:after="0" w:line="175" w:lineRule="exact"/>
        <w:rPr>
          <w:rFonts w:ascii="Arial" w:cs="Arial" w:eastAsia="Arial" w:hAnsi="Arial"/>
          <w:sz w:val="21"/>
          <w:szCs w:val="21"/>
          <w:color w:val="auto"/>
        </w:rPr>
      </w:pPr>
    </w:p>
    <w:p>
      <w:pPr>
        <w:ind w:left="1100" w:hanging="464"/>
        <w:spacing w:after="0"/>
        <w:tabs>
          <w:tab w:leader="none" w:pos="11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Section 8.05 of the Credit Agreement is hereby amended as follows:</w:t>
      </w:r>
    </w:p>
    <w:p>
      <w:pPr>
        <w:spacing w:after="0" w:line="260"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Clause (g) of Section 8.05 is amended and restated in its entirety to read as follows:</w:t>
      </w:r>
    </w:p>
    <w:p>
      <w:pPr>
        <w:spacing w:after="0" w:line="260" w:lineRule="exact"/>
        <w:rPr>
          <w:rFonts w:ascii="Arial" w:cs="Arial" w:eastAsia="Arial" w:hAnsi="Arial"/>
          <w:sz w:val="22"/>
          <w:szCs w:val="22"/>
          <w:color w:val="auto"/>
        </w:rPr>
      </w:pPr>
    </w:p>
    <w:p>
      <w:pPr>
        <w:ind w:left="1280" w:right="380" w:firstLine="653"/>
        <w:spacing w:after="0" w:line="343" w:lineRule="auto"/>
        <w:tabs>
          <w:tab w:leader="none" w:pos="245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any Disposition of Receivables and Receivables Related Security in connection with any Permitted Factoring Transaction shall be permitted, and any Permitted Customer Notes Disposition shall be permitted;</w:t>
      </w:r>
    </w:p>
    <w:p>
      <w:pPr>
        <w:spacing w:after="0" w:line="145" w:lineRule="exact"/>
        <w:rPr>
          <w:sz w:val="20"/>
          <w:szCs w:val="20"/>
          <w:color w:val="auto"/>
        </w:rPr>
      </w:pPr>
    </w:p>
    <w:p>
      <w:pPr>
        <w:ind w:left="1120" w:hanging="484"/>
        <w:spacing w:after="0"/>
        <w:tabs>
          <w:tab w:leader="none" w:pos="11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period at the end of clause (n) of Section 8.05 is hereby deleted and a semicolon is inserted in its place.</w:t>
      </w:r>
    </w:p>
    <w:p>
      <w:pPr>
        <w:spacing w:after="0" w:line="271" w:lineRule="exact"/>
        <w:rPr>
          <w:rFonts w:ascii="Arial" w:cs="Arial" w:eastAsia="Arial" w:hAnsi="Arial"/>
          <w:sz w:val="21"/>
          <w:szCs w:val="21"/>
          <w:color w:val="auto"/>
        </w:rPr>
      </w:pPr>
    </w:p>
    <w:p>
      <w:pPr>
        <w:ind w:left="1180" w:hanging="544"/>
        <w:spacing w:after="0"/>
        <w:tabs>
          <w:tab w:leader="none" w:pos="11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following proviso is inserted at the end of Section 8.05 on a new line after such clause (n):</w:t>
      </w:r>
    </w:p>
    <w:p>
      <w:pPr>
        <w:spacing w:after="0" w:line="260" w:lineRule="exact"/>
        <w:rPr>
          <w:sz w:val="20"/>
          <w:szCs w:val="20"/>
          <w:color w:val="auto"/>
        </w:rPr>
      </w:pPr>
    </w:p>
    <w:p>
      <w:pPr>
        <w:jc w:val="both"/>
        <w:ind w:left="1280" w:right="20"/>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Disposition by an Obligor described in clause (a), (c), (d), (f) (other than any Investment or Restricted Payment solely of cash or Cash</w:t>
      </w:r>
    </w:p>
    <w:p>
      <w:pPr>
        <w:spacing w:after="0" w:line="175" w:lineRule="exact"/>
        <w:rPr>
          <w:sz w:val="20"/>
          <w:szCs w:val="20"/>
          <w:color w:val="auto"/>
        </w:rPr>
      </w:pPr>
    </w:p>
    <w:p>
      <w:pPr>
        <w:jc w:val="both"/>
        <w:ind w:left="1280"/>
        <w:spacing w:after="0" w:line="302" w:lineRule="auto"/>
        <w:rPr>
          <w:sz w:val="20"/>
          <w:szCs w:val="20"/>
          <w:color w:val="auto"/>
        </w:rPr>
      </w:pPr>
      <w:r>
        <w:rPr>
          <w:rFonts w:ascii="Arial" w:cs="Arial" w:eastAsia="Arial" w:hAnsi="Arial"/>
          <w:sz w:val="19"/>
          <w:szCs w:val="19"/>
          <w:color w:val="auto"/>
        </w:rPr>
        <w:t>Equivalents), (j) or (k) of this Section 8.05 (other than any such Disposition to a Secured Obligor), such Disposition shall not be permitted unless, after giving pro forma effect to such Disposition, the Total Collateral Value (calculated as of the last day of the most recently ended Fiscal Quarter for which financial statements are available as if such Disposition occurred on such day) is no less than the Collateral Value Threshold.</w:t>
      </w:r>
    </w:p>
    <w:p>
      <w:pPr>
        <w:spacing w:after="0" w:line="143" w:lineRule="exact"/>
        <w:rPr>
          <w:sz w:val="20"/>
          <w:szCs w:val="20"/>
          <w:color w:val="auto"/>
        </w:rPr>
      </w:pPr>
    </w:p>
    <w:p>
      <w:pPr>
        <w:jc w:val="both"/>
        <w:ind w:left="-20" w:firstLine="656"/>
        <w:spacing w:after="0" w:line="253" w:lineRule="auto"/>
        <w:tabs>
          <w:tab w:leader="none" w:pos="1114"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8.06 of the Credit Agreement is hereby amended by (i) deleting the period at the end of clause (o) thereof and inserting a semicolon in its place and (ii) inserting the following proviso at the end of Section 8.06 on a new line after such clause (o):</w:t>
      </w:r>
    </w:p>
    <w:p>
      <w:pPr>
        <w:spacing w:after="0" w:line="226" w:lineRule="exact"/>
        <w:rPr>
          <w:sz w:val="20"/>
          <w:szCs w:val="20"/>
          <w:color w:val="auto"/>
        </w:rPr>
      </w:pPr>
    </w:p>
    <w:p>
      <w:pPr>
        <w:jc w:val="both"/>
        <w:ind w:left="1280"/>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Investment by an Obligor described in clause (d), (f), (h) or (n) of this Section 8.06 (other than any Investment solely of cash or Cash Equivalents or any Investment in a Secured Obligor), such Investment shall not be permitted unless, after giving pro forma effect to such Investment, the Total Collateral Value (calculated as of the last day of the most recently ended Fiscal Quarter for which financial statements are available as if such Investment occurred on such day) is no less than the Collateral Value Threshold.</w:t>
      </w:r>
    </w:p>
    <w:p>
      <w:pPr>
        <w:spacing w:after="0" w:line="147" w:lineRule="exact"/>
        <w:rPr>
          <w:sz w:val="20"/>
          <w:szCs w:val="20"/>
          <w:color w:val="auto"/>
        </w:rPr>
      </w:pPr>
    </w:p>
    <w:p>
      <w:pPr>
        <w:jc w:val="both"/>
        <w:ind w:left="-20" w:firstLine="656"/>
        <w:spacing w:after="0" w:line="253" w:lineRule="auto"/>
        <w:tabs>
          <w:tab w:leader="none" w:pos="1081"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Section 8.08 of the Credit Agreement is hereby amended by (i) deleting the period at the end of clause (l) thereof and inserting a semicolon in its place and (ii) inserting the following proviso at the end of Section 8.08 on a new line after such clause (l):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591" w:right="239" w:bottom="1440" w:gutter="0" w:footer="0" w:header="0"/>
        </w:sectPr>
      </w:pPr>
    </w:p>
    <w:bookmarkStart w:id="39" w:name="page40"/>
    <w:bookmarkEnd w:id="39"/>
    <w:p>
      <w:pPr>
        <w:jc w:val="both"/>
        <w:ind w:left="1300"/>
        <w:spacing w:after="0" w:line="24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Restricted Payment by an Obligor described in clause (c) or (j) of this Section 8.08 (other than Restricted Payments consisting solely of cash or Cash Equivalents or any Restricted Payments made to a Secured Obligor), such Restricted Payment shall not be permitted unless, after giving pro forma effect to such Restricted Payment, the Total Collateral Value (calculated as of the last day of the most recently ended Fiscal Quarter for which financial statements are available as if such Restricted Payment was made on such day) is no less than the Collateral Value Threshold.</w:t>
      </w:r>
    </w:p>
    <w:p>
      <w:pPr>
        <w:spacing w:after="0" w:line="194" w:lineRule="exact"/>
        <w:rPr>
          <w:sz w:val="20"/>
          <w:szCs w:val="20"/>
          <w:color w:val="auto"/>
        </w:rPr>
      </w:pPr>
    </w:p>
    <w:p>
      <w:pPr>
        <w:ind w:right="20" w:firstLine="656"/>
        <w:spacing w:after="0" w:line="263" w:lineRule="auto"/>
        <w:tabs>
          <w:tab w:leader="none" w:pos="1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8.09(c) of the Credit Agreement is hereby amended by replacing the words “Specified Leverage LC Ratio” with the term “Specified Leverage and LC Ratio”.</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9.04(a) of the Credit Agreement is hereby amended to insert the following at the end thereof:</w:t>
      </w:r>
    </w:p>
    <w:p>
      <w:pPr>
        <w:spacing w:after="0" w:line="26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Notwithstanding the foregoing, in no event shall proceeds of Collateral be applied to any Unsecured Guaranty Obligations.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Administrative Agent’s Authority to Defer Delivery of Certain Collateral.</w:t>
      </w:r>
    </w:p>
    <w:p>
      <w:pPr>
        <w:spacing w:after="0" w:line="260" w:lineRule="exact"/>
        <w:rPr>
          <w:sz w:val="20"/>
          <w:szCs w:val="20"/>
          <w:color w:val="auto"/>
        </w:rPr>
      </w:pPr>
    </w:p>
    <w:p>
      <w:pPr>
        <w:ind w:right="20" w:firstLine="656"/>
        <w:spacing w:after="0" w:line="286" w:lineRule="auto"/>
        <w:tabs>
          <w:tab w:leader="none" w:pos="1104" w:val="left"/>
        </w:tabs>
        <w:numPr>
          <w:ilvl w:val="1"/>
          <w:numId w:val="30"/>
        </w:numPr>
        <w:rPr>
          <w:rFonts w:ascii="Arial" w:cs="Arial" w:eastAsia="Arial" w:hAnsi="Arial"/>
          <w:sz w:val="19"/>
          <w:szCs w:val="19"/>
          <w:color w:val="auto"/>
        </w:rPr>
      </w:pPr>
      <w:r>
        <w:rPr>
          <w:rFonts w:ascii="Arial" w:cs="Arial" w:eastAsia="Arial" w:hAnsi="Arial"/>
          <w:sz w:val="19"/>
          <w:szCs w:val="19"/>
          <w:color w:val="auto"/>
        </w:rPr>
        <w:t>Reference is made to (i) Section 7.08(a) of the Credit Agreement, pursuant to which certain Restricted Subsidiaries of WIL-Ireland are required to become Guarantors under the circumstances and within the time periods specified therein (as such time periods may be extended by the Administrative Agent) (each such Restricted Subsidiary, whether or not yet constituting an Unsecured Guarantor (as defined in Section 2 of this Amendment), a “</w:t>
      </w:r>
      <w:r>
        <w:rPr>
          <w:rFonts w:ascii="Arial" w:cs="Arial" w:eastAsia="Arial" w:hAnsi="Arial"/>
          <w:sz w:val="19"/>
          <w:szCs w:val="19"/>
          <w:u w:val="single" w:color="auto"/>
          <w:color w:val="auto"/>
        </w:rPr>
        <w:t>New Guarantor</w:t>
      </w:r>
      <w:r>
        <w:rPr>
          <w:rFonts w:ascii="Arial" w:cs="Arial" w:eastAsia="Arial" w:hAnsi="Arial"/>
          <w:sz w:val="19"/>
          <w:szCs w:val="19"/>
          <w:color w:val="auto"/>
        </w:rPr>
        <w:t>”) and (ii) Sections 7.08(c), (d), (e), (f) and</w:t>
      </w:r>
    </w:p>
    <w:p>
      <w:pPr>
        <w:spacing w:after="0" w:line="2" w:lineRule="exact"/>
        <w:rPr>
          <w:rFonts w:ascii="Arial" w:cs="Arial" w:eastAsia="Arial" w:hAnsi="Arial"/>
          <w:sz w:val="19"/>
          <w:szCs w:val="19"/>
          <w:color w:val="auto"/>
        </w:rPr>
      </w:pPr>
    </w:p>
    <w:p>
      <w:pPr>
        <w:ind w:right="40" w:firstLine="8"/>
        <w:spacing w:after="0" w:line="284" w:lineRule="auto"/>
        <w:tabs>
          <w:tab w:leader="none" w:pos="306" w:val="left"/>
        </w:tabs>
        <w:numPr>
          <w:ilvl w:val="0"/>
          <w:numId w:val="31"/>
        </w:numPr>
        <w:rPr>
          <w:rFonts w:ascii="Arial" w:cs="Arial" w:eastAsia="Arial" w:hAnsi="Arial"/>
          <w:sz w:val="19"/>
          <w:szCs w:val="19"/>
          <w:color w:val="auto"/>
        </w:rPr>
      </w:pPr>
      <w:r>
        <w:rPr>
          <w:rFonts w:ascii="Arial" w:cs="Arial" w:eastAsia="Arial" w:hAnsi="Arial"/>
          <w:sz w:val="19"/>
          <w:szCs w:val="19"/>
          <w:color w:val="auto"/>
        </w:rPr>
        <w:t>of the Credit Agreement, pursuant to which each New Guarantor is required to grant Liens on certain of its assets by delivering appropriate Collateral Documents within a specified period of time after becoming a Guarantor or acquiring new assets (as any such period may be extended by the Administrative Agent). By their execution below, the parties hereto acknowledge and confirm the Administrative Agent’s authority to exercise discretion pursuant to Section 7.08 of the Credit Agreement or the definition of “Excluded Assets” in order to defer any New Guarantor’s delivery of any Collateral Documents (and related deliveries) otherwise required by Section 7.08 of the Credit Agreement unless and until WIL-Ireland delivers a Compliance Certificate demonstrating sufficient Consolidated Net Worth (as defined in each of the Existing Senior Notes Indentures and, if in effect at the applicable time, each of the Citi Credit Documents) as of the then most recently ended Fiscal Quarter for which a balance sheet has been prepared that would enable such New Guarantor to grant Liens on its assets to secure the Secured Obligations without requiring the Secured Parties to share any of the Liens securing the Secured Obligations equally and ratably with the Existing Senior Notes or any other senior notes issued under any Existing Senior Notes Indenture or any of the obligations under the Citi Credit Documents (as supported by an opinion of counsel and a certificate of Principal Financial Officer in substantially the same form as the certificate delivered pursuant to Section 5.02(a)(xiii) of the Credit Agreement) (such a Compliance Certificate, a “</w:t>
      </w:r>
      <w:r>
        <w:rPr>
          <w:rFonts w:ascii="Arial" w:cs="Arial" w:eastAsia="Arial" w:hAnsi="Arial"/>
          <w:sz w:val="19"/>
          <w:szCs w:val="19"/>
          <w:u w:val="single" w:color="auto"/>
          <w:color w:val="auto"/>
        </w:rPr>
        <w:t>CNW Basket</w:t>
      </w: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Availability Compliance Certificate</w:t>
      </w:r>
      <w:r>
        <w:rPr>
          <w:rFonts w:ascii="Arial" w:cs="Arial" w:eastAsia="Arial" w:hAnsi="Arial"/>
          <w:sz w:val="19"/>
          <w:szCs w:val="19"/>
          <w:color w:val="auto"/>
        </w:rPr>
        <w:t>”). Upon delivery of a CNW Basket Availability Compliance Certificate, the Administrative Agent may require such New Guarantor to deliver within 45 days thereafter (as any such period may be extended by the Administrative Agent), or 90 days thereafter (as any such period may be extended by the Administrative Agent) in the case of Section 7.08(e) or (f) of the Credit Agreement, any and all Collateral Documents, opinions, organizational and authorization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47" w:right="2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documents, and other documents otherwise required or reasonably requested by the Administrative Agent pursuant to Section</w:t>
      </w:r>
    </w:p>
    <w:p>
      <w:pPr>
        <w:spacing w:after="0" w:line="56"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7.08(c), (d), (e), (f) or (g) of the Credit Agreement. As of the date of this Amendment, the New Guarantors organized in Specified Jurisdictions whose delivery of Collateral Documents has been deferred as described above are Weatherford Netherlands, B.V., a company organized under the laws of the Netherlands, Weatherford Holdings (Switzerland) GmbH, a company organized under the laws of Switzerland, Precision Oilfield Services, LLP, a Texas limited liability partnership, Precision Drilling Technology Services Group (USA) Inc., a Delaware corporation, Weatherford Laboratories (Norway) AS, a company organized under the laws of Norway, and Weatherford Holdings (Bermuda) Ltd., a company organized under the laws of Bermuda.</w:t>
      </w:r>
    </w:p>
    <w:p>
      <w:pPr>
        <w:spacing w:after="0" w:line="194" w:lineRule="exact"/>
        <w:rPr>
          <w:sz w:val="20"/>
          <w:szCs w:val="20"/>
          <w:color w:val="auto"/>
        </w:rPr>
      </w:pPr>
    </w:p>
    <w:p>
      <w:pPr>
        <w:jc w:val="both"/>
        <w:ind w:firstLine="656"/>
        <w:spacing w:after="0" w:line="249" w:lineRule="auto"/>
        <w:tabs>
          <w:tab w:leader="none" w:pos="11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order to facilitate the grant of Liens on assets of any New Guarantor as contemplated by Section 7.08 of the Credit Agreement upon delivery of a CNW Basket Availability Compliance Certificate, the Lenders hereby authorize the Administrative Agent, at its option and in its discretion,</w:t>
      </w:r>
    </w:p>
    <w:p>
      <w:pPr>
        <w:jc w:val="both"/>
        <w:spacing w:after="0" w:line="244" w:lineRule="auto"/>
        <w:rPr>
          <w:rFonts w:ascii="Arial" w:cs="Arial" w:eastAsia="Arial" w:hAnsi="Arial"/>
          <w:sz w:val="22"/>
          <w:szCs w:val="22"/>
          <w:color w:val="auto"/>
        </w:rPr>
      </w:pPr>
      <w:r>
        <w:rPr>
          <w:rFonts w:ascii="Arial" w:cs="Arial" w:eastAsia="Arial" w:hAnsi="Arial"/>
          <w:sz w:val="22"/>
          <w:szCs w:val="22"/>
          <w:color w:val="auto"/>
        </w:rPr>
        <w:t>to release any New Guarantor from its Unsecured Guaranty Obligations (as defined in Section 2 of this Amendment) so long as, substantially concurrently with such release, such New Guarantor delivers to the Administrative Agent a duly executed replacement Guaranty Agreement or supplement to a Guaranty Agreement or such other document as the Administrative Agent shall deem appropriate for such purpose (and each of the Obligor Parties hereby agrees to cause each such New Guarantor to deliver to the Administrative Agent a duly executed replacement Guaranty Agreement or supplement to a Guaranty Agreement or such other document as the Administrative Agent shall deem appropriate for such purpose and otherwise comply with the requirements of Section 7.08(a) in such event).</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114"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Nothing in paragraph (a) of this Section 3 shall be construed to limit the Administrative Agent’s authority to otherwise extend time periods or exercise any other discretion granted to the Administrative Agent pursuant to Section 7.08 of the Credit Agreement or any other provision of the Loan Documents.</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Consent to Pledge of Capital Stock of Certain Restricted Subsidiaries.</w:t>
      </w:r>
      <w:r>
        <w:rPr>
          <w:rFonts w:ascii="Arial" w:cs="Arial" w:eastAsia="Arial" w:hAnsi="Arial"/>
          <w:sz w:val="19"/>
          <w:szCs w:val="19"/>
          <w:color w:val="auto"/>
        </w:rPr>
        <w:t xml:space="preserve"> Notwithstanding the requirement set forth in Section 7.08(c)(ii) of the Credit Agreement for WIL-Ireland to cause all of the issued and outstanding Capital Stock of each Obligor to be subject to a first priority, perfected Lien in favor of the Administrative Agent to secure the Secured Obligations in accordance with the terms and conditions of, and subject to the exceptions set forth in, Section 7.08(c) of the Credit Agreement and the Collateral Documents, the Lenders hereby agree that (a) up to 17% of the issued and outstanding Capital Stock of Weatherford Investment, Inc., an Obligor, shall be exempt from such pledge requirement for so long as such Capital Stock is owned by Restricted Subsidiaries that are not required to become Guarantors or to grant Liens on Collateral under the Credit Agreement and</w:t>
      </w:r>
    </w:p>
    <w:p>
      <w:pPr>
        <w:spacing w:after="0" w:line="4" w:lineRule="exact"/>
        <w:rPr>
          <w:sz w:val="20"/>
          <w:szCs w:val="20"/>
          <w:color w:val="auto"/>
        </w:rPr>
      </w:pPr>
    </w:p>
    <w:p>
      <w:pPr>
        <w:jc w:val="both"/>
        <w:ind w:firstLine="8"/>
        <w:spacing w:after="0" w:line="258" w:lineRule="auto"/>
        <w:tabs>
          <w:tab w:leader="none" w:pos="321" w:val="left"/>
        </w:tabs>
        <w:numPr>
          <w:ilvl w:val="0"/>
          <w:numId w:val="33"/>
        </w:numPr>
        <w:rPr>
          <w:rFonts w:ascii="Arial" w:cs="Arial" w:eastAsia="Arial" w:hAnsi="Arial"/>
          <w:sz w:val="21"/>
          <w:szCs w:val="21"/>
          <w:color w:val="auto"/>
        </w:rPr>
      </w:pPr>
      <w:r>
        <w:rPr>
          <w:rFonts w:ascii="Arial" w:cs="Arial" w:eastAsia="Arial" w:hAnsi="Arial"/>
          <w:sz w:val="21"/>
          <w:szCs w:val="21"/>
          <w:color w:val="auto"/>
        </w:rPr>
        <w:t>up to 99% of the issued and outstanding Capital Stock of Precision Oilfield Services, LLP, shall be exempt from such pledge requirement for so long as such Capital Stock is owned by Restricted Subsidiaries that are not required to become Guarantors or to grant Liens on Collateral under the Credit Agreement. Nothing in this Section 4 shall be construed to limit the Administrative Agent’s authority to otherwise extend time periods or exercise any other discretion granted to the Administrative Agent pursuant to Section 7.08 of the Credit Agreement or any other provision of the Loan Documents.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41" w:name="page42"/>
    <w:bookmarkEnd w:id="41"/>
    <w:p>
      <w:pPr>
        <w:jc w:val="both"/>
        <w:ind w:firstLine="648"/>
        <w:spacing w:after="0" w:line="288"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Consent to Subordination of Mortgage to Certain Easement</w:t>
      </w:r>
      <w:r>
        <w:rPr>
          <w:rFonts w:ascii="Arial" w:cs="Arial" w:eastAsia="Arial" w:hAnsi="Arial"/>
          <w:sz w:val="19"/>
          <w:szCs w:val="19"/>
          <w:color w:val="auto"/>
        </w:rPr>
        <w:t>. The Borrower has notified the Administrative Agent that (i) Weatherford Artificial Lift Systems, LLC (“</w:t>
      </w:r>
      <w:r>
        <w:rPr>
          <w:rFonts w:ascii="Arial" w:cs="Arial" w:eastAsia="Arial" w:hAnsi="Arial"/>
          <w:sz w:val="19"/>
          <w:szCs w:val="19"/>
          <w:u w:val="single" w:color="auto"/>
          <w:color w:val="auto"/>
        </w:rPr>
        <w:t>WALS</w:t>
      </w:r>
      <w:r>
        <w:rPr>
          <w:rFonts w:ascii="Arial" w:cs="Arial" w:eastAsia="Arial" w:hAnsi="Arial"/>
          <w:sz w:val="19"/>
          <w:szCs w:val="19"/>
          <w:color w:val="auto"/>
        </w:rPr>
        <w:t>”), an Obligor, intends to Dispose of a portion of its real property located in Waller County, Texas that is currently subject to a Mortgage (the “</w:t>
      </w:r>
      <w:r>
        <w:rPr>
          <w:rFonts w:ascii="Arial" w:cs="Arial" w:eastAsia="Arial" w:hAnsi="Arial"/>
          <w:sz w:val="19"/>
          <w:szCs w:val="19"/>
          <w:u w:val="single" w:color="auto"/>
          <w:color w:val="auto"/>
        </w:rPr>
        <w:t>Disposed Property</w:t>
      </w:r>
      <w:r>
        <w:rPr>
          <w:rFonts w:ascii="Arial" w:cs="Arial" w:eastAsia="Arial" w:hAnsi="Arial"/>
          <w:sz w:val="19"/>
          <w:szCs w:val="19"/>
          <w:color w:val="auto"/>
        </w:rPr>
        <w:t>”) in a transaction that is permitted under Section 8.05(k) of the Credit Agreement, (ii) WALS will retain certain real property adjacent to the Disposed Property (the “</w:t>
      </w:r>
      <w:r>
        <w:rPr>
          <w:rFonts w:ascii="Arial" w:cs="Arial" w:eastAsia="Arial" w:hAnsi="Arial"/>
          <w:sz w:val="19"/>
          <w:szCs w:val="19"/>
          <w:u w:val="single" w:color="auto"/>
          <w:color w:val="auto"/>
        </w:rPr>
        <w:t>Retained Property</w:t>
      </w:r>
      <w:r>
        <w:rPr>
          <w:rFonts w:ascii="Arial" w:cs="Arial" w:eastAsia="Arial" w:hAnsi="Arial"/>
          <w:sz w:val="19"/>
          <w:szCs w:val="19"/>
          <w:color w:val="auto"/>
        </w:rPr>
        <w:t>”), (iii) as part of the aforementioned transaction, WALS intends to grant an easement for a gas line over, upon and across the Retained Property for the benefit of the Disposed Property (the “</w:t>
      </w:r>
      <w:r>
        <w:rPr>
          <w:rFonts w:ascii="Arial" w:cs="Arial" w:eastAsia="Arial" w:hAnsi="Arial"/>
          <w:sz w:val="19"/>
          <w:szCs w:val="19"/>
          <w:u w:val="single" w:color="auto"/>
          <w:color w:val="auto"/>
        </w:rPr>
        <w:t>Gas Line Easement</w:t>
      </w:r>
      <w:r>
        <w:rPr>
          <w:rFonts w:ascii="Arial" w:cs="Arial" w:eastAsia="Arial" w:hAnsi="Arial"/>
          <w:sz w:val="19"/>
          <w:szCs w:val="19"/>
          <w:color w:val="auto"/>
        </w:rPr>
        <w:t>”) and (iv) the buyer has requested that the Administrative Agent subordinate its Mortgage on the Retained Property to the Gas Line Easement. Provided that the Borrower certifies to the Administrative Agent that the Gas Line Easement is a Permitted Lien under the Credit Agreement, the Lenders hereby authorize the Administrative Agent to subordinate the Mortgage on the Retained Property to the Gas Line Easement and execute such documents as may be necessary to evidence such subordination.</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Amendment No. 2 Effective Date; Conditions Precedent.</w:t>
      </w:r>
      <w:r>
        <w:rPr>
          <w:rFonts w:ascii="Arial" w:cs="Arial" w:eastAsia="Arial" w:hAnsi="Arial"/>
          <w:sz w:val="22"/>
          <w:szCs w:val="22"/>
          <w:color w:val="auto"/>
        </w:rPr>
        <w:t xml:space="preserve"> This Amendment shall become effective on the date (the “</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on which the following conditions have been satisfied:</w:t>
      </w:r>
    </w:p>
    <w:p>
      <w:pPr>
        <w:spacing w:after="0" w:line="215" w:lineRule="exact"/>
        <w:rPr>
          <w:sz w:val="20"/>
          <w:szCs w:val="20"/>
          <w:color w:val="auto"/>
        </w:rPr>
      </w:pPr>
    </w:p>
    <w:p>
      <w:pPr>
        <w:ind w:firstLine="656"/>
        <w:spacing w:after="0" w:line="263" w:lineRule="auto"/>
        <w:tabs>
          <w:tab w:leader="none" w:pos="1187"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Administrative Agent shall have received, in form and substance reasonably satisfactory to the Administrative Agent, a counterpart of this Amendment executed by the Obligor Parties and the Required Lenders;</w:t>
      </w:r>
    </w:p>
    <w:p>
      <w:pPr>
        <w:spacing w:after="0" w:line="215" w:lineRule="exact"/>
        <w:rPr>
          <w:rFonts w:ascii="Arial" w:cs="Arial" w:eastAsia="Arial" w:hAnsi="Arial"/>
          <w:sz w:val="22"/>
          <w:szCs w:val="22"/>
          <w:color w:val="auto"/>
        </w:rPr>
      </w:pPr>
    </w:p>
    <w:p>
      <w:pPr>
        <w:jc w:val="both"/>
        <w:ind w:firstLine="656"/>
        <w:spacing w:after="0" w:line="260" w:lineRule="exact"/>
        <w:tabs>
          <w:tab w:leader="none" w:pos="113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Obligor Parties shall have paid (i) to the Administrative Agent, the Lead Arrangers and the Lenders, as applicable, all fees and other amounts agreed upon by such parties to be paid on or prior to the Amendment No. 2 Effective Date and (ii) to the extent invoiced at or before 1:00 p.m., New York City time, on the Business Day immediately prior to the Amendment No. 2 Effective Date, all out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pocket expenses required to be reimbursed or paid by the Obligor Parties pursuant to Section 11.03 of the Credit Agreement or any other Loan Document; and</w:t>
      </w:r>
    </w:p>
    <w:p>
      <w:pPr>
        <w:spacing w:after="0" w:line="243" w:lineRule="exact"/>
        <w:rPr>
          <w:rFonts w:ascii="Arial" w:cs="Arial" w:eastAsia="Arial" w:hAnsi="Arial"/>
          <w:sz w:val="22"/>
          <w:szCs w:val="22"/>
          <w:color w:val="auto"/>
        </w:rPr>
      </w:pPr>
    </w:p>
    <w:p>
      <w:pPr>
        <w:ind w:left="1120" w:hanging="464"/>
        <w:spacing w:after="0"/>
        <w:tabs>
          <w:tab w:leader="none" w:pos="11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w:t>
      </w:r>
    </w:p>
    <w:p>
      <w:pPr>
        <w:spacing w:after="0" w:line="26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To induce the other parties hereto to enter into this Amendment, each of the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Obligor Parties represents and warrants that, after giving effect to each of the amendments set forth in this Amendment:</w:t>
      </w:r>
    </w:p>
    <w:p>
      <w:pPr>
        <w:spacing w:after="0" w:line="254" w:lineRule="exact"/>
        <w:rPr>
          <w:sz w:val="20"/>
          <w:szCs w:val="20"/>
          <w:color w:val="auto"/>
        </w:rPr>
      </w:pPr>
    </w:p>
    <w:p>
      <w:pPr>
        <w:jc w:val="both"/>
        <w:ind w:firstLine="656"/>
        <w:spacing w:after="0" w:line="292" w:lineRule="auto"/>
        <w:tabs>
          <w:tab w:leader="none" w:pos="110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representations and warranties set forth in Article VI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No. 2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7" w:right="239" w:bottom="1440" w:gutter="0" w:footer="0" w:header="0"/>
        </w:sectPr>
      </w:pPr>
    </w:p>
    <w:bookmarkStart w:id="42" w:name="page43"/>
    <w:bookmarkEnd w:id="42"/>
    <w:p>
      <w:pPr>
        <w:ind w:left="1120" w:hanging="464"/>
        <w:spacing w:after="0"/>
        <w:tabs>
          <w:tab w:leader="none" w:pos="11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Amendment No. 2 Effective Date; and</w:t>
      </w:r>
    </w:p>
    <w:p>
      <w:pPr>
        <w:spacing w:after="0" w:line="271" w:lineRule="exact"/>
        <w:rPr>
          <w:rFonts w:ascii="Arial" w:cs="Arial" w:eastAsia="Arial" w:hAnsi="Arial"/>
          <w:sz w:val="21"/>
          <w:szCs w:val="21"/>
          <w:color w:val="auto"/>
        </w:rPr>
      </w:pPr>
    </w:p>
    <w:p>
      <w:pPr>
        <w:jc w:val="both"/>
        <w:ind w:firstLine="656"/>
        <w:spacing w:after="0" w:line="250" w:lineRule="auto"/>
        <w:tabs>
          <w:tab w:leader="none" w:pos="113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this Amendment constitutes the legal, valid and binding obligation of each of the Obligor Parties, enforceable against each of the Obligor Parties in accordance with its terms, except as enforceability may be limited by applicable bankruptcy, insolvency, or similar laws affecting the enforcement of creditors’ rights generally or by equitable principles of general applicability.</w:t>
      </w:r>
    </w:p>
    <w:p>
      <w:pPr>
        <w:spacing w:after="0" w:line="229"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 any Obligor with respect to the terms, provisions, conditions and covenants of the Credit Agreement and the other Loan Documents made the subject hereof. Each Obligor Party represents and acknowledges that it has no claims, counterclaims, offsets, credits or defenses to the Loan Documents or the performance of its obligations thereunder.</w:t>
      </w:r>
    </w:p>
    <w:p>
      <w:pPr>
        <w:spacing w:after="0" w:line="20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Ratification</w:t>
      </w:r>
    </w:p>
    <w:p>
      <w:pPr>
        <w:spacing w:after="0" w:line="260" w:lineRule="exact"/>
        <w:rPr>
          <w:sz w:val="20"/>
          <w:szCs w:val="20"/>
          <w:color w:val="auto"/>
        </w:rPr>
      </w:pPr>
    </w:p>
    <w:p>
      <w:pPr>
        <w:jc w:val="both"/>
        <w:ind w:firstLine="737"/>
        <w:spacing w:after="0" w:line="286" w:lineRule="auto"/>
        <w:tabs>
          <w:tab w:leader="none" w:pos="132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Affiliate Guaranty</w:t>
      </w:r>
      <w:r>
        <w:rPr>
          <w:rFonts w:ascii="Arial" w:cs="Arial" w:eastAsia="Arial" w:hAnsi="Arial"/>
          <w:sz w:val="19"/>
          <w:szCs w:val="19"/>
          <w:color w:val="auto"/>
        </w:rPr>
        <w:t>. Each of the Obligor Parties hereby ratifies and confirms, on behalf of itself and each other Guarantor, the Guarantors’ obligations under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Party agrees, on behalf of itself and each other Guarantor, that nothing contained in this Amendment shall adversely affect any right or remedy of the Administrative Agent or the Lenders under the Affiliate Guaranty or any of the other Loan Documents. Each Obligor Party agrees, on behalf of itself and each other Guarantor, that all references in the Affiliate Guaranty to the “Guaranteed Obligations” shall include, without limitation, all of the obligations of WIL-Bermuda to the Administrative Agent and the Lenders under the Credit Agreement, as amended by this Amendment. Finally, each Obligor Party hereby represents and warrants, on behalf of itself and each other Guarantor, that except as expressly provided herein, the execution and delivery of this Amendment and the other documents executed in connection herewith shall in no way change or modify its or any other Guarantor’s obligations as a guarantor, debtor, pledgor, assignor, obligor and/or grantor under the Affiliate Guaranty and the other Loan Documents and shall not constitute a waiver by the Administrative Agent or the Lenders of any of their rights against any Guarantor.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7" w:right="239" w:bottom="1440" w:gutter="0" w:footer="0" w:header="0"/>
        </w:sectPr>
      </w:pPr>
    </w:p>
    <w:bookmarkStart w:id="43" w:name="page44"/>
    <w:bookmarkEnd w:id="43"/>
    <w:p>
      <w:pPr>
        <w:jc w:val="both"/>
        <w:ind w:firstLine="737"/>
        <w:spacing w:after="0" w:line="285" w:lineRule="auto"/>
        <w:tabs>
          <w:tab w:leader="none" w:pos="133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Collateral Documents</w:t>
      </w:r>
      <w:r>
        <w:rPr>
          <w:rFonts w:ascii="Arial" w:cs="Arial" w:eastAsia="Arial" w:hAnsi="Arial"/>
          <w:sz w:val="19"/>
          <w:szCs w:val="19"/>
          <w:color w:val="auto"/>
        </w:rPr>
        <w:t>. Each Obligor Party hereby acknowledges and ratifies, on behalf of itself and each other Obligor, the existence and priority of the Liens granted by the Obligors in and to the Collateral in favor of the Secured Parties and represents and warrants, on behalf of itself and each other Obligor, that such Liens and security interests are valid, existing and in full force and effect. Each of the Obligor Parties hereby ratifies and confirms, on behalf of itself and each other Obligor, each Obligor’s obligations under the Collateral Documents to which such Obligor is a party and hereby represents and acknowledges, on behalf of itself and each other Obligor, that the Obligors have no claims, counterclaims, offsets, credits or defenses to the Loan Documents or the performance of their obligations thereunder. Furthermore, each Obligor Party agrees, on behalf of itself and each other Obligor, that nothing contained in this Amendment shall adversely affect any right or remedy of the Administrative Agent or the Lenders under the Collateral Documents or any of the other Loan Documents. Each Obligor Party agrees, on behalf of itself and each other Obligor, that all references in any Collateral Document to the “Secured Obligations” shall include, without limitation, all of the obligations of WIL-Bermuda to the Administrative Agent and the Lenders under the Credit Agreement, as amended by this Amendment. Finally, each Obligor Party hereby represents and warrants, on behalf of itself and each other Obligor, that except as expressly provided herein, the execution and delivery of this Amendment and the other documents executed in connection herewith shall in no way change or modify its or any other Obligor’s obligations as a debtor, pledgor, assignor, obligor, grantor, mortgagor and/or chargor under any Collateral Document and the other Loan Documents and shall not constitute a waiver by the Administrative Agent or the Lenders of any of their rights against any Obligor.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From and after the Amendment No. 2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Costs and Expenses</w:t>
      </w:r>
      <w:r>
        <w:rPr>
          <w:rFonts w:ascii="Arial" w:cs="Arial" w:eastAsia="Arial" w:hAnsi="Arial"/>
          <w:sz w:val="22"/>
          <w:szCs w:val="22"/>
          <w:color w:val="auto"/>
        </w:rPr>
        <w:t>. Pursuant to the terms of Section 11.03 of the Credit Agreement, WIL-Bermuda agrees to pay all reasonable and documented out-of-pocket expenses incurred by the Administrative Agent and its Affiliates in connection with the preparation, execution and enforcement of this Amendment.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Submission to Jurisdiction; Consent to Service of Process.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44" w:name="page45"/>
    <w:bookmarkEnd w:id="44"/>
    <w:p>
      <w:pPr>
        <w:jc w:val="both"/>
        <w:ind w:firstLine="656"/>
        <w:spacing w:after="0" w:line="258" w:lineRule="exact"/>
        <w:tabs>
          <w:tab w:leader="none" w:pos="1536" w:val="left"/>
        </w:tabs>
        <w:numPr>
          <w:ilvl w:val="0"/>
          <w:numId w:val="39"/>
        </w:numPr>
        <w:rPr>
          <w:rFonts w:ascii="Arial" w:cs="Arial" w:eastAsia="Arial" w:hAnsi="Arial"/>
          <w:sz w:val="19"/>
          <w:szCs w:val="19"/>
          <w:color w:val="auto"/>
        </w:rPr>
      </w:pPr>
      <w:r>
        <w:rPr>
          <w:rFonts w:ascii="Arial" w:cs="Arial" w:eastAsia="Arial" w:hAnsi="Arial"/>
          <w:sz w:val="19"/>
          <w:szCs w:val="19"/>
          <w:color w:val="auto"/>
        </w:rPr>
        <w:t>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(including this Section 12)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45" w:lineRule="exact"/>
        <w:rPr>
          <w:rFonts w:ascii="Arial" w:cs="Arial" w:eastAsia="Arial" w:hAnsi="Arial"/>
          <w:sz w:val="19"/>
          <w:szCs w:val="19"/>
          <w:color w:val="auto"/>
        </w:rPr>
      </w:pPr>
    </w:p>
    <w:p>
      <w:pPr>
        <w:jc w:val="both"/>
        <w:ind w:firstLine="656"/>
        <w:spacing w:after="0" w:line="248" w:lineRule="auto"/>
        <w:tabs>
          <w:tab w:leader="none" w:pos="1549"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Obligor Party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Party hereby irrevocably waives, to the fullest extent permitted by law, the defense of an inconvenient forum to the maintenance of such action or proceeding in any such court.</w:t>
      </w:r>
    </w:p>
    <w:p>
      <w:pPr>
        <w:spacing w:after="0" w:line="232" w:lineRule="exact"/>
        <w:rPr>
          <w:rFonts w:ascii="Arial" w:cs="Arial" w:eastAsia="Arial" w:hAnsi="Arial"/>
          <w:sz w:val="22"/>
          <w:szCs w:val="22"/>
          <w:color w:val="auto"/>
        </w:rPr>
      </w:pPr>
    </w:p>
    <w:p>
      <w:pPr>
        <w:jc w:val="both"/>
        <w:ind w:firstLine="656"/>
        <w:spacing w:after="0" w:line="260" w:lineRule="auto"/>
        <w:tabs>
          <w:tab w:leader="none" w:pos="1536" w:val="left"/>
        </w:tabs>
        <w:numPr>
          <w:ilvl w:val="0"/>
          <w:numId w:val="39"/>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221" w:lineRule="exact"/>
        <w:rPr>
          <w:rFonts w:ascii="Arial" w:cs="Arial" w:eastAsia="Arial" w:hAnsi="Arial"/>
          <w:sz w:val="21"/>
          <w:szCs w:val="21"/>
          <w:color w:val="auto"/>
        </w:rPr>
      </w:pPr>
    </w:p>
    <w:p>
      <w:pPr>
        <w:jc w:val="both"/>
        <w:ind w:firstLine="656"/>
        <w:spacing w:after="0" w:line="297" w:lineRule="auto"/>
        <w:tabs>
          <w:tab w:leader="none" w:pos="1549" w:val="left"/>
        </w:tabs>
        <w:numPr>
          <w:ilvl w:val="0"/>
          <w:numId w:val="39"/>
        </w:numPr>
        <w:rPr>
          <w:rFonts w:ascii="Arial" w:cs="Arial" w:eastAsia="Arial" w:hAnsi="Arial"/>
          <w:sz w:val="19"/>
          <w:szCs w:val="19"/>
          <w:color w:val="auto"/>
        </w:rPr>
      </w:pPr>
      <w:r>
        <w:rPr>
          <w:rFonts w:ascii="Arial" w:cs="Arial" w:eastAsia="Arial" w:hAnsi="Arial"/>
          <w:sz w:val="19"/>
          <w:szCs w:val="19"/>
          <w:color w:val="auto"/>
        </w:rPr>
        <w:t>Each Obligor Party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47" w:right="239" w:bottom="1440" w:gutter="0" w:footer="0" w:header="0"/>
        </w:sectPr>
      </w:pPr>
    </w:p>
    <w:bookmarkStart w:id="45" w:name="page46"/>
    <w:bookmarkEnd w:id="45"/>
    <w:p>
      <w:pPr>
        <w:jc w:val="both"/>
        <w:ind w:firstLine="656"/>
        <w:spacing w:after="0" w:line="259" w:lineRule="auto"/>
        <w:tabs>
          <w:tab w:leader="none" w:pos="1536"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0" w:lineRule="exact"/>
        <w:rPr>
          <w:rFonts w:ascii="Arial" w:cs="Arial" w:eastAsia="Arial" w:hAnsi="Arial"/>
          <w:sz w:val="21"/>
          <w:szCs w:val="21"/>
          <w:color w:val="auto"/>
        </w:rPr>
      </w:pPr>
    </w:p>
    <w:p>
      <w:pPr>
        <w:jc w:val="both"/>
        <w:ind w:firstLine="656"/>
        <w:spacing w:after="0" w:line="247" w:lineRule="auto"/>
        <w:tabs>
          <w:tab w:leader="none" w:pos="1512"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(e) 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234"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5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47" w:right="239" w:bottom="1440" w:gutter="0" w:footer="0" w:header="0"/>
        </w:sectPr>
      </w:pPr>
    </w:p>
    <w:bookmarkStart w:id="46" w:name="page47"/>
    <w:bookmarkEnd w:id="46"/>
    <w:p>
      <w:pPr>
        <w:jc w:val="both"/>
        <w:ind w:firstLine="648"/>
        <w:spacing w:after="0" w:line="289"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2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47" w:name="page48"/>
    <w:bookmarkEnd w:id="47"/>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WIL-BERMUDA:</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Oscar J. Pinotti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24765</wp:posOffset>
            </wp:positionV>
            <wp:extent cx="284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Oscar J. Pinotti</w:t>
      </w:r>
    </w:p>
    <w:p>
      <w:pPr>
        <w:spacing w:after="0" w:line="4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1420"/>
          </w:cols>
          <w:pgMar w:left="240" w:top="591" w:right="239" w:bottom="1440" w:gutter="0" w:footer="0" w:header="0"/>
        </w:sectPr>
      </w:pPr>
    </w:p>
    <w:bookmarkStart w:id="48" w:name="page49"/>
    <w:bookmarkEnd w:id="48"/>
    <w:p>
      <w:pPr>
        <w:spacing w:after="0" w:line="13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WIL-IRELAND:</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Bastiaan E. van Houts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Bastiaan E. van Houts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440" w:right="1440" w:bottom="1440" w:gutter="0" w:footer="0" w:header="0"/>
        </w:sectPr>
      </w:pPr>
    </w:p>
    <w:bookmarkStart w:id="49" w:name="page50"/>
    <w:bookmarkEnd w:id="49"/>
    <w:p>
      <w:pPr>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239" w:right="1440" w:bottom="1440" w:gutter="0" w:footer="0" w:header="0"/>
        </w:sectPr>
      </w:pPr>
    </w:p>
    <w:bookmarkStart w:id="50" w:name="page51"/>
    <w:bookmarkEnd w:id="50"/>
    <w:p>
      <w:pPr>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9" w:right="1440"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Ming K. Chu</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Ming K. Chu</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Virginia Cosenza</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Virginia Cosenza</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8" w:right="1440"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Robert Corder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Robert Corder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9" w:right="1440"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SKANDINAVISKA ENSKILDA BANKEN AB (PUBL)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Penny Neville-Park</w:t>
            </w:r>
          </w:p>
        </w:tc>
      </w:tr>
      <w:tr>
        <w:trPr>
          <w:trHeight w:val="280"/>
        </w:trPr>
        <w:tc>
          <w:tcPr>
            <w:tcW w:w="5280" w:type="dxa"/>
            <w:vAlign w:val="bottom"/>
            <w:gridSpan w:val="2"/>
          </w:tcPr>
          <w:p>
            <w:pPr>
              <w:spacing w:after="0"/>
              <w:rPr>
                <w:sz w:val="20"/>
                <w:szCs w:val="20"/>
                <w:color w:val="auto"/>
              </w:rPr>
            </w:pPr>
            <w:r>
              <w:rPr>
                <w:rFonts w:ascii="Arial" w:cs="Arial" w:eastAsia="Arial" w:hAnsi="Arial"/>
                <w:sz w:val="22"/>
                <w:szCs w:val="22"/>
                <w:color w:val="auto"/>
              </w:rPr>
              <w:t>Name:  Penny Neville-Park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spacing w:after="0"/>
              <w:rPr>
                <w:sz w:val="24"/>
                <w:szCs w:val="24"/>
                <w:color w:val="auto"/>
              </w:rPr>
            </w:pPr>
          </w:p>
        </w:tc>
      </w:tr>
      <w:tr>
        <w:trPr>
          <w:trHeight w:val="94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ind w:left="40"/>
              <w:spacing w:after="0"/>
              <w:rPr>
                <w:sz w:val="20"/>
                <w:szCs w:val="20"/>
                <w:color w:val="auto"/>
              </w:rPr>
            </w:pPr>
            <w:r>
              <w:rPr>
                <w:rFonts w:ascii="Arial" w:cs="Arial" w:eastAsia="Arial" w:hAnsi="Arial"/>
                <w:sz w:val="22"/>
                <w:szCs w:val="22"/>
                <w:color w:val="auto"/>
              </w:rPr>
              <w:t>/s/ Alison Butt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10795</wp:posOffset>
            </wp:positionV>
            <wp:extent cx="292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Name:  Alison Butt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820"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THE TORONTO DOMINION BANK,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Savo Bozic</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40" w:type="dxa"/>
            <w:vAlign w:val="bottom"/>
          </w:tcPr>
          <w:p>
            <w:pPr>
              <w:ind w:left="40"/>
              <w:spacing w:after="0"/>
              <w:rPr>
                <w:sz w:val="20"/>
                <w:szCs w:val="20"/>
                <w:color w:val="auto"/>
              </w:rPr>
            </w:pPr>
            <w:r>
              <w:rPr>
                <w:rFonts w:ascii="Arial" w:cs="Arial" w:eastAsia="Arial" w:hAnsi="Arial"/>
                <w:sz w:val="22"/>
                <w:szCs w:val="22"/>
                <w:color w:val="auto"/>
              </w:rPr>
              <w:t>Savo Bozic</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8" w:right="1440"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Kristan Spivey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Pr>
          <w:p>
            <w:pPr>
              <w:ind w:left="40"/>
              <w:spacing w:after="0"/>
              <w:rPr>
                <w:sz w:val="20"/>
                <w:szCs w:val="20"/>
                <w:color w:val="auto"/>
              </w:rPr>
            </w:pPr>
            <w:r>
              <w:rPr>
                <w:rFonts w:ascii="Arial" w:cs="Arial" w:eastAsia="Arial" w:hAnsi="Arial"/>
                <w:sz w:val="22"/>
                <w:szCs w:val="22"/>
                <w:color w:val="auto"/>
              </w:rPr>
              <w:t>Kristan Spivey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8" w:right="1440"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Marguerite Sutton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Marguerite Sutton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8" w:right="1440"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NORDEA BANK AB (PUBL),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Olli Savikko</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Olli Savikko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Christopher G. Spither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Christopher G. Spither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9" w:right="1440" w:bottom="1440" w:gutter="0" w:footer="0" w:header="0"/>
        </w:sectPr>
      </w:pPr>
    </w:p>
    <w:bookmarkStart w:id="58" w:name="page59"/>
    <w:bookmarkEnd w:id="58"/>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UNICREDIT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D. Novellino</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Michael D. Novellino</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Scott Obeck</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Scott Obeck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440" w:right="1440" w:bottom="1440" w:gutter="0" w:footer="0" w:header="0"/>
        </w:sectPr>
      </w:pPr>
    </w:p>
    <w:bookmarkStart w:id="59" w:name="page60"/>
    <w:bookmarkEnd w:id="59"/>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BANCO BILBAO VIZCAYA ARENTARIA, S.A.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Brian Crowley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6020" w:type="dxa"/>
            <w:vAlign w:val="bottom"/>
          </w:tcPr>
          <w:p>
            <w:pPr>
              <w:ind w:left="40"/>
              <w:spacing w:after="0"/>
              <w:rPr>
                <w:sz w:val="20"/>
                <w:szCs w:val="20"/>
                <w:color w:val="auto"/>
              </w:rPr>
            </w:pPr>
            <w:r>
              <w:rPr>
                <w:rFonts w:ascii="Arial" w:cs="Arial" w:eastAsia="Arial" w:hAnsi="Arial"/>
                <w:sz w:val="22"/>
                <w:szCs w:val="22"/>
                <w:color w:val="auto"/>
              </w:rPr>
              <w:t>Brian Crowley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602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Cara Younger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6020" w:type="dxa"/>
            <w:vAlign w:val="bottom"/>
          </w:tcPr>
          <w:p>
            <w:pPr>
              <w:ind w:left="40"/>
              <w:spacing w:after="0"/>
              <w:rPr>
                <w:sz w:val="20"/>
                <w:szCs w:val="20"/>
                <w:color w:val="auto"/>
              </w:rPr>
            </w:pPr>
            <w:r>
              <w:rPr>
                <w:rFonts w:ascii="Arial" w:cs="Arial" w:eastAsia="Arial" w:hAnsi="Arial"/>
                <w:sz w:val="22"/>
                <w:szCs w:val="22"/>
                <w:color w:val="auto"/>
              </w:rPr>
              <w:t>Cara Younger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60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440" w:right="1440"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ARAB BANKING CORPORATION, GRAND CAYMAN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Victoria Gale</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Pr>
          <w:p>
            <w:pPr>
              <w:ind w:left="40"/>
              <w:spacing w:after="0"/>
              <w:rPr>
                <w:sz w:val="20"/>
                <w:szCs w:val="20"/>
                <w:color w:val="auto"/>
              </w:rPr>
            </w:pPr>
            <w:r>
              <w:rPr>
                <w:rFonts w:ascii="Arial" w:cs="Arial" w:eastAsia="Arial" w:hAnsi="Arial"/>
                <w:sz w:val="22"/>
                <w:szCs w:val="22"/>
                <w:color w:val="auto"/>
              </w:rPr>
              <w:t>Victoria Gale</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ind w:left="40"/>
              <w:spacing w:after="0"/>
              <w:rPr>
                <w:sz w:val="20"/>
                <w:szCs w:val="20"/>
                <w:color w:val="auto"/>
              </w:rPr>
            </w:pPr>
            <w:r>
              <w:rPr>
                <w:rFonts w:ascii="Arial" w:cs="Arial" w:eastAsia="Arial" w:hAnsi="Arial"/>
                <w:sz w:val="22"/>
                <w:szCs w:val="22"/>
                <w:color w:val="auto"/>
              </w:rPr>
              <w:t>Vice President</w:t>
            </w:r>
          </w:p>
        </w:tc>
      </w:tr>
      <w:tr>
        <w:trPr>
          <w:trHeight w:val="632"/>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Rami Zaytoon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Pr>
          <w:p>
            <w:pPr>
              <w:ind w:left="40"/>
              <w:spacing w:after="0"/>
              <w:rPr>
                <w:sz w:val="20"/>
                <w:szCs w:val="20"/>
                <w:color w:val="auto"/>
              </w:rPr>
            </w:pPr>
            <w:r>
              <w:rPr>
                <w:rFonts w:ascii="Arial" w:cs="Arial" w:eastAsia="Arial" w:hAnsi="Arial"/>
                <w:sz w:val="22"/>
                <w:szCs w:val="22"/>
                <w:color w:val="auto"/>
              </w:rPr>
              <w:t>Rami Zaytoon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198" w:right="1440"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ABR Reinsurance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8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1036" w:right="1440"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ADVANCED SERIES TRUST- AST BLACKROCK</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GLOBAL STRATEGIES PORTFOLIO</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its Sub-Advisor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820" w:right="1440"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BlackRock Core Bond Trust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By: BlackRock Advisors, LLC, its Investment Advisor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2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1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199" w:right="1440" w:bottom="1440" w:gutter="0" w:footer="0" w:header="0"/>
          <w:type w:val="continuous"/>
        </w:sectPr>
      </w:pPr>
    </w:p>
    <w:bookmarkStart w:id="64" w:name="page65"/>
    <w:bookmarkEnd w:id="64"/>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BlackRock Corporate High Yield Fund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Advisors, LLC, its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60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440"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9"/>
          <w:szCs w:val="19"/>
          <w:color w:val="auto"/>
        </w:rPr>
        <w:t>BlackRock Credit Strategies Income Fund of Black Rock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Funds II</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By: BlackRock Advisors, LLC, its Investment Advisor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171"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color w:val="auto"/>
        </w:rPr>
        <w:t>BlackRock Debt Strategies Fund,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its Sub-Advisor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7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7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171"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1"/>
          <w:szCs w:val="21"/>
          <w:color w:val="auto"/>
        </w:rPr>
        <w:t>BlackRock Floating Rate Income Strategies Fund, Inc.</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BY: BlackRock Financial Management, Inc., its Sub-</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Advisor</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8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22"/>
          <w:szCs w:val="22"/>
          <w:color w:val="auto"/>
        </w:rPr>
        <w:t>BlackRock Floating Rate Income Trust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By: BlackRock Advisors, LLC, its Investment Advisor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8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1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172"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1"/>
          <w:szCs w:val="21"/>
          <w:color w:val="auto"/>
        </w:rPr>
        <w:t>BlackRock Funds II, BlackRock Floating Rate Income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Portfolio</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By: BlackRock Advisors, LLC, its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type w:val="continuous"/>
        </w:sectPr>
      </w:pPr>
    </w:p>
    <w:bookmarkStart w:id="70" w:name="page71"/>
    <w:bookmarkEnd w:id="70"/>
    <w:p>
      <w:pPr>
        <w:ind w:right="5019"/>
        <w:spacing w:after="0" w:line="387" w:lineRule="auto"/>
        <w:rPr>
          <w:sz w:val="20"/>
          <w:szCs w:val="20"/>
          <w:color w:val="auto"/>
        </w:rPr>
      </w:pPr>
      <w:r>
        <w:rPr>
          <w:rFonts w:ascii="Arial" w:cs="Arial" w:eastAsia="Arial" w:hAnsi="Arial"/>
          <w:sz w:val="19"/>
          <w:szCs w:val="19"/>
          <w:color w:val="auto"/>
        </w:rPr>
        <w:t>BlackRock Funds II, BlackRock High Yield Bond Portfolio By: BlackRock Advisors, LLC, its Investment Advisor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5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BlackRock Funds II, BlackRock Multi-Asset Income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Portfolio</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By: BlackRock Advisors, LLC, its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72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2"/>
          <w:szCs w:val="22"/>
          <w:color w:val="auto"/>
        </w:rPr>
        <w:t>BlackRock Global Investment Series: Income Strategies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Portfolio</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its Sub-Advisor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86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8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3" w:name="page74"/>
    <w:bookmarkEnd w:id="73"/>
    <w:p>
      <w:pPr>
        <w:ind w:right="4639"/>
        <w:spacing w:after="0" w:line="251" w:lineRule="auto"/>
        <w:rPr>
          <w:sz w:val="20"/>
          <w:szCs w:val="20"/>
          <w:color w:val="auto"/>
        </w:rPr>
      </w:pPr>
      <w:r>
        <w:rPr>
          <w:rFonts w:ascii="Arial" w:cs="Arial" w:eastAsia="Arial" w:hAnsi="Arial"/>
          <w:sz w:val="22"/>
          <w:szCs w:val="22"/>
          <w:color w:val="auto"/>
        </w:rPr>
        <w:t>BlackRock High Yield Portfolio of the Black Rock Series Fund, Inc.</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By: BlackRock Advisors, LLC, its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8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9"/>
          <w:szCs w:val="19"/>
          <w:color w:val="auto"/>
        </w:rPr>
        <w:t>BlackRock High Yield V.I. Fund of Black Rock Variable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Series Fund, Inc.</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By: BlackRock Advisors, LLC, its investment advisor</w:t>
      </w:r>
    </w:p>
    <w:p>
      <w:pPr>
        <w:spacing w:after="0" w:line="38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color w:val="auto"/>
        </w:rPr>
        <w:t>BlackRock Limited Duration Income Trust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BY: BlackRock Financial Management, Inc., its Sub-Advisor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2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2"/>
          <w:szCs w:val="22"/>
          <w:color w:val="auto"/>
        </w:rPr>
        <w:t>BlackRock Multi-Sector Income Trust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Advisors, LLC, as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60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22"/>
          <w:szCs w:val="22"/>
          <w:color w:val="auto"/>
        </w:rPr>
        <w:t>BlackRock Senior Floating Rate Portfolio</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By: BlackRock Investment Management, LLC, its Investment Advisor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56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5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2"/>
          <w:szCs w:val="22"/>
          <w:color w:val="auto"/>
        </w:rPr>
        <w:t>California State Teachers' Retirement System</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its 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8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8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Consumer Program Administrators,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its Investment Manager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52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5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color w:val="auto"/>
        </w:rPr>
        <w:t>Fixed Income Opportunities Nero,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Its Investment Manager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4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42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4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Global High Yield Bond Fund, a series of DSBI-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Global Investment Trust</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 Manager</w:t>
      </w: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22"/>
          <w:szCs w:val="22"/>
          <w:color w:val="auto"/>
        </w:rPr>
        <w:t>Ironshore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 Advisor</w:t>
      </w: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22"/>
          <w:szCs w:val="22"/>
          <w:color w:val="auto"/>
        </w:rPr>
        <w:t>JPMBI re Blackrock Bankloan Fund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BY: BlackRock Financial Management Inc.,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Sub-Advisor</w:t>
      </w: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9"/>
          <w:szCs w:val="19"/>
          <w:color w:val="auto"/>
        </w:rPr>
        <w:t>MET Investors Series Trust- BlackRock High Yield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Portfolio</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BY: BlackRock Financial Management, Inc., its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Investment Advisor</w:t>
      </w: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2"/>
          <w:szCs w:val="22"/>
          <w:color w:val="auto"/>
        </w:rPr>
        <w:t>Metropolitan Life Insurance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as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investment manager to Metropolitan Life Insurance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on behalf of its Separate Account No. 479</w:t>
      </w:r>
    </w:p>
    <w:p>
      <w:pPr>
        <w:spacing w:after="0" w:line="38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22"/>
          <w:szCs w:val="22"/>
          <w:color w:val="auto"/>
        </w:rPr>
        <w:t>Permanens Capital Floating Rate Fund 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Sub-Advisor</w:t>
      </w:r>
    </w:p>
    <w:p>
      <w:pPr>
        <w:spacing w:after="0" w:line="35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 Jacobi</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PPL Services Corporation Master Trust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BlackRock Financial Management, Inc., its Investment Manager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64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64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color w:val="auto"/>
        </w:rPr>
        <w:t>The PNC Financial Services Group, Inc. Pension Plan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BlackRock Financial Management, Inc., its </w:t>
      </w:r>
      <w:r>
        <w:rPr>
          <w:rFonts w:ascii="Arial" w:cs="Arial" w:eastAsia="Arial" w:hAnsi="Arial"/>
          <w:sz w:val="19"/>
          <w:szCs w:val="19"/>
          <w:color w:val="auto"/>
        </w:rPr>
        <w:t>Investment Advisor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84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8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color w:val="auto"/>
        </w:rPr>
        <w:t>Canyon Blue Credit Investment Fund 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Canyon Capital Advisors LLC, its co-Investment Advisor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9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 Jacobi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5900" w:type="dxa"/>
            <w:vAlign w:val="bottom"/>
          </w:tcPr>
          <w:p>
            <w:pPr>
              <w:ind w:left="40"/>
              <w:spacing w:after="0"/>
              <w:rPr>
                <w:sz w:val="20"/>
                <w:szCs w:val="20"/>
                <w:color w:val="auto"/>
              </w:rPr>
            </w:pPr>
            <w:r>
              <w:rPr>
                <w:rFonts w:ascii="Arial" w:cs="Arial" w:eastAsia="Arial" w:hAnsi="Arial"/>
                <w:sz w:val="22"/>
                <w:szCs w:val="22"/>
                <w:color w:val="auto"/>
              </w:rPr>
              <w:t>Rob Jacobi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90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171" w:right="1440"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color w:val="auto"/>
        </w:rPr>
        <w:t>Canyon Capitol CLO 2006-1,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Canyon Capital Advisors LLC, Its Asset Manager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color w:val="auto"/>
        </w:rPr>
        <w:t>Canyon Capitol CLO 2012-1,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Canyon Capital Advisors LLC, Its Asset Manager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2"/>
          <w:szCs w:val="22"/>
          <w:color w:val="auto"/>
        </w:rPr>
        <w:t>Canyon Capitol CLO 2014-1, Ltd.</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BY: Canyon Capital Advisors LLC, Its Asset Manager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4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7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739" w:right="1440"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2"/>
          <w:szCs w:val="22"/>
          <w:color w:val="auto"/>
        </w:rPr>
        <w:t>Canyon Capitol CLO 2014-2, Ltd.</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BY: Canyon Capital Advisors LLC, Its Asset Manager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22"/>
          <w:szCs w:val="22"/>
          <w:color w:val="auto"/>
        </w:rPr>
        <w:t>Canyon Capitol CLO 2015-1,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Canyon Capital Advisors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Jonathan M. Kaplan</w:t>
            </w:r>
          </w:p>
        </w:tc>
      </w:tr>
      <w:tr>
        <w:trPr>
          <w:trHeight w:val="280"/>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3280" w:type="dxa"/>
            <w:vAlign w:val="bottom"/>
          </w:tcPr>
          <w:p>
            <w:pPr>
              <w:ind w:left="20"/>
              <w:spacing w:after="0"/>
              <w:rPr>
                <w:sz w:val="20"/>
                <w:szCs w:val="20"/>
                <w:color w:val="auto"/>
              </w:rPr>
            </w:pPr>
            <w:r>
              <w:rPr>
                <w:rFonts w:ascii="Arial" w:cs="Arial" w:eastAsia="Arial" w:hAnsi="Arial"/>
                <w:sz w:val="22"/>
                <w:szCs w:val="22"/>
                <w:color w:val="auto"/>
              </w:rPr>
              <w:t>Jonathan M. Kaplan</w:t>
            </w:r>
          </w:p>
        </w:tc>
      </w:t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32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388" w:right="1440"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22"/>
          <w:szCs w:val="22"/>
          <w:color w:val="auto"/>
        </w:rPr>
        <w:t>Canyon Capitol CLO 2016-1,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By: Canyon CLO Advisors LLC, its Collateral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1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14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14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9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22"/>
          <w:szCs w:val="22"/>
          <w:color w:val="auto"/>
        </w:rPr>
        <w:t>Canyon Capitol CLO 2016-2, Ltd.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Canyon CLO Advisors LLC, its Collateral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p>
      <w:pPr>
        <w:sectPr>
          <w:pgSz w:w="11900" w:h="16838" w:orient="portrait"/>
          <w:cols w:equalWidth="0" w:num="1">
            <w:col w:w="10179"/>
          </w:cols>
          <w:pgMar w:left="280" w:top="955" w:right="1440" w:bottom="1440" w:gutter="0" w:footer="0" w:header="0"/>
        </w:sectPr>
      </w:pPr>
    </w:p>
    <w:bookmarkStart w:id="97" w:name="page98"/>
    <w:bookmarkEnd w:id="97"/>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Canyon Value Realization MAC 18 Ltd.</w:t>
      </w:r>
    </w:p>
    <w:p>
      <w:pPr>
        <w:spacing w:after="0" w:line="49"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Canyon Capital Advisors LLC, its Investment Advisor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Jonathan M. Kaplan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960" w:type="dxa"/>
            <w:vAlign w:val="bottom"/>
          </w:tcPr>
          <w:p>
            <w:pPr>
              <w:ind w:left="40"/>
              <w:spacing w:after="0"/>
              <w:rPr>
                <w:sz w:val="20"/>
                <w:szCs w:val="20"/>
                <w:color w:val="auto"/>
              </w:rPr>
            </w:pPr>
            <w:r>
              <w:rPr>
                <w:rFonts w:ascii="Arial" w:cs="Arial" w:eastAsia="Arial" w:hAnsi="Arial"/>
                <w:sz w:val="22"/>
                <w:szCs w:val="22"/>
                <w:color w:val="auto"/>
              </w:rPr>
              <w:t>Jonathan M. Kaplan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9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79"/>
          </w:cols>
          <w:pgMar w:left="2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40"/>
        <w:spacing w:after="0"/>
        <w:rPr>
          <w:sz w:val="20"/>
          <w:szCs w:val="20"/>
          <w:color w:val="auto"/>
        </w:rPr>
      </w:pPr>
      <w:r>
        <w:rPr>
          <w:rFonts w:ascii="Arial" w:cs="Arial" w:eastAsia="Arial" w:hAnsi="Arial"/>
          <w:sz w:val="16"/>
          <w:szCs w:val="16"/>
          <w:i w:val="1"/>
          <w:iCs w:val="1"/>
          <w:color w:val="auto"/>
        </w:rPr>
        <w:t>Signature Page to Amendment No. 2 to Term Loan Agreement</w:t>
      </w:r>
    </w:p>
    <w:p>
      <w:pPr>
        <w:sectPr>
          <w:pgSz w:w="11900" w:h="16838" w:orient="portrait"/>
          <w:cols w:equalWidth="0" w:num="1">
            <w:col w:w="10179"/>
          </w:cols>
          <w:pgMar w:left="280" w:top="1440" w:right="1440" w:bottom="1440" w:gutter="0" w:footer="0" w:header="0"/>
          <w:type w:val="continuous"/>
        </w:sectPr>
      </w:pPr>
    </w:p>
    <w:bookmarkStart w:id="98" w:name="page99"/>
    <w:bookmarkEnd w:id="98"/>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Canyon-SL Value Fund, L.P.</w:t>
      </w:r>
    </w:p>
    <w:p>
      <w:pPr>
        <w:spacing w:after="0" w:line="49"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Canyon Capital Advisors LLC, its Investment Advisor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319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Jonathan M. Kaplan</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200" w:lineRule="exact"/>
        <w:rPr>
          <w:sz w:val="20"/>
          <w:szCs w:val="20"/>
          <w:color w:val="auto"/>
        </w:rPr>
      </w:pPr>
    </w:p>
    <w:p>
      <w:pPr>
        <w:spacing w:after="0" w:line="283"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2 to Term Loan Agreement</w:t>
      </w:r>
    </w:p>
    <w:sectPr>
      <w:pgSz w:w="11900" w:h="16838" w:orient="portrait"/>
      <w:cols w:equalWidth="0" w:num="1">
        <w:col w:w="10179"/>
      </w:cols>
      <w:pgMar w:left="2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4"/>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5">
    <w:nsid w:val="6763845E"/>
    <w:multiLevelType w:val="hybridMultilevel"/>
    <w:lvl w:ilvl="0">
      <w:lvlJc w:val="left"/>
      <w:lvlText w:val="(%1)"/>
      <w:numFmt w:val="lowerLetter"/>
      <w:start w:val="22"/>
    </w:lvl>
    <w:lvl w:ilvl="1">
      <w:lvlJc w:val="left"/>
      <w:lvlText w:val="(%2)"/>
      <w:numFmt w:val="lowerLetter"/>
      <w:start w:val="22"/>
    </w:lvl>
    <w:lvl w:ilvl="2">
      <w:lvlJc w:val="left"/>
      <w:lvlText w:val="(%3)"/>
      <w:numFmt w:val="lowerLetter"/>
      <w:start w:val="35"/>
    </w:lvl>
  </w:abstractNum>
  <w:abstractNum w:abstractNumId="6">
    <w:nsid w:val="75A2A8D4"/>
    <w:multiLevelType w:val="hybridMultilevel"/>
    <w:lvl w:ilvl="0">
      <w:lvlJc w:val="left"/>
      <w:lvlText w:val="%1"/>
      <w:numFmt w:val="lowerLetter"/>
      <w:start w:val="1"/>
    </w:lvl>
    <w:lvl w:ilvl="1">
      <w:lvlJc w:val="left"/>
      <w:lvlText w:val="(%2)"/>
      <w:numFmt w:val="lowerRoman"/>
      <w:start w:val="4"/>
    </w:lvl>
  </w:abstractNum>
  <w:abstractNum w:abstractNumId="7">
    <w:nsid w:val="8EDBDAB"/>
    <w:multiLevelType w:val="hybridMultilevel"/>
    <w:lvl w:ilvl="0">
      <w:lvlJc w:val="left"/>
      <w:lvlText w:val="(%1)"/>
      <w:numFmt w:val="lowerLetter"/>
      <w:start w:val="2"/>
    </w:lvl>
    <w:lvl w:ilvl="1">
      <w:lvlJc w:val="left"/>
      <w:lvlText w:val="(%2)"/>
      <w:numFmt w:val="lowerRoman"/>
      <w:start w:val="5"/>
    </w:lvl>
  </w:abstractNum>
  <w:abstractNum w:abstractNumId="8">
    <w:nsid w:val="79838CB2"/>
    <w:multiLevelType w:val="hybridMultilevel"/>
    <w:lvl w:ilvl="0">
      <w:lvlJc w:val="left"/>
      <w:lvlText w:val="(%1)"/>
      <w:numFmt w:val="lowerLetter"/>
      <w:start w:val="3"/>
    </w:lvl>
    <w:lvl w:ilvl="1">
      <w:lvlJc w:val="left"/>
      <w:lvlText w:val="(%2)"/>
      <w:numFmt w:val="lowerLetter"/>
      <w:start w:val="3"/>
    </w:lvl>
  </w:abstractNum>
  <w:abstractNum w:abstractNumId="9">
    <w:nsid w:val="4353D0CD"/>
    <w:multiLevelType w:val="hybridMultilevel"/>
    <w:lvl w:ilvl="0">
      <w:lvlJc w:val="left"/>
      <w:lvlText w:val="(%1)"/>
      <w:numFmt w:val="lowerLetter"/>
      <w:start w:val="4"/>
    </w:lvl>
    <w:lvl w:ilvl="1">
      <w:lvlJc w:val="left"/>
      <w:lvlText w:val="(%2)"/>
      <w:numFmt w:val="lowerLetter"/>
      <w:start w:val="7"/>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lvl w:ilvl="1">
      <w:lvlJc w:val="left"/>
      <w:lvlText w:val="(%2)"/>
      <w:numFmt w:val="lowerLetter"/>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lvl w:ilvl="1">
      <w:lvlJc w:val="left"/>
      <w:lvlText w:val="(%2)"/>
      <w:numFmt w:val="lowerLetter"/>
      <w:start w:val="3"/>
    </w:lvl>
  </w:abstractNum>
  <w:abstractNum w:abstractNumId="14">
    <w:nsid w:val="2CA88611"/>
    <w:multiLevelType w:val="hybridMultilevel"/>
    <w:lvl w:ilvl="0">
      <w:lvlJc w:val="left"/>
      <w:lvlText w:val="(%1)"/>
      <w:numFmt w:val="lowerLetter"/>
      <w:start w:val="5"/>
    </w:lvl>
    <w:lvl w:ilvl="1">
      <w:lvlJc w:val="left"/>
      <w:lvlText w:val="(%2)"/>
      <w:numFmt w:val="lowerLetter"/>
      <w:start w:val="7"/>
    </w:lvl>
  </w:abstractNum>
  <w:abstractNum w:abstractNumId="15">
    <w:nsid w:val="836C40E"/>
    <w:multiLevelType w:val="hybridMultilevel"/>
    <w:lvl w:ilvl="0">
      <w:lvlJc w:val="left"/>
      <w:lvlText w:val="(%1)"/>
      <w:numFmt w:val="upperLetter"/>
      <w:start w:val="2"/>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2"/>
    </w:lvl>
    <w:lvl w:ilvl="1">
      <w:lvlJc w:val="left"/>
      <w:lvlText w:val="(%2)"/>
      <w:numFmt w:val="lowerLetter"/>
      <w:start w:val="9"/>
    </w:lvl>
  </w:abstractNum>
  <w:abstractNum w:abstractNumId="18">
    <w:nsid w:val="8138641"/>
    <w:multiLevelType w:val="hybridMultilevel"/>
    <w:lvl w:ilvl="0">
      <w:lvlJc w:val="left"/>
      <w:lvlText w:val="(%1)"/>
      <w:numFmt w:val="lowerRoman"/>
      <w:start w:val="5"/>
    </w:lvl>
  </w:abstractNum>
  <w:abstractNum w:abstractNumId="19">
    <w:nsid w:val="1E7FF52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21">
    <w:nsid w:val="737B8DDC"/>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lvl w:ilvl="3">
      <w:lvlJc w:val="left"/>
      <w:lvlText w:val="(%4)"/>
      <w:numFmt w:val="lowerLetter"/>
      <w:start w:val="9"/>
    </w:lvl>
  </w:abstractNum>
  <w:abstractNum w:abstractNumId="22">
    <w:nsid w:val="6CEAF087"/>
    <w:multiLevelType w:val="hybridMultilevel"/>
    <w:lvl w:ilvl="0">
      <w:lvlJc w:val="left"/>
      <w:lvlText w:val="(%1)"/>
      <w:numFmt w:val="lowerLetter"/>
      <w:start w:val="6"/>
    </w:lvl>
  </w:abstractNum>
  <w:abstractNum w:abstractNumId="23">
    <w:nsid w:val="22221A70"/>
    <w:multiLevelType w:val="hybridMultilevel"/>
    <w:lvl w:ilvl="0">
      <w:lvlJc w:val="left"/>
      <w:lvlText w:val="(%1)"/>
      <w:numFmt w:val="lowerLetter"/>
      <w:start w:val="6"/>
    </w:lvl>
    <w:lvl w:ilvl="1">
      <w:lvlJc w:val="left"/>
      <w:lvlText w:val=";"/>
      <w:numFmt w:val="bullet"/>
      <w:start w:val="1"/>
    </w:lvl>
  </w:abstractNum>
  <w:abstractNum w:abstractNumId="24">
    <w:nsid w:val="4516DDE9"/>
    <w:multiLevelType w:val="hybridMultilevel"/>
    <w:lvl w:ilvl="0">
      <w:lvlJc w:val="left"/>
      <w:lvlText w:val="(%1)"/>
      <w:numFmt w:val="lowerLetter"/>
      <w:start w:val="9"/>
    </w:lvl>
    <w:lvl w:ilvl="1">
      <w:lvlJc w:val="left"/>
      <w:lvlText w:val="(%2)"/>
      <w:numFmt w:val="lowerLetter"/>
      <w:start w:val="7"/>
    </w:lvl>
  </w:abstractNum>
  <w:abstractNum w:abstractNumId="25">
    <w:nsid w:val="3006C83E"/>
    <w:multiLevelType w:val="hybridMultilevel"/>
    <w:lvl w:ilvl="0">
      <w:lvlJc w:val="left"/>
      <w:lvlText w:val="(%1)"/>
      <w:numFmt w:val="lowerRoman"/>
      <w:start w:val="2"/>
    </w:lvl>
  </w:abstractNum>
  <w:abstractNum w:abstractNumId="26">
    <w:nsid w:val="614FD4A1"/>
    <w:multiLevelType w:val="hybridMultilevel"/>
    <w:lvl w:ilvl="0">
      <w:lvlJc w:val="left"/>
      <w:lvlText w:val="(%1)"/>
      <w:numFmt w:val="lowerLetter"/>
      <w:start w:val="8"/>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lowerLetter"/>
      <w:start w:val="10"/>
    </w:lvl>
  </w:abstractNum>
  <w:abstractNum w:abstractNumId="29">
    <w:nsid w:val="440BADFC"/>
    <w:multiLevelType w:val="hybridMultilevel"/>
    <w:lvl w:ilvl="0">
      <w:lvlJc w:val="left"/>
      <w:lvlText w:val="%1"/>
      <w:numFmt w:val="lowerLetter"/>
      <w:start w:val="1"/>
    </w:lvl>
    <w:lvl w:ilvl="1">
      <w:lvlJc w:val="left"/>
      <w:lvlText w:val="(%2)"/>
      <w:numFmt w:val="lowerLetter"/>
      <w:start w:val="1"/>
    </w:lvl>
  </w:abstractNum>
  <w:abstractNum w:abstractNumId="30">
    <w:nsid w:val="5072367"/>
    <w:multiLevelType w:val="hybridMultilevel"/>
    <w:lvl w:ilvl="0">
      <w:lvlJc w:val="left"/>
      <w:lvlText w:val="(%1)"/>
      <w:numFmt w:val="lowerLetter"/>
      <w:start w:val="7"/>
    </w:lvl>
    <w:lvl w:ilvl="1">
      <w:lvlJc w:val="left"/>
      <w:lvlText w:val="%2"/>
      <w:numFmt w:val="lowerLetter"/>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5"/>
    </w:lvl>
  </w:abstractNum>
  <w:abstractNum w:abstractNumId="40">
    <w:nsid w:val="153EA43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2019-12-07T22:48:57Z</dcterms:created>
  <dcterms:modified xsi:type="dcterms:W3CDTF">2019-12-07T22:48:57Z</dcterms:modified>
</cp:coreProperties>
</file>