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453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3580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Mongrain Joseph H</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01/18/2022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80" w:firstLine="5"/>
        <w:spacing w:after="0" w:line="234"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635"/>
        <w:spacing w:after="0"/>
        <w:rPr>
          <w:sz w:val="20"/>
          <w:szCs w:val="20"/>
          <w:color w:val="auto"/>
        </w:rPr>
      </w:pPr>
      <w:r>
        <w:rPr>
          <w:rFonts w:ascii="Arial" w:cs="Arial" w:eastAsia="Arial" w:hAnsi="Arial"/>
          <w:sz w:val="16"/>
          <w:szCs w:val="16"/>
          <w:color w:val="0000FF"/>
        </w:rPr>
        <w:t>EVP &amp; Chief People Officer</w:t>
      </w:r>
    </w:p>
    <w:p>
      <w:pPr>
        <w:spacing w:after="0" w:line="307" w:lineRule="exact"/>
        <w:rPr>
          <w:sz w:val="24"/>
          <w:szCs w:val="24"/>
          <w:color w:val="auto"/>
        </w:rPr>
      </w:pPr>
    </w:p>
    <w:p>
      <w:pPr>
        <w:sectPr>
          <w:pgSz w:w="11900" w:h="16838" w:orient="portrait"/>
          <w:cols w:equalWidth="0" w:num="3">
            <w:col w:w="3180" w:space="720"/>
            <w:col w:w="3160" w:space="665"/>
            <w:col w:w="3355"/>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020" w:type="dxa"/>
            <w:vAlign w:val="bottom"/>
          </w:tcPr>
          <w:p>
            <w:pPr>
              <w:ind w:left="220"/>
              <w:spacing w:after="0"/>
              <w:rPr>
                <w:sz w:val="20"/>
                <w:szCs w:val="20"/>
                <w:color w:val="auto"/>
              </w:rPr>
            </w:pPr>
            <w:r>
              <w:rPr>
                <w:rFonts w:ascii="Arial" w:cs="Arial" w:eastAsia="Arial" w:hAnsi="Arial"/>
                <w:sz w:val="16"/>
                <w:szCs w:val="16"/>
                <w:color w:val="0000FF"/>
              </w:rPr>
              <w:t>TX</w:t>
            </w:r>
          </w:p>
        </w:tc>
        <w:tc>
          <w:tcPr>
            <w:tcW w:w="1600" w:type="dxa"/>
            <w:vAlign w:val="bottom"/>
          </w:tcPr>
          <w:p>
            <w:pPr>
              <w:ind w:left="420"/>
              <w:spacing w:after="0"/>
              <w:rPr>
                <w:sz w:val="20"/>
                <w:szCs w:val="20"/>
                <w:color w:val="auto"/>
              </w:rPr>
            </w:pPr>
            <w:r>
              <w:rPr>
                <w:rFonts w:ascii="Arial" w:cs="Arial" w:eastAsia="Arial" w:hAnsi="Arial"/>
                <w:sz w:val="16"/>
                <w:szCs w:val="16"/>
                <w:color w:val="0000FF"/>
              </w:rPr>
              <w:t>77056</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jc w:val="right"/>
              <w:ind w:right="180"/>
              <w:spacing w:after="0"/>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jc w:val="center"/>
              <w:ind w:right="22"/>
              <w:spacing w:after="0"/>
              <w:rPr>
                <w:sz w:val="20"/>
                <w:szCs w:val="20"/>
                <w:color w:val="auto"/>
              </w:rPr>
            </w:pPr>
            <w:r>
              <w:rPr>
                <w:rFonts w:ascii="Arial" w:cs="Arial" w:eastAsia="Arial" w:hAnsi="Arial"/>
                <w:sz w:val="13"/>
                <w:szCs w:val="13"/>
                <w:color w:val="0000FF"/>
                <w:w w:val="94"/>
              </w:rPr>
              <w:t>10,615</w:t>
            </w:r>
            <w:r>
              <w:rPr>
                <w:rFonts w:ascii="Arial" w:cs="Arial" w:eastAsia="Arial" w:hAnsi="Arial"/>
                <w:sz w:val="21"/>
                <w:szCs w:val="21"/>
                <w:color w:val="008000"/>
                <w:w w:val="94"/>
                <w:vertAlign w:val="superscript"/>
              </w:rPr>
              <w:t>(1)</w:t>
            </w:r>
          </w:p>
        </w:tc>
        <w:tc>
          <w:tcPr>
            <w:tcW w:w="26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tcPr>
          <w:p>
            <w:pPr>
              <w:ind w:left="20"/>
              <w:spacing w:after="0"/>
              <w:rPr>
                <w:sz w:val="20"/>
                <w:szCs w:val="20"/>
                <w:color w:val="auto"/>
              </w:rPr>
            </w:pPr>
            <w:r>
              <w:rPr>
                <w:rFonts w:ascii="Arial" w:cs="Arial" w:eastAsia="Arial" w:hAnsi="Arial"/>
                <w:sz w:val="16"/>
                <w:szCs w:val="16"/>
                <w:color w:val="0000FF"/>
                <w:w w:val="98"/>
              </w:rPr>
              <w:t>10,615</w:t>
            </w:r>
          </w:p>
        </w:tc>
        <w:tc>
          <w:tcPr>
            <w:tcW w:w="680" w:type="dxa"/>
            <w:vAlign w:val="bottom"/>
          </w:tcPr>
          <w:p>
            <w:pPr>
              <w:ind w:left="280"/>
              <w:spacing w:after="0"/>
              <w:rPr>
                <w:sz w:val="20"/>
                <w:szCs w:val="20"/>
                <w:color w:val="auto"/>
              </w:rPr>
            </w:pPr>
            <w:r>
              <w:rPr>
                <w:rFonts w:ascii="Arial" w:cs="Arial" w:eastAsia="Arial" w:hAnsi="Arial"/>
                <w:sz w:val="11"/>
                <w:szCs w:val="11"/>
                <w:color w:val="008000"/>
              </w:rPr>
              <w:t>(1)</w:t>
            </w:r>
          </w:p>
        </w:tc>
        <w:tc>
          <w:tcPr>
            <w:tcW w:w="920" w:type="dxa"/>
            <w:vAlign w:val="bottom"/>
          </w:tcPr>
          <w:p>
            <w:pPr>
              <w:ind w:left="300"/>
              <w:spacing w:after="0"/>
              <w:rPr>
                <w:sz w:val="20"/>
                <w:szCs w:val="20"/>
                <w:color w:val="auto"/>
              </w:rPr>
            </w:pPr>
            <w:r>
              <w:rPr>
                <w:rFonts w:ascii="Arial" w:cs="Arial" w:eastAsia="Arial" w:hAnsi="Arial"/>
                <w:sz w:val="13"/>
                <w:szCs w:val="13"/>
                <w:color w:val="0000FF"/>
              </w:rPr>
              <w:t>10,615</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7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Share Units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Arial" w:cs="Arial" w:eastAsia="Arial" w:hAnsi="Arial"/>
                <w:sz w:val="13"/>
                <w:szCs w:val="13"/>
                <w:color w:val="0000FF"/>
                <w:w w:val="95"/>
              </w:rPr>
              <w:t>2022 Annual</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10,615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w w:val="94"/>
              </w:rPr>
              <w:t>Performance</w:t>
            </w:r>
          </w:p>
        </w:tc>
        <w:tc>
          <w:tcPr>
            <w:tcW w:w="760" w:type="dxa"/>
            <w:vAlign w:val="bottom"/>
            <w:vMerge w:val="continue"/>
          </w:tcPr>
          <w:p>
            <w:pPr>
              <w:spacing w:after="0"/>
              <w:rPr>
                <w:sz w:val="10"/>
                <w:szCs w:val="10"/>
                <w:color w:val="auto"/>
              </w:rPr>
            </w:pP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color w:val="0000FF"/>
              </w:rPr>
              <w:t>01/18/2022</w:t>
            </w:r>
          </w:p>
        </w:tc>
        <w:tc>
          <w:tcPr>
            <w:tcW w:w="106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60" w:type="dxa"/>
            <w:vAlign w:val="bottom"/>
          </w:tcPr>
          <w:p>
            <w:pPr>
              <w:jc w:val="right"/>
              <w:ind w:right="102"/>
              <w:spacing w:after="0" w:line="123" w:lineRule="exact"/>
              <w:rPr>
                <w:sz w:val="20"/>
                <w:szCs w:val="20"/>
                <w:color w:val="auto"/>
              </w:rPr>
            </w:pPr>
            <w:r>
              <w:rPr>
                <w:rFonts w:ascii="Arial" w:cs="Arial" w:eastAsia="Arial" w:hAnsi="Arial"/>
                <w:sz w:val="13"/>
                <w:szCs w:val="13"/>
                <w:color w:val="0000FF"/>
              </w:rPr>
              <w:t>10,615</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ind w:left="28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300"/>
              <w:spacing w:after="0" w:line="123" w:lineRule="exact"/>
              <w:rPr>
                <w:sz w:val="20"/>
                <w:szCs w:val="20"/>
                <w:color w:val="auto"/>
              </w:rPr>
            </w:pPr>
            <w:r>
              <w:rPr>
                <w:rFonts w:ascii="Arial" w:cs="Arial" w:eastAsia="Arial" w:hAnsi="Arial"/>
                <w:sz w:val="13"/>
                <w:szCs w:val="13"/>
                <w:color w:val="0000FF"/>
              </w:rPr>
              <w:t>10,615</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Share 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660" w:hanging="1"/>
        <w:spacing w:after="0" w:line="24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share units ("RSUs") granted on January 18, 2022 pursuant to the Issuer's Second Amended and Restated 2019 Equity Incentive Plan (the "2019 EIP"). The RSUs vest in three equal installments annually over the three-year period from the date of grant.</w:t>
      </w:r>
    </w:p>
    <w:p>
      <w:pPr>
        <w:spacing w:after="0" w:line="28" w:lineRule="exact"/>
        <w:rPr>
          <w:rFonts w:ascii="Arial" w:cs="Arial" w:eastAsia="Arial" w:hAnsi="Arial"/>
          <w:sz w:val="13"/>
          <w:szCs w:val="13"/>
          <w:color w:val="008000"/>
        </w:rPr>
      </w:pPr>
    </w:p>
    <w:p>
      <w:pPr>
        <w:ind w:left="40" w:right="180" w:hanging="1"/>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share units ("PSUs") granted on January 18, 2022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2022 and ending December 31, 2024.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Jonathan B. Wolens by Power</w:t>
            </w:r>
          </w:p>
        </w:tc>
        <w:tc>
          <w:tcPr>
            <w:tcW w:w="980" w:type="dxa"/>
            <w:vAlign w:val="bottom"/>
            <w:gridSpan w:val="2"/>
            <w:vMerge w:val="restart"/>
          </w:tcPr>
          <w:p>
            <w:pPr>
              <w:ind w:left="220"/>
              <w:spacing w:after="0"/>
              <w:rPr>
                <w:sz w:val="20"/>
                <w:szCs w:val="20"/>
                <w:color w:val="auto"/>
              </w:rPr>
            </w:pPr>
            <w:r>
              <w:rPr>
                <w:rFonts w:ascii="Arial" w:cs="Arial" w:eastAsia="Arial" w:hAnsi="Arial"/>
                <w:sz w:val="16"/>
                <w:szCs w:val="16"/>
                <w:color w:val="0000FF"/>
                <w:w w:val="92"/>
              </w:rPr>
              <w:t>01/20/2022</w:t>
            </w:r>
          </w:p>
        </w:tc>
        <w:tc>
          <w:tcPr>
            <w:tcW w:w="0" w:type="dxa"/>
            <w:vAlign w:val="bottom"/>
          </w:tcPr>
          <w:p>
            <w:pPr>
              <w:spacing w:after="0"/>
              <w:rPr>
                <w:sz w:val="1"/>
                <w:szCs w:val="1"/>
                <w:color w:val="auto"/>
              </w:rPr>
            </w:pPr>
          </w:p>
        </w:tc>
      </w:tr>
      <w:tr>
        <w:trPr>
          <w:trHeight w:val="81"/>
        </w:trPr>
        <w:tc>
          <w:tcPr>
            <w:tcW w:w="1980" w:type="dxa"/>
            <w:vAlign w:val="bottom"/>
            <w:gridSpan w:val="2"/>
            <w:vMerge w:val="restart"/>
          </w:tcPr>
          <w:p>
            <w:pPr>
              <w:spacing w:after="0" w:line="183" w:lineRule="exact"/>
              <w:rPr>
                <w:sz w:val="20"/>
                <w:szCs w:val="20"/>
                <w:color w:val="auto"/>
              </w:rPr>
            </w:pPr>
            <w:r>
              <w:rPr>
                <w:rFonts w:ascii="Arial" w:cs="Arial" w:eastAsia="Arial" w:hAnsi="Arial"/>
                <w:sz w:val="16"/>
                <w:szCs w:val="16"/>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584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2022-01-20T17:53:11Z</dcterms:created>
  <dcterms:modified xsi:type="dcterms:W3CDTF">2022-01-20T17:53:11Z</dcterms:modified>
</cp:coreProperties>
</file>