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219"/>
        <w:spacing w:after="0"/>
        <w:rPr>
          <w:sz w:val="20"/>
          <w:szCs w:val="20"/>
          <w:color w:val="auto"/>
        </w:rPr>
      </w:pPr>
      <w:r>
        <w:rPr>
          <w:rFonts w:ascii="Arial" w:cs="Arial" w:eastAsia="Arial" w:hAnsi="Arial"/>
          <w:sz w:val="20"/>
          <w:szCs w:val="20"/>
          <w:b w:val="1"/>
          <w:bCs w:val="1"/>
          <w:color w:val="auto"/>
        </w:rPr>
        <w:t>Washington, D.C. 20549</w:t>
      </w:r>
    </w:p>
    <w:p>
      <w:pPr>
        <w:spacing w:after="0" w:line="207"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SCHEDULE 13G</w:t>
      </w:r>
    </w:p>
    <w:p>
      <w:pPr>
        <w:spacing w:after="0" w:line="229"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(Amendment No. )*</w:t>
      </w:r>
    </w:p>
    <w:p>
      <w:pPr>
        <w:spacing w:after="0" w:line="213" w:lineRule="exact"/>
        <w:rPr>
          <w:sz w:val="24"/>
          <w:szCs w:val="24"/>
          <w:color w:val="auto"/>
        </w:rPr>
      </w:pPr>
    </w:p>
    <w:p>
      <w:pPr>
        <w:jc w:val="center"/>
        <w:ind w:right="-219"/>
        <w:spacing w:after="0"/>
        <w:rPr>
          <w:sz w:val="20"/>
          <w:szCs w:val="20"/>
          <w:color w:val="auto"/>
        </w:rPr>
      </w:pPr>
      <w:r>
        <w:rPr>
          <w:rFonts w:ascii="Arial" w:cs="Arial" w:eastAsia="Arial" w:hAnsi="Arial"/>
          <w:sz w:val="20"/>
          <w:szCs w:val="20"/>
          <w:u w:val="single" w:color="auto"/>
          <w:color w:val="auto"/>
        </w:rPr>
        <w:t>Weatherford International plc</w:t>
      </w:r>
    </w:p>
    <w:p>
      <w:pPr>
        <w:spacing w:after="0" w:line="16" w:lineRule="exact"/>
        <w:rPr>
          <w:sz w:val="24"/>
          <w:szCs w:val="24"/>
          <w:color w:val="auto"/>
        </w:rPr>
      </w:pPr>
    </w:p>
    <w:p>
      <w:pPr>
        <w:jc w:val="center"/>
        <w:ind w:right="-219"/>
        <w:spacing w:after="0"/>
        <w:rPr>
          <w:sz w:val="20"/>
          <w:szCs w:val="20"/>
          <w:color w:val="auto"/>
        </w:rPr>
      </w:pPr>
      <w:r>
        <w:rPr>
          <w:rFonts w:ascii="Arial" w:cs="Arial" w:eastAsia="Arial" w:hAnsi="Arial"/>
          <w:sz w:val="20"/>
          <w:szCs w:val="20"/>
          <w:color w:val="auto"/>
        </w:rPr>
        <w:t>(Name of Issuer)</w:t>
      </w:r>
    </w:p>
    <w:p>
      <w:pPr>
        <w:spacing w:after="0" w:line="213" w:lineRule="exact"/>
        <w:rPr>
          <w:sz w:val="24"/>
          <w:szCs w:val="24"/>
          <w:color w:val="auto"/>
        </w:rPr>
      </w:pPr>
    </w:p>
    <w:p>
      <w:pPr>
        <w:jc w:val="center"/>
        <w:ind w:right="-219"/>
        <w:spacing w:after="0"/>
        <w:rPr>
          <w:sz w:val="20"/>
          <w:szCs w:val="20"/>
          <w:color w:val="auto"/>
        </w:rPr>
      </w:pPr>
      <w:r>
        <w:rPr>
          <w:rFonts w:ascii="Arial" w:cs="Arial" w:eastAsia="Arial" w:hAnsi="Arial"/>
          <w:sz w:val="20"/>
          <w:szCs w:val="20"/>
          <w:u w:val="single" w:color="auto"/>
          <w:color w:val="auto"/>
        </w:rPr>
        <w:t>Ordinary Shares, par value $0.001 per share</w:t>
      </w:r>
    </w:p>
    <w:p>
      <w:pPr>
        <w:spacing w:after="0" w:line="16" w:lineRule="exact"/>
        <w:rPr>
          <w:sz w:val="24"/>
          <w:szCs w:val="24"/>
          <w:color w:val="auto"/>
        </w:rPr>
      </w:pPr>
    </w:p>
    <w:p>
      <w:pPr>
        <w:jc w:val="center"/>
        <w:ind w:right="-219"/>
        <w:spacing w:after="0"/>
        <w:rPr>
          <w:sz w:val="20"/>
          <w:szCs w:val="20"/>
          <w:color w:val="auto"/>
        </w:rPr>
      </w:pPr>
      <w:r>
        <w:rPr>
          <w:rFonts w:ascii="Arial" w:cs="Arial" w:eastAsia="Arial" w:hAnsi="Arial"/>
          <w:sz w:val="20"/>
          <w:szCs w:val="20"/>
          <w:color w:val="auto"/>
        </w:rPr>
        <w:t>(Title of Class of Securities)</w:t>
      </w:r>
    </w:p>
    <w:p>
      <w:pPr>
        <w:spacing w:after="0" w:line="213" w:lineRule="exact"/>
        <w:rPr>
          <w:sz w:val="24"/>
          <w:szCs w:val="24"/>
          <w:color w:val="auto"/>
        </w:rPr>
      </w:pPr>
    </w:p>
    <w:p>
      <w:pPr>
        <w:jc w:val="center"/>
        <w:ind w:right="-219"/>
        <w:spacing w:after="0"/>
        <w:rPr>
          <w:sz w:val="20"/>
          <w:szCs w:val="20"/>
          <w:color w:val="auto"/>
        </w:rPr>
      </w:pPr>
      <w:r>
        <w:rPr>
          <w:rFonts w:ascii="Arial" w:cs="Arial" w:eastAsia="Arial" w:hAnsi="Arial"/>
          <w:sz w:val="20"/>
          <w:szCs w:val="20"/>
          <w:u w:val="single" w:color="auto"/>
          <w:color w:val="auto"/>
        </w:rPr>
        <w:t>G48833118</w:t>
      </w:r>
    </w:p>
    <w:p>
      <w:pPr>
        <w:spacing w:after="0" w:line="16" w:lineRule="exact"/>
        <w:rPr>
          <w:sz w:val="24"/>
          <w:szCs w:val="24"/>
          <w:color w:val="auto"/>
        </w:rPr>
      </w:pPr>
    </w:p>
    <w:p>
      <w:pPr>
        <w:jc w:val="center"/>
        <w:ind w:right="-219"/>
        <w:spacing w:after="0"/>
        <w:rPr>
          <w:sz w:val="20"/>
          <w:szCs w:val="20"/>
          <w:color w:val="auto"/>
        </w:rPr>
      </w:pPr>
      <w:r>
        <w:rPr>
          <w:rFonts w:ascii="Arial" w:cs="Arial" w:eastAsia="Arial" w:hAnsi="Arial"/>
          <w:sz w:val="20"/>
          <w:szCs w:val="20"/>
          <w:color w:val="auto"/>
        </w:rPr>
        <w:t>(CUSIP Number)</w:t>
      </w:r>
    </w:p>
    <w:p>
      <w:pPr>
        <w:spacing w:after="0" w:line="213" w:lineRule="exact"/>
        <w:rPr>
          <w:sz w:val="24"/>
          <w:szCs w:val="24"/>
          <w:color w:val="auto"/>
        </w:rPr>
      </w:pPr>
    </w:p>
    <w:p>
      <w:pPr>
        <w:jc w:val="center"/>
        <w:ind w:right="-219"/>
        <w:spacing w:after="0"/>
        <w:rPr>
          <w:sz w:val="20"/>
          <w:szCs w:val="20"/>
          <w:color w:val="auto"/>
        </w:rPr>
      </w:pPr>
      <w:r>
        <w:rPr>
          <w:rFonts w:ascii="Arial" w:cs="Arial" w:eastAsia="Arial" w:hAnsi="Arial"/>
          <w:sz w:val="20"/>
          <w:szCs w:val="20"/>
          <w:u w:val="single" w:color="auto"/>
          <w:color w:val="auto"/>
        </w:rPr>
        <w:t>December 13, 2019</w:t>
      </w:r>
    </w:p>
    <w:p>
      <w:pPr>
        <w:spacing w:after="0" w:line="15" w:lineRule="exact"/>
        <w:rPr>
          <w:sz w:val="24"/>
          <w:szCs w:val="24"/>
          <w:color w:val="auto"/>
        </w:rPr>
      </w:pPr>
    </w:p>
    <w:p>
      <w:pPr>
        <w:jc w:val="center"/>
        <w:ind w:right="-219"/>
        <w:spacing w:after="0"/>
        <w:rPr>
          <w:sz w:val="20"/>
          <w:szCs w:val="20"/>
          <w:color w:val="auto"/>
        </w:rPr>
      </w:pPr>
      <w:r>
        <w:rPr>
          <w:rFonts w:ascii="Arial" w:cs="Arial" w:eastAsia="Arial" w:hAnsi="Arial"/>
          <w:sz w:val="20"/>
          <w:szCs w:val="20"/>
          <w:color w:val="auto"/>
        </w:rPr>
        <w:t>(Date of Event which Requires Filing</w:t>
      </w:r>
    </w:p>
    <w:p>
      <w:pPr>
        <w:jc w:val="center"/>
        <w:ind w:right="-219"/>
        <w:spacing w:after="0"/>
        <w:rPr>
          <w:sz w:val="20"/>
          <w:szCs w:val="20"/>
          <w:color w:val="auto"/>
        </w:rPr>
      </w:pPr>
      <w:r>
        <w:rPr>
          <w:rFonts w:ascii="Arial" w:cs="Arial" w:eastAsia="Arial" w:hAnsi="Arial"/>
          <w:sz w:val="20"/>
          <w:szCs w:val="20"/>
          <w:color w:val="auto"/>
        </w:rPr>
        <w:t>of this Statement)</w:t>
      </w:r>
    </w:p>
    <w:p>
      <w:pPr>
        <w:spacing w:after="0" w:line="213"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00" w:lineRule="exact"/>
        <w:rPr>
          <w:sz w:val="24"/>
          <w:szCs w:val="24"/>
          <w:color w:val="auto"/>
        </w:rPr>
      </w:pPr>
    </w:p>
    <w:p>
      <w:pPr>
        <w:spacing w:after="0" w:line="259" w:lineRule="exact"/>
        <w:rPr>
          <w:sz w:val="24"/>
          <w:szCs w:val="24"/>
          <w:color w:val="auto"/>
        </w:rPr>
      </w:pPr>
    </w:p>
    <w:p>
      <w:pPr>
        <w:ind w:left="5220" w:hanging="212"/>
        <w:spacing w:after="0"/>
        <w:tabs>
          <w:tab w:leader="none" w:pos="52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Rule 13d-1(b)</w:t>
      </w:r>
    </w:p>
    <w:p>
      <w:pPr>
        <w:spacing w:after="0" w:line="15" w:lineRule="exact"/>
        <w:rPr>
          <w:rFonts w:ascii="Arial" w:cs="Arial" w:eastAsia="Arial" w:hAnsi="Arial"/>
          <w:sz w:val="20"/>
          <w:szCs w:val="20"/>
          <w:color w:val="auto"/>
        </w:rPr>
      </w:pPr>
    </w:p>
    <w:p>
      <w:pPr>
        <w:ind w:left="5340" w:hanging="326"/>
        <w:spacing w:after="0"/>
        <w:tabs>
          <w:tab w:leader="none" w:pos="5340" w:val="left"/>
        </w:tabs>
        <w:numPr>
          <w:ilvl w:val="1"/>
          <w:numId w:val="1"/>
        </w:numPr>
        <w:rPr>
          <w:rFonts w:ascii="Arial" w:cs="Arial" w:eastAsia="Arial" w:hAnsi="Arial"/>
          <w:sz w:val="20"/>
          <w:szCs w:val="20"/>
          <w:color w:val="auto"/>
        </w:rPr>
      </w:pPr>
      <w:r>
        <w:rPr>
          <w:rFonts w:ascii="Arial" w:cs="Arial" w:eastAsia="Arial" w:hAnsi="Arial"/>
          <w:sz w:val="20"/>
          <w:szCs w:val="20"/>
          <w:color w:val="auto"/>
        </w:rPr>
        <w:t>Rule 13d-1(c)</w:t>
      </w:r>
    </w:p>
    <w:p>
      <w:pPr>
        <w:ind w:left="5220" w:hanging="212"/>
        <w:spacing w:after="0"/>
        <w:tabs>
          <w:tab w:leader="none" w:pos="52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Rule 13d-1(d)</w:t>
      </w:r>
    </w:p>
    <w:p>
      <w:pPr>
        <w:spacing w:after="0" w:line="213" w:lineRule="exact"/>
        <w:rPr>
          <w:sz w:val="24"/>
          <w:szCs w:val="24"/>
          <w:color w:val="auto"/>
        </w:rPr>
      </w:pPr>
    </w:p>
    <w:p>
      <w:pPr>
        <w:ind w:right="380"/>
        <w:spacing w:after="0" w:line="316"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4" w:lineRule="exact"/>
        <w:rPr>
          <w:sz w:val="24"/>
          <w:szCs w:val="24"/>
          <w:color w:val="auto"/>
        </w:rPr>
      </w:pPr>
    </w:p>
    <w:p>
      <w:pPr>
        <w:jc w:val="both"/>
        <w:spacing w:after="0" w:line="250" w:lineRule="auto"/>
        <w:rPr>
          <w:sz w:val="20"/>
          <w:szCs w:val="20"/>
          <w:color w:val="auto"/>
        </w:rPr>
      </w:pPr>
      <w:r>
        <w:rPr>
          <w:rFonts w:ascii="Arial" w:cs="Arial" w:eastAsia="Arial" w:hAnsi="Arial"/>
          <w:sz w:val="20"/>
          <w:szCs w:val="20"/>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540385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240" w:top="454" w:right="45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CUSIP NO. G48833118</w:t>
      </w:r>
    </w:p>
    <w:p>
      <w:pPr>
        <w:spacing w:after="0" w:line="235" w:lineRule="exact"/>
        <w:rPr>
          <w:sz w:val="20"/>
          <w:szCs w:val="20"/>
          <w:color w:val="auto"/>
        </w:rPr>
      </w:pPr>
    </w:p>
    <w:p>
      <w:pPr>
        <w:ind w:left="1180" w:hanging="1172"/>
        <w:spacing w:after="0"/>
        <w:tabs>
          <w:tab w:leader="none" w:pos="1180"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Names of Reporting Persons</w:t>
      </w:r>
    </w:p>
    <w:p>
      <w:pPr>
        <w:spacing w:after="0" w:line="229"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The Värde Fund XII (Master), L.P.</w:t>
      </w:r>
    </w:p>
    <w:p>
      <w:pPr>
        <w:spacing w:after="0" w:line="229" w:lineRule="exact"/>
        <w:rPr>
          <w:rFonts w:ascii="Arial" w:cs="Arial" w:eastAsia="Arial" w:hAnsi="Arial"/>
          <w:sz w:val="20"/>
          <w:szCs w:val="20"/>
          <w:b w:val="1"/>
          <w:bCs w:val="1"/>
          <w:color w:val="auto"/>
        </w:rPr>
      </w:pPr>
    </w:p>
    <w:p>
      <w:pPr>
        <w:ind w:left="1180" w:hanging="1172"/>
        <w:spacing w:after="0"/>
        <w:tabs>
          <w:tab w:leader="none" w:pos="1180"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b w:val="1"/>
          <w:bCs w:val="1"/>
          <w:color w:val="auto"/>
        </w:rPr>
      </w:pPr>
    </w:p>
    <w:p>
      <w:pPr>
        <w:ind w:left="3000" w:hanging="178"/>
        <w:spacing w:after="0"/>
        <w:tabs>
          <w:tab w:leader="none" w:pos="3000" w:val="left"/>
        </w:tabs>
        <w:numPr>
          <w:ilvl w:val="1"/>
          <w:numId w:val="2"/>
        </w:numPr>
        <w:rPr>
          <w:rFonts w:ascii="Arial" w:cs="Arial" w:eastAsia="Arial" w:hAnsi="Arial"/>
          <w:sz w:val="20"/>
          <w:szCs w:val="20"/>
          <w:color w:val="auto"/>
        </w:rPr>
      </w:pPr>
      <w:r>
        <w:rPr>
          <w:rFonts w:ascii="Arial" w:cs="Arial" w:eastAsia="Arial" w:hAnsi="Arial"/>
          <w:sz w:val="20"/>
          <w:szCs w:val="20"/>
          <w:color w:val="auto"/>
        </w:rPr>
        <w:t>[  ]</w:t>
      </w:r>
    </w:p>
    <w:p>
      <w:pPr>
        <w:spacing w:after="0" w:line="229" w:lineRule="exact"/>
        <w:rPr>
          <w:rFonts w:ascii="Arial" w:cs="Arial" w:eastAsia="Arial" w:hAnsi="Arial"/>
          <w:sz w:val="20"/>
          <w:szCs w:val="20"/>
          <w:color w:val="auto"/>
        </w:rPr>
      </w:pPr>
    </w:p>
    <w:p>
      <w:pPr>
        <w:ind w:left="3020" w:hanging="201"/>
        <w:spacing w:after="0"/>
        <w:tabs>
          <w:tab w:leader="none" w:pos="3020" w:val="left"/>
        </w:tabs>
        <w:numPr>
          <w:ilvl w:val="1"/>
          <w:numId w:val="2"/>
        </w:numPr>
        <w:rPr>
          <w:rFonts w:ascii="Arial" w:cs="Arial" w:eastAsia="Arial" w:hAnsi="Arial"/>
          <w:sz w:val="20"/>
          <w:szCs w:val="20"/>
          <w:color w:val="auto"/>
        </w:rPr>
      </w:pPr>
      <w:r>
        <w:rPr>
          <w:rFonts w:ascii="Arial" w:cs="Arial" w:eastAsia="Arial" w:hAnsi="Arial"/>
          <w:sz w:val="20"/>
          <w:szCs w:val="20"/>
          <w:color w:val="auto"/>
        </w:rPr>
        <w:t>[X]</w:t>
      </w:r>
    </w:p>
    <w:p>
      <w:pPr>
        <w:spacing w:after="0" w:line="229" w:lineRule="exact"/>
        <w:rPr>
          <w:rFonts w:ascii="Arial" w:cs="Arial" w:eastAsia="Arial" w:hAnsi="Arial"/>
          <w:sz w:val="20"/>
          <w:szCs w:val="20"/>
          <w:color w:val="auto"/>
        </w:rPr>
      </w:pPr>
    </w:p>
    <w:p>
      <w:pPr>
        <w:ind w:left="1180" w:hanging="1172"/>
        <w:spacing w:after="0"/>
        <w:tabs>
          <w:tab w:leader="none" w:pos="1180"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SEC Use Only</w:t>
      </w:r>
    </w:p>
    <w:p>
      <w:pPr>
        <w:spacing w:after="0" w:line="229" w:lineRule="exact"/>
        <w:rPr>
          <w:rFonts w:ascii="Arial" w:cs="Arial" w:eastAsia="Arial" w:hAnsi="Arial"/>
          <w:sz w:val="20"/>
          <w:szCs w:val="20"/>
          <w:b w:val="1"/>
          <w:bCs w:val="1"/>
          <w:color w:val="auto"/>
        </w:rPr>
      </w:pPr>
    </w:p>
    <w:p>
      <w:pPr>
        <w:ind w:left="1180" w:hanging="1172"/>
        <w:spacing w:after="0"/>
        <w:tabs>
          <w:tab w:leader="none" w:pos="1180"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Citizenship or Place of Organization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100" w:type="dxa"/>
            <w:vAlign w:val="bottom"/>
          </w:tcPr>
          <w:p>
            <w:pPr>
              <w:spacing w:after="0"/>
              <w:rPr>
                <w:sz w:val="20"/>
                <w:szCs w:val="20"/>
                <w:color w:val="auto"/>
              </w:rPr>
            </w:pPr>
            <w:r>
              <w:rPr>
                <w:rFonts w:ascii="Arial" w:cs="Arial" w:eastAsia="Arial" w:hAnsi="Arial"/>
                <w:sz w:val="20"/>
                <w:szCs w:val="20"/>
                <w:color w:val="auto"/>
              </w:rPr>
              <w:t>Delaware</w:t>
            </w:r>
          </w:p>
        </w:tc>
        <w:tc>
          <w:tcPr>
            <w:tcW w:w="116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8"/>
        </w:trPr>
        <w:tc>
          <w:tcPr>
            <w:tcW w:w="2100" w:type="dxa"/>
            <w:vAlign w:val="bottom"/>
          </w:tcPr>
          <w:p>
            <w:pPr>
              <w:spacing w:after="0"/>
              <w:rPr>
                <w:sz w:val="24"/>
                <w:szCs w:val="24"/>
                <w:color w:val="auto"/>
              </w:rPr>
            </w:pPr>
          </w:p>
        </w:tc>
        <w:tc>
          <w:tcPr>
            <w:tcW w:w="1160" w:type="dxa"/>
            <w:vAlign w:val="bottom"/>
          </w:tcPr>
          <w:p>
            <w:pPr>
              <w:jc w:val="right"/>
              <w:ind w:right="541"/>
              <w:spacing w:after="0"/>
              <w:rPr>
                <w:sz w:val="20"/>
                <w:szCs w:val="20"/>
                <w:color w:val="auto"/>
              </w:rPr>
            </w:pPr>
            <w:r>
              <w:rPr>
                <w:rFonts w:ascii="Arial" w:cs="Arial" w:eastAsia="Arial" w:hAnsi="Arial"/>
                <w:sz w:val="20"/>
                <w:szCs w:val="20"/>
                <w:b w:val="1"/>
                <w:bCs w:val="1"/>
                <w:color w:val="auto"/>
              </w:rPr>
              <w:t>5.</w:t>
            </w:r>
          </w:p>
        </w:tc>
        <w:tc>
          <w:tcPr>
            <w:tcW w:w="2700" w:type="dxa"/>
            <w:vAlign w:val="bottom"/>
          </w:tcPr>
          <w:p>
            <w:pPr>
              <w:ind w:left="660"/>
              <w:spacing w:after="0"/>
              <w:rPr>
                <w:sz w:val="20"/>
                <w:szCs w:val="20"/>
                <w:color w:val="auto"/>
              </w:rPr>
            </w:pPr>
            <w:r>
              <w:rPr>
                <w:rFonts w:ascii="Arial" w:cs="Arial" w:eastAsia="Arial" w:hAnsi="Arial"/>
                <w:sz w:val="20"/>
                <w:szCs w:val="20"/>
                <w:color w:val="auto"/>
              </w:rPr>
              <w:t>Sole Voting Power</w:t>
            </w:r>
          </w:p>
        </w:tc>
        <w:tc>
          <w:tcPr>
            <w:tcW w:w="0" w:type="dxa"/>
            <w:vAlign w:val="bottom"/>
          </w:tcPr>
          <w:p>
            <w:pPr>
              <w:spacing w:after="0"/>
              <w:rPr>
                <w:sz w:val="1"/>
                <w:szCs w:val="1"/>
                <w:color w:val="auto"/>
              </w:rPr>
            </w:pPr>
          </w:p>
        </w:tc>
      </w:tr>
      <w:tr>
        <w:trPr>
          <w:trHeight w:val="230"/>
        </w:trPr>
        <w:tc>
          <w:tcPr>
            <w:tcW w:w="2100" w:type="dxa"/>
            <w:vAlign w:val="bottom"/>
          </w:tcPr>
          <w:p>
            <w:pPr>
              <w:jc w:val="center"/>
              <w:ind w:left="261"/>
              <w:spacing w:after="0"/>
              <w:rPr>
                <w:sz w:val="20"/>
                <w:szCs w:val="20"/>
                <w:color w:val="auto"/>
              </w:rPr>
            </w:pPr>
            <w:r>
              <w:rPr>
                <w:rFonts w:ascii="Arial" w:cs="Arial" w:eastAsia="Arial" w:hAnsi="Arial"/>
                <w:sz w:val="20"/>
                <w:szCs w:val="20"/>
                <w:color w:val="auto"/>
                <w:w w:val="92"/>
              </w:rPr>
              <w:t>Number of</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915,996</w:t>
            </w: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81"/>
              </w:rPr>
              <w:t>Shares</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6.</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4"/>
              </w:rPr>
              <w:t>Beneficially</w:t>
            </w:r>
          </w:p>
        </w:tc>
        <w:tc>
          <w:tcPr>
            <w:tcW w:w="1160" w:type="dxa"/>
            <w:vAlign w:val="bottom"/>
            <w:vMerge w:val="continue"/>
          </w:tcPr>
          <w:p>
            <w:pPr>
              <w:spacing w:after="0"/>
              <w:rPr>
                <w:sz w:val="19"/>
                <w:szCs w:val="19"/>
                <w:color w:val="auto"/>
              </w:rPr>
            </w:pPr>
          </w:p>
        </w:tc>
        <w:tc>
          <w:tcPr>
            <w:tcW w:w="2700" w:type="dxa"/>
            <w:vAlign w:val="bottom"/>
          </w:tcPr>
          <w:p>
            <w:pPr>
              <w:ind w:left="660"/>
              <w:spacing w:after="0"/>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0"/>
              </w:rPr>
              <w:t>Owned By</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87"/>
              </w:rPr>
              <w:t>Each</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7.</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2"/>
              </w:rPr>
              <w:t>Reporting</w:t>
            </w:r>
          </w:p>
        </w:tc>
        <w:tc>
          <w:tcPr>
            <w:tcW w:w="1160" w:type="dxa"/>
            <w:vAlign w:val="bottom"/>
            <w:vMerge w:val="continue"/>
          </w:tcPr>
          <w:p>
            <w:pPr>
              <w:spacing w:after="0"/>
              <w:rPr>
                <w:sz w:val="19"/>
                <w:szCs w:val="19"/>
                <w:color w:val="auto"/>
              </w:rPr>
            </w:pPr>
          </w:p>
        </w:tc>
        <w:tc>
          <w:tcPr>
            <w:tcW w:w="2700" w:type="dxa"/>
            <w:vAlign w:val="bottom"/>
          </w:tcPr>
          <w:p>
            <w:pPr>
              <w:ind w:left="660"/>
              <w:spacing w:after="0"/>
              <w:rPr>
                <w:sz w:val="20"/>
                <w:szCs w:val="20"/>
                <w:color w:val="auto"/>
              </w:rPr>
            </w:pPr>
            <w:r>
              <w:rPr>
                <w:rFonts w:ascii="Arial" w:cs="Arial" w:eastAsia="Arial" w:hAnsi="Arial"/>
                <w:sz w:val="20"/>
                <w:szCs w:val="20"/>
                <w:color w:val="auto"/>
                <w:w w:val="98"/>
              </w:rPr>
              <w:t>Sole Dispositive Power</w:t>
            </w:r>
          </w:p>
        </w:tc>
        <w:tc>
          <w:tcPr>
            <w:tcW w:w="0" w:type="dxa"/>
            <w:vAlign w:val="bottom"/>
          </w:tcPr>
          <w:p>
            <w:pPr>
              <w:spacing w:after="0"/>
              <w:rPr>
                <w:sz w:val="1"/>
                <w:szCs w:val="1"/>
                <w:color w:val="auto"/>
              </w:rPr>
            </w:pPr>
          </w:p>
        </w:tc>
      </w:tr>
      <w:tr>
        <w:trPr>
          <w:trHeight w:val="230"/>
        </w:trPr>
        <w:tc>
          <w:tcPr>
            <w:tcW w:w="2100" w:type="dxa"/>
            <w:vAlign w:val="bottom"/>
          </w:tcPr>
          <w:p>
            <w:pPr>
              <w:jc w:val="center"/>
              <w:ind w:left="261"/>
              <w:spacing w:after="0"/>
              <w:rPr>
                <w:sz w:val="20"/>
                <w:szCs w:val="20"/>
                <w:color w:val="auto"/>
              </w:rPr>
            </w:pPr>
            <w:r>
              <w:rPr>
                <w:rFonts w:ascii="Arial" w:cs="Arial" w:eastAsia="Arial" w:hAnsi="Arial"/>
                <w:sz w:val="20"/>
                <w:szCs w:val="20"/>
                <w:color w:val="auto"/>
                <w:w w:val="85"/>
              </w:rPr>
              <w:t>Person</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915,996</w:t>
            </w:r>
          </w:p>
        </w:tc>
        <w:tc>
          <w:tcPr>
            <w:tcW w:w="0" w:type="dxa"/>
            <w:vAlign w:val="bottom"/>
          </w:tcPr>
          <w:p>
            <w:pPr>
              <w:spacing w:after="0"/>
              <w:rPr>
                <w:sz w:val="1"/>
                <w:szCs w:val="1"/>
                <w:color w:val="auto"/>
              </w:rPr>
            </w:pPr>
          </w:p>
        </w:tc>
      </w:tr>
      <w:tr>
        <w:trPr>
          <w:trHeight w:val="25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9"/>
              </w:rPr>
              <w:t>With</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8.</w:t>
            </w:r>
          </w:p>
        </w:tc>
        <w:tc>
          <w:tcPr>
            <w:tcW w:w="2700" w:type="dxa"/>
            <w:vAlign w:val="bottom"/>
            <w:vMerge w:val="restart"/>
          </w:tcPr>
          <w:p>
            <w:pPr>
              <w:ind w:left="660"/>
              <w:spacing w:after="0"/>
              <w:rPr>
                <w:sz w:val="20"/>
                <w:szCs w:val="20"/>
                <w:color w:val="auto"/>
              </w:rPr>
            </w:pPr>
            <w:r>
              <w:rPr>
                <w:rFonts w:ascii="Arial" w:cs="Arial" w:eastAsia="Arial" w:hAnsi="Arial"/>
                <w:sz w:val="20"/>
                <w:szCs w:val="20"/>
                <w:color w:val="auto"/>
                <w:w w:val="88"/>
              </w:rPr>
              <w:t>Shared Dispositive Power</w:t>
            </w:r>
          </w:p>
        </w:tc>
        <w:tc>
          <w:tcPr>
            <w:tcW w:w="0" w:type="dxa"/>
            <w:vAlign w:val="bottom"/>
          </w:tcPr>
          <w:p>
            <w:pPr>
              <w:spacing w:after="0"/>
              <w:rPr>
                <w:sz w:val="1"/>
                <w:szCs w:val="1"/>
                <w:color w:val="auto"/>
              </w:rPr>
            </w:pPr>
          </w:p>
        </w:tc>
      </w:tr>
      <w:tr>
        <w:trPr>
          <w:trHeight w:val="209"/>
        </w:trPr>
        <w:tc>
          <w:tcPr>
            <w:tcW w:w="2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1040" w:hanging="1032"/>
        <w:spacing w:after="0"/>
        <w:tabs>
          <w:tab w:leader="none" w:pos="1040"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Aggregate Amount Beneficially Owned by Each Reporting Person</w:t>
      </w:r>
    </w:p>
    <w:p>
      <w:pPr>
        <w:spacing w:after="0" w:line="229"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915,996</w:t>
      </w:r>
    </w:p>
    <w:p>
      <w:pPr>
        <w:spacing w:after="0" w:line="229" w:lineRule="exact"/>
        <w:rPr>
          <w:rFonts w:ascii="Arial" w:cs="Arial" w:eastAsia="Arial" w:hAnsi="Arial"/>
          <w:sz w:val="20"/>
          <w:szCs w:val="20"/>
          <w:b w:val="1"/>
          <w:bCs w:val="1"/>
          <w:color w:val="auto"/>
        </w:rPr>
      </w:pPr>
    </w:p>
    <w:p>
      <w:pPr>
        <w:ind w:left="1040" w:hanging="1032"/>
        <w:spacing w:after="0"/>
        <w:tabs>
          <w:tab w:leader="none" w:pos="1040"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Check Box If the Aggregate Amount in Row (9) Excludes Certain Shares (See Instructions)</w:t>
      </w:r>
    </w:p>
    <w:p>
      <w:pPr>
        <w:spacing w:after="0" w:line="229"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  ]</w:t>
      </w:r>
    </w:p>
    <w:p>
      <w:pPr>
        <w:spacing w:after="0" w:line="229" w:lineRule="exact"/>
        <w:rPr>
          <w:rFonts w:ascii="Arial" w:cs="Arial" w:eastAsia="Arial" w:hAnsi="Arial"/>
          <w:sz w:val="20"/>
          <w:szCs w:val="20"/>
          <w:b w:val="1"/>
          <w:bCs w:val="1"/>
          <w:color w:val="auto"/>
        </w:rPr>
      </w:pPr>
    </w:p>
    <w:p>
      <w:pPr>
        <w:ind w:left="1040" w:hanging="1032"/>
        <w:spacing w:after="0"/>
        <w:tabs>
          <w:tab w:leader="none" w:pos="1040"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Percent of Class Represented By Amount in Row (9)</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1.3% (1)</w:t>
      </w:r>
    </w:p>
    <w:p>
      <w:pPr>
        <w:spacing w:after="0" w:line="229" w:lineRule="exact"/>
        <w:rPr>
          <w:sz w:val="20"/>
          <w:szCs w:val="20"/>
          <w:color w:val="auto"/>
        </w:rPr>
      </w:pPr>
    </w:p>
    <w:p>
      <w:pPr>
        <w:ind w:left="1040" w:hanging="1032"/>
        <w:spacing w:after="0"/>
        <w:tabs>
          <w:tab w:leader="none" w:pos="1040"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Type of Reporting Person (See Instructions)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PN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w:t>
      </w:r>
    </w:p>
    <w:p>
      <w:pPr>
        <w:spacing w:after="0" w:line="213" w:lineRule="exact"/>
        <w:rPr>
          <w:sz w:val="20"/>
          <w:szCs w:val="20"/>
          <w:color w:val="auto"/>
        </w:rPr>
      </w:pPr>
    </w:p>
    <w:p>
      <w:pPr>
        <w:ind w:left="460" w:hanging="452"/>
        <w:spacing w:after="0" w:line="287" w:lineRule="auto"/>
        <w:tabs>
          <w:tab w:leader="none" w:pos="460" w:val="left"/>
        </w:tabs>
        <w:numPr>
          <w:ilvl w:val="0"/>
          <w:numId w:val="5"/>
        </w:numPr>
        <w:rPr>
          <w:rFonts w:ascii="Arial" w:cs="Arial" w:eastAsia="Arial" w:hAnsi="Arial"/>
          <w:sz w:val="19"/>
          <w:szCs w:val="19"/>
          <w:color w:val="auto"/>
        </w:rPr>
      </w:pPr>
      <w:r>
        <w:rPr>
          <w:rFonts w:ascii="Arial" w:cs="Arial" w:eastAsia="Arial" w:hAnsi="Arial"/>
          <w:sz w:val="19"/>
          <w:szCs w:val="19"/>
          <w:color w:val="auto"/>
        </w:rPr>
        <w:t>Based on 69,999,954 Ordinary Shares of Weatherford International plc (the "Issuer") outstanding as of December 13, 2019, as reported in the Issuer's Form 8-K filed with the Securities and Exchange Commission ("SEC") on December 18,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346" w:right="299"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color w:val="auto"/>
        </w:rPr>
        <w:t>CUSIP NO. G48833118</w:t>
      </w:r>
    </w:p>
    <w:p>
      <w:pPr>
        <w:spacing w:after="0" w:line="235" w:lineRule="exact"/>
        <w:rPr>
          <w:sz w:val="20"/>
          <w:szCs w:val="20"/>
          <w:color w:val="auto"/>
        </w:rPr>
      </w:pPr>
    </w:p>
    <w:p>
      <w:pPr>
        <w:ind w:left="1180" w:hanging="1172"/>
        <w:spacing w:after="0"/>
        <w:tabs>
          <w:tab w:leader="none" w:pos="1180" w:val="left"/>
        </w:tabs>
        <w:numPr>
          <w:ilvl w:val="0"/>
          <w:numId w:val="6"/>
        </w:numPr>
        <w:rPr>
          <w:rFonts w:ascii="Arial" w:cs="Arial" w:eastAsia="Arial" w:hAnsi="Arial"/>
          <w:sz w:val="20"/>
          <w:szCs w:val="20"/>
          <w:b w:val="1"/>
          <w:bCs w:val="1"/>
          <w:color w:val="auto"/>
        </w:rPr>
      </w:pPr>
      <w:r>
        <w:rPr>
          <w:rFonts w:ascii="Arial" w:cs="Arial" w:eastAsia="Arial" w:hAnsi="Arial"/>
          <w:sz w:val="20"/>
          <w:szCs w:val="20"/>
          <w:color w:val="auto"/>
        </w:rPr>
        <w:t>Names of Reporting Persons</w:t>
      </w:r>
    </w:p>
    <w:p>
      <w:pPr>
        <w:spacing w:after="0" w:line="229"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The Värde Fund XII G.P., L.P.</w:t>
      </w:r>
    </w:p>
    <w:p>
      <w:pPr>
        <w:spacing w:after="0" w:line="229" w:lineRule="exact"/>
        <w:rPr>
          <w:rFonts w:ascii="Arial" w:cs="Arial" w:eastAsia="Arial" w:hAnsi="Arial"/>
          <w:sz w:val="20"/>
          <w:szCs w:val="20"/>
          <w:b w:val="1"/>
          <w:bCs w:val="1"/>
          <w:color w:val="auto"/>
        </w:rPr>
      </w:pPr>
    </w:p>
    <w:p>
      <w:pPr>
        <w:ind w:left="2800" w:right="4500" w:hanging="2792"/>
        <w:spacing w:after="0" w:line="479" w:lineRule="auto"/>
        <w:tabs>
          <w:tab w:leader="none" w:pos="1185" w:val="left"/>
        </w:tabs>
        <w:numPr>
          <w:ilvl w:val="0"/>
          <w:numId w:val="6"/>
        </w:numPr>
        <w:rPr>
          <w:rFonts w:ascii="Arial" w:cs="Arial" w:eastAsia="Arial" w:hAnsi="Arial"/>
          <w:sz w:val="20"/>
          <w:szCs w:val="20"/>
          <w:b w:val="1"/>
          <w:bCs w:val="1"/>
          <w:color w:val="auto"/>
        </w:rPr>
      </w:pPr>
      <w:r>
        <w:rPr>
          <w:rFonts w:ascii="Arial" w:cs="Arial" w:eastAsia="Arial" w:hAnsi="Arial"/>
          <w:sz w:val="20"/>
          <w:szCs w:val="20"/>
          <w:color w:val="auto"/>
        </w:rPr>
        <w:t>Check the Appropriate Box If a Member of a Group (See Instructions) a. [ ]</w:t>
      </w:r>
    </w:p>
    <w:p>
      <w:pPr>
        <w:ind w:left="2760"/>
        <w:spacing w:after="0"/>
        <w:rPr>
          <w:rFonts w:ascii="Arial" w:cs="Arial" w:eastAsia="Arial" w:hAnsi="Arial"/>
          <w:sz w:val="20"/>
          <w:szCs w:val="20"/>
          <w:b w:val="1"/>
          <w:bCs w:val="1"/>
          <w:color w:val="auto"/>
        </w:rPr>
      </w:pPr>
      <w:r>
        <w:rPr>
          <w:rFonts w:ascii="Arial" w:cs="Arial" w:eastAsia="Arial" w:hAnsi="Arial"/>
          <w:sz w:val="20"/>
          <w:szCs w:val="20"/>
          <w:color w:val="auto"/>
        </w:rPr>
        <w:t>b. [X]</w:t>
      </w:r>
    </w:p>
    <w:p>
      <w:pPr>
        <w:spacing w:after="0" w:line="229" w:lineRule="exact"/>
        <w:rPr>
          <w:rFonts w:ascii="Arial" w:cs="Arial" w:eastAsia="Arial" w:hAnsi="Arial"/>
          <w:sz w:val="20"/>
          <w:szCs w:val="20"/>
          <w:b w:val="1"/>
          <w:bCs w:val="1"/>
          <w:color w:val="auto"/>
        </w:rPr>
      </w:pPr>
    </w:p>
    <w:p>
      <w:pPr>
        <w:ind w:left="1180" w:hanging="1172"/>
        <w:spacing w:after="0"/>
        <w:tabs>
          <w:tab w:leader="none" w:pos="1180" w:val="left"/>
        </w:tabs>
        <w:numPr>
          <w:ilvl w:val="0"/>
          <w:numId w:val="6"/>
        </w:numPr>
        <w:rPr>
          <w:rFonts w:ascii="Arial" w:cs="Arial" w:eastAsia="Arial" w:hAnsi="Arial"/>
          <w:sz w:val="20"/>
          <w:szCs w:val="20"/>
          <w:b w:val="1"/>
          <w:bCs w:val="1"/>
          <w:color w:val="auto"/>
        </w:rPr>
      </w:pPr>
      <w:r>
        <w:rPr>
          <w:rFonts w:ascii="Arial" w:cs="Arial" w:eastAsia="Arial" w:hAnsi="Arial"/>
          <w:sz w:val="20"/>
          <w:szCs w:val="20"/>
          <w:color w:val="auto"/>
        </w:rPr>
        <w:t>SEC Use Only</w:t>
      </w:r>
    </w:p>
    <w:p>
      <w:pPr>
        <w:spacing w:after="0" w:line="229" w:lineRule="exact"/>
        <w:rPr>
          <w:rFonts w:ascii="Arial" w:cs="Arial" w:eastAsia="Arial" w:hAnsi="Arial"/>
          <w:sz w:val="20"/>
          <w:szCs w:val="20"/>
          <w:b w:val="1"/>
          <w:bCs w:val="1"/>
          <w:color w:val="auto"/>
        </w:rPr>
      </w:pPr>
    </w:p>
    <w:p>
      <w:pPr>
        <w:ind w:left="1180" w:hanging="1172"/>
        <w:spacing w:after="0"/>
        <w:tabs>
          <w:tab w:leader="none" w:pos="1180" w:val="left"/>
        </w:tabs>
        <w:numPr>
          <w:ilvl w:val="0"/>
          <w:numId w:val="6"/>
        </w:numPr>
        <w:rPr>
          <w:rFonts w:ascii="Arial" w:cs="Arial" w:eastAsia="Arial" w:hAnsi="Arial"/>
          <w:sz w:val="20"/>
          <w:szCs w:val="20"/>
          <w:b w:val="1"/>
          <w:bCs w:val="1"/>
          <w:color w:val="auto"/>
        </w:rPr>
      </w:pPr>
      <w:r>
        <w:rPr>
          <w:rFonts w:ascii="Arial" w:cs="Arial" w:eastAsia="Arial" w:hAnsi="Arial"/>
          <w:sz w:val="20"/>
          <w:szCs w:val="20"/>
          <w:color w:val="auto"/>
        </w:rPr>
        <w:t>Citizenship or Place of Organization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100" w:type="dxa"/>
            <w:vAlign w:val="bottom"/>
          </w:tcPr>
          <w:p>
            <w:pPr>
              <w:spacing w:after="0"/>
              <w:rPr>
                <w:sz w:val="20"/>
                <w:szCs w:val="20"/>
                <w:color w:val="auto"/>
              </w:rPr>
            </w:pPr>
            <w:r>
              <w:rPr>
                <w:rFonts w:ascii="Arial" w:cs="Arial" w:eastAsia="Arial" w:hAnsi="Arial"/>
                <w:sz w:val="20"/>
                <w:szCs w:val="20"/>
                <w:color w:val="auto"/>
              </w:rPr>
              <w:t>Delaware</w:t>
            </w:r>
          </w:p>
        </w:tc>
        <w:tc>
          <w:tcPr>
            <w:tcW w:w="116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8"/>
        </w:trPr>
        <w:tc>
          <w:tcPr>
            <w:tcW w:w="2100" w:type="dxa"/>
            <w:vAlign w:val="bottom"/>
          </w:tcPr>
          <w:p>
            <w:pPr>
              <w:spacing w:after="0"/>
              <w:rPr>
                <w:sz w:val="24"/>
                <w:szCs w:val="24"/>
                <w:color w:val="auto"/>
              </w:rPr>
            </w:pPr>
          </w:p>
        </w:tc>
        <w:tc>
          <w:tcPr>
            <w:tcW w:w="1160" w:type="dxa"/>
            <w:vAlign w:val="bottom"/>
          </w:tcPr>
          <w:p>
            <w:pPr>
              <w:jc w:val="right"/>
              <w:ind w:right="541"/>
              <w:spacing w:after="0"/>
              <w:rPr>
                <w:sz w:val="20"/>
                <w:szCs w:val="20"/>
                <w:color w:val="auto"/>
              </w:rPr>
            </w:pPr>
            <w:r>
              <w:rPr>
                <w:rFonts w:ascii="Arial" w:cs="Arial" w:eastAsia="Arial" w:hAnsi="Arial"/>
                <w:sz w:val="20"/>
                <w:szCs w:val="20"/>
                <w:b w:val="1"/>
                <w:bCs w:val="1"/>
                <w:color w:val="auto"/>
              </w:rPr>
              <w:t>5.</w:t>
            </w:r>
          </w:p>
        </w:tc>
        <w:tc>
          <w:tcPr>
            <w:tcW w:w="2700" w:type="dxa"/>
            <w:vAlign w:val="bottom"/>
          </w:tcPr>
          <w:p>
            <w:pPr>
              <w:ind w:left="660"/>
              <w:spacing w:after="0"/>
              <w:rPr>
                <w:sz w:val="20"/>
                <w:szCs w:val="20"/>
                <w:color w:val="auto"/>
              </w:rPr>
            </w:pPr>
            <w:r>
              <w:rPr>
                <w:rFonts w:ascii="Arial" w:cs="Arial" w:eastAsia="Arial" w:hAnsi="Arial"/>
                <w:sz w:val="20"/>
                <w:szCs w:val="20"/>
                <w:color w:val="auto"/>
              </w:rPr>
              <w:t>Sole Voting Power</w:t>
            </w:r>
          </w:p>
        </w:tc>
        <w:tc>
          <w:tcPr>
            <w:tcW w:w="0" w:type="dxa"/>
            <w:vAlign w:val="bottom"/>
          </w:tcPr>
          <w:p>
            <w:pPr>
              <w:spacing w:after="0"/>
              <w:rPr>
                <w:sz w:val="1"/>
                <w:szCs w:val="1"/>
                <w:color w:val="auto"/>
              </w:rPr>
            </w:pPr>
          </w:p>
        </w:tc>
      </w:tr>
      <w:tr>
        <w:trPr>
          <w:trHeight w:val="230"/>
        </w:trPr>
        <w:tc>
          <w:tcPr>
            <w:tcW w:w="2100" w:type="dxa"/>
            <w:vAlign w:val="bottom"/>
          </w:tcPr>
          <w:p>
            <w:pPr>
              <w:jc w:val="center"/>
              <w:ind w:left="261"/>
              <w:spacing w:after="0"/>
              <w:rPr>
                <w:sz w:val="20"/>
                <w:szCs w:val="20"/>
                <w:color w:val="auto"/>
              </w:rPr>
            </w:pPr>
            <w:r>
              <w:rPr>
                <w:rFonts w:ascii="Arial" w:cs="Arial" w:eastAsia="Arial" w:hAnsi="Arial"/>
                <w:sz w:val="20"/>
                <w:szCs w:val="20"/>
                <w:color w:val="auto"/>
                <w:w w:val="92"/>
              </w:rPr>
              <w:t>Number of</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915,996</w:t>
            </w: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81"/>
              </w:rPr>
              <w:t>Shares</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6.</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4"/>
              </w:rPr>
              <w:t>Beneficially</w:t>
            </w:r>
          </w:p>
        </w:tc>
        <w:tc>
          <w:tcPr>
            <w:tcW w:w="1160" w:type="dxa"/>
            <w:vAlign w:val="bottom"/>
            <w:vMerge w:val="continue"/>
          </w:tcPr>
          <w:p>
            <w:pPr>
              <w:spacing w:after="0"/>
              <w:rPr>
                <w:sz w:val="19"/>
                <w:szCs w:val="19"/>
                <w:color w:val="auto"/>
              </w:rPr>
            </w:pPr>
          </w:p>
        </w:tc>
        <w:tc>
          <w:tcPr>
            <w:tcW w:w="2700" w:type="dxa"/>
            <w:vAlign w:val="bottom"/>
          </w:tcPr>
          <w:p>
            <w:pPr>
              <w:ind w:left="660"/>
              <w:spacing w:after="0"/>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0"/>
              </w:rPr>
              <w:t>Owned By</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87"/>
              </w:rPr>
              <w:t>Each</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7.</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2"/>
              </w:rPr>
              <w:t>Reporting</w:t>
            </w:r>
          </w:p>
        </w:tc>
        <w:tc>
          <w:tcPr>
            <w:tcW w:w="1160" w:type="dxa"/>
            <w:vAlign w:val="bottom"/>
            <w:vMerge w:val="continue"/>
          </w:tcPr>
          <w:p>
            <w:pPr>
              <w:spacing w:after="0"/>
              <w:rPr>
                <w:sz w:val="19"/>
                <w:szCs w:val="19"/>
                <w:color w:val="auto"/>
              </w:rPr>
            </w:pPr>
          </w:p>
        </w:tc>
        <w:tc>
          <w:tcPr>
            <w:tcW w:w="2700" w:type="dxa"/>
            <w:vAlign w:val="bottom"/>
          </w:tcPr>
          <w:p>
            <w:pPr>
              <w:ind w:left="660"/>
              <w:spacing w:after="0"/>
              <w:rPr>
                <w:sz w:val="20"/>
                <w:szCs w:val="20"/>
                <w:color w:val="auto"/>
              </w:rPr>
            </w:pPr>
            <w:r>
              <w:rPr>
                <w:rFonts w:ascii="Arial" w:cs="Arial" w:eastAsia="Arial" w:hAnsi="Arial"/>
                <w:sz w:val="20"/>
                <w:szCs w:val="20"/>
                <w:color w:val="auto"/>
                <w:w w:val="98"/>
              </w:rPr>
              <w:t>Sole Dispositive Power</w:t>
            </w:r>
          </w:p>
        </w:tc>
        <w:tc>
          <w:tcPr>
            <w:tcW w:w="0" w:type="dxa"/>
            <w:vAlign w:val="bottom"/>
          </w:tcPr>
          <w:p>
            <w:pPr>
              <w:spacing w:after="0"/>
              <w:rPr>
                <w:sz w:val="1"/>
                <w:szCs w:val="1"/>
                <w:color w:val="auto"/>
              </w:rPr>
            </w:pPr>
          </w:p>
        </w:tc>
      </w:tr>
      <w:tr>
        <w:trPr>
          <w:trHeight w:val="230"/>
        </w:trPr>
        <w:tc>
          <w:tcPr>
            <w:tcW w:w="2100" w:type="dxa"/>
            <w:vAlign w:val="bottom"/>
          </w:tcPr>
          <w:p>
            <w:pPr>
              <w:jc w:val="center"/>
              <w:ind w:left="261"/>
              <w:spacing w:after="0"/>
              <w:rPr>
                <w:sz w:val="20"/>
                <w:szCs w:val="20"/>
                <w:color w:val="auto"/>
              </w:rPr>
            </w:pPr>
            <w:r>
              <w:rPr>
                <w:rFonts w:ascii="Arial" w:cs="Arial" w:eastAsia="Arial" w:hAnsi="Arial"/>
                <w:sz w:val="20"/>
                <w:szCs w:val="20"/>
                <w:color w:val="auto"/>
                <w:w w:val="85"/>
              </w:rPr>
              <w:t>Person</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915,996</w:t>
            </w:r>
          </w:p>
        </w:tc>
        <w:tc>
          <w:tcPr>
            <w:tcW w:w="0" w:type="dxa"/>
            <w:vAlign w:val="bottom"/>
          </w:tcPr>
          <w:p>
            <w:pPr>
              <w:spacing w:after="0"/>
              <w:rPr>
                <w:sz w:val="1"/>
                <w:szCs w:val="1"/>
                <w:color w:val="auto"/>
              </w:rPr>
            </w:pPr>
          </w:p>
        </w:tc>
      </w:tr>
      <w:tr>
        <w:trPr>
          <w:trHeight w:val="25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9"/>
              </w:rPr>
              <w:t>With</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8.</w:t>
            </w:r>
          </w:p>
        </w:tc>
        <w:tc>
          <w:tcPr>
            <w:tcW w:w="2700" w:type="dxa"/>
            <w:vAlign w:val="bottom"/>
            <w:vMerge w:val="restart"/>
          </w:tcPr>
          <w:p>
            <w:pPr>
              <w:ind w:left="660"/>
              <w:spacing w:after="0"/>
              <w:rPr>
                <w:sz w:val="20"/>
                <w:szCs w:val="20"/>
                <w:color w:val="auto"/>
              </w:rPr>
            </w:pPr>
            <w:r>
              <w:rPr>
                <w:rFonts w:ascii="Arial" w:cs="Arial" w:eastAsia="Arial" w:hAnsi="Arial"/>
                <w:sz w:val="20"/>
                <w:szCs w:val="20"/>
                <w:color w:val="auto"/>
                <w:w w:val="88"/>
              </w:rPr>
              <w:t>Shared Dispositive Power</w:t>
            </w:r>
          </w:p>
        </w:tc>
        <w:tc>
          <w:tcPr>
            <w:tcW w:w="0" w:type="dxa"/>
            <w:vAlign w:val="bottom"/>
          </w:tcPr>
          <w:p>
            <w:pPr>
              <w:spacing w:after="0"/>
              <w:rPr>
                <w:sz w:val="1"/>
                <w:szCs w:val="1"/>
                <w:color w:val="auto"/>
              </w:rPr>
            </w:pPr>
          </w:p>
        </w:tc>
      </w:tr>
      <w:tr>
        <w:trPr>
          <w:trHeight w:val="209"/>
        </w:trPr>
        <w:tc>
          <w:tcPr>
            <w:tcW w:w="2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1040" w:hanging="1032"/>
        <w:spacing w:after="0"/>
        <w:tabs>
          <w:tab w:leader="none" w:pos="1040" w:val="left"/>
        </w:tabs>
        <w:numPr>
          <w:ilvl w:val="0"/>
          <w:numId w:val="7"/>
        </w:numPr>
        <w:rPr>
          <w:rFonts w:ascii="Arial" w:cs="Arial" w:eastAsia="Arial" w:hAnsi="Arial"/>
          <w:sz w:val="20"/>
          <w:szCs w:val="20"/>
          <w:b w:val="1"/>
          <w:bCs w:val="1"/>
          <w:color w:val="auto"/>
        </w:rPr>
      </w:pPr>
      <w:r>
        <w:rPr>
          <w:rFonts w:ascii="Arial" w:cs="Arial" w:eastAsia="Arial" w:hAnsi="Arial"/>
          <w:sz w:val="20"/>
          <w:szCs w:val="20"/>
          <w:color w:val="auto"/>
        </w:rPr>
        <w:t>Aggregate Amount Beneficially Owned by Each Reporting Person</w:t>
      </w:r>
    </w:p>
    <w:p>
      <w:pPr>
        <w:spacing w:after="0" w:line="229"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915,996</w:t>
      </w:r>
    </w:p>
    <w:p>
      <w:pPr>
        <w:spacing w:after="0" w:line="229" w:lineRule="exact"/>
        <w:rPr>
          <w:rFonts w:ascii="Arial" w:cs="Arial" w:eastAsia="Arial" w:hAnsi="Arial"/>
          <w:sz w:val="20"/>
          <w:szCs w:val="20"/>
          <w:b w:val="1"/>
          <w:bCs w:val="1"/>
          <w:color w:val="auto"/>
        </w:rPr>
      </w:pPr>
    </w:p>
    <w:p>
      <w:pPr>
        <w:ind w:left="1040" w:hanging="1032"/>
        <w:spacing w:after="0"/>
        <w:tabs>
          <w:tab w:leader="none" w:pos="1040" w:val="left"/>
        </w:tabs>
        <w:numPr>
          <w:ilvl w:val="0"/>
          <w:numId w:val="7"/>
        </w:numPr>
        <w:rPr>
          <w:rFonts w:ascii="Arial" w:cs="Arial" w:eastAsia="Arial" w:hAnsi="Arial"/>
          <w:sz w:val="20"/>
          <w:szCs w:val="20"/>
          <w:b w:val="1"/>
          <w:bCs w:val="1"/>
          <w:color w:val="auto"/>
        </w:rPr>
      </w:pPr>
      <w:r>
        <w:rPr>
          <w:rFonts w:ascii="Arial" w:cs="Arial" w:eastAsia="Arial" w:hAnsi="Arial"/>
          <w:sz w:val="20"/>
          <w:szCs w:val="20"/>
          <w:color w:val="auto"/>
        </w:rPr>
        <w:t>Check Box If the Aggregate Amount in Row (9) Excludes Certain Shares (See Instructions)</w:t>
      </w:r>
    </w:p>
    <w:p>
      <w:pPr>
        <w:spacing w:after="0" w:line="229"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  ]</w:t>
      </w:r>
    </w:p>
    <w:p>
      <w:pPr>
        <w:spacing w:after="0" w:line="229" w:lineRule="exact"/>
        <w:rPr>
          <w:rFonts w:ascii="Arial" w:cs="Arial" w:eastAsia="Arial" w:hAnsi="Arial"/>
          <w:sz w:val="20"/>
          <w:szCs w:val="20"/>
          <w:b w:val="1"/>
          <w:bCs w:val="1"/>
          <w:color w:val="auto"/>
        </w:rPr>
      </w:pPr>
    </w:p>
    <w:p>
      <w:pPr>
        <w:ind w:left="1040" w:hanging="1032"/>
        <w:spacing w:after="0"/>
        <w:tabs>
          <w:tab w:leader="none" w:pos="1040" w:val="left"/>
        </w:tabs>
        <w:numPr>
          <w:ilvl w:val="0"/>
          <w:numId w:val="7"/>
        </w:numPr>
        <w:rPr>
          <w:rFonts w:ascii="Arial" w:cs="Arial" w:eastAsia="Arial" w:hAnsi="Arial"/>
          <w:sz w:val="20"/>
          <w:szCs w:val="20"/>
          <w:b w:val="1"/>
          <w:bCs w:val="1"/>
          <w:color w:val="auto"/>
        </w:rPr>
      </w:pPr>
      <w:r>
        <w:rPr>
          <w:rFonts w:ascii="Arial" w:cs="Arial" w:eastAsia="Arial" w:hAnsi="Arial"/>
          <w:sz w:val="20"/>
          <w:szCs w:val="20"/>
          <w:color w:val="auto"/>
        </w:rPr>
        <w:t>Percent of Class Represented By Amount in Row (9)</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1.3% (1)</w:t>
      </w:r>
    </w:p>
    <w:p>
      <w:pPr>
        <w:spacing w:after="0" w:line="229" w:lineRule="exact"/>
        <w:rPr>
          <w:sz w:val="20"/>
          <w:szCs w:val="20"/>
          <w:color w:val="auto"/>
        </w:rPr>
      </w:pPr>
    </w:p>
    <w:p>
      <w:pPr>
        <w:ind w:left="1040" w:hanging="1032"/>
        <w:spacing w:after="0"/>
        <w:tabs>
          <w:tab w:leader="none" w:pos="1040" w:val="left"/>
        </w:tabs>
        <w:numPr>
          <w:ilvl w:val="0"/>
          <w:numId w:val="8"/>
        </w:numPr>
        <w:rPr>
          <w:rFonts w:ascii="Arial" w:cs="Arial" w:eastAsia="Arial" w:hAnsi="Arial"/>
          <w:sz w:val="20"/>
          <w:szCs w:val="20"/>
          <w:b w:val="1"/>
          <w:bCs w:val="1"/>
          <w:color w:val="auto"/>
        </w:rPr>
      </w:pPr>
      <w:r>
        <w:rPr>
          <w:rFonts w:ascii="Arial" w:cs="Arial" w:eastAsia="Arial" w:hAnsi="Arial"/>
          <w:sz w:val="20"/>
          <w:szCs w:val="20"/>
          <w:color w:val="auto"/>
        </w:rPr>
        <w:t>Type of Reporting Person (See Instructions)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PN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w:t>
      </w:r>
    </w:p>
    <w:p>
      <w:pPr>
        <w:spacing w:after="0" w:line="213" w:lineRule="exact"/>
        <w:rPr>
          <w:sz w:val="20"/>
          <w:szCs w:val="20"/>
          <w:color w:val="auto"/>
        </w:rPr>
      </w:pPr>
    </w:p>
    <w:p>
      <w:pPr>
        <w:ind w:left="460" w:hanging="452"/>
        <w:spacing w:after="0" w:line="260" w:lineRule="auto"/>
        <w:tabs>
          <w:tab w:leader="none" w:pos="460" w:val="left"/>
        </w:tabs>
        <w:numPr>
          <w:ilvl w:val="0"/>
          <w:numId w:val="9"/>
        </w:numPr>
        <w:rPr>
          <w:rFonts w:ascii="Arial" w:cs="Arial" w:eastAsia="Arial" w:hAnsi="Arial"/>
          <w:sz w:val="20"/>
          <w:szCs w:val="20"/>
          <w:color w:val="auto"/>
        </w:rPr>
      </w:pPr>
      <w:r>
        <w:rPr>
          <w:rFonts w:ascii="Arial" w:cs="Arial" w:eastAsia="Arial" w:hAnsi="Arial"/>
          <w:sz w:val="20"/>
          <w:szCs w:val="20"/>
          <w:color w:val="auto"/>
        </w:rPr>
        <w:t>Based on 69,999,954 Ordinary Shares of the Issuer outstanding as of December 13, 2019, as reported in the Issuer's Form 8-K filed with the SEC on December 18,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346" w:right="399" w:bottom="1440" w:gutter="0" w:footer="0" w:header="0"/>
        </w:sectPr>
      </w:pPr>
    </w:p>
    <w:bookmarkStart w:id="3" w:name="page4"/>
    <w:bookmarkEnd w:id="3"/>
    <w:p>
      <w:pPr>
        <w:spacing w:after="0"/>
        <w:rPr>
          <w:sz w:val="20"/>
          <w:szCs w:val="20"/>
          <w:color w:val="auto"/>
        </w:rPr>
      </w:pPr>
      <w:r>
        <w:rPr>
          <w:rFonts w:ascii="Arial" w:cs="Arial" w:eastAsia="Arial" w:hAnsi="Arial"/>
          <w:sz w:val="20"/>
          <w:szCs w:val="20"/>
          <w:b w:val="1"/>
          <w:bCs w:val="1"/>
          <w:color w:val="auto"/>
        </w:rPr>
        <w:t>CUSIP NO. G48833118</w:t>
      </w:r>
    </w:p>
    <w:p>
      <w:pPr>
        <w:spacing w:after="0" w:line="235" w:lineRule="exact"/>
        <w:rPr>
          <w:sz w:val="20"/>
          <w:szCs w:val="20"/>
          <w:color w:val="auto"/>
        </w:rPr>
      </w:pPr>
    </w:p>
    <w:p>
      <w:pPr>
        <w:ind w:left="1180" w:hanging="1172"/>
        <w:spacing w:after="0"/>
        <w:tabs>
          <w:tab w:leader="none" w:pos="1180" w:val="left"/>
        </w:tabs>
        <w:numPr>
          <w:ilvl w:val="0"/>
          <w:numId w:val="10"/>
        </w:numPr>
        <w:rPr>
          <w:rFonts w:ascii="Arial" w:cs="Arial" w:eastAsia="Arial" w:hAnsi="Arial"/>
          <w:sz w:val="20"/>
          <w:szCs w:val="20"/>
          <w:b w:val="1"/>
          <w:bCs w:val="1"/>
          <w:color w:val="auto"/>
        </w:rPr>
      </w:pPr>
      <w:r>
        <w:rPr>
          <w:rFonts w:ascii="Arial" w:cs="Arial" w:eastAsia="Arial" w:hAnsi="Arial"/>
          <w:sz w:val="20"/>
          <w:szCs w:val="20"/>
          <w:color w:val="auto"/>
        </w:rPr>
        <w:t>Names of Reporting Persons</w:t>
      </w:r>
    </w:p>
    <w:p>
      <w:pPr>
        <w:spacing w:after="0" w:line="229"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The Värde Fund XII UGP, LLC</w:t>
      </w:r>
    </w:p>
    <w:p>
      <w:pPr>
        <w:spacing w:after="0" w:line="229" w:lineRule="exact"/>
        <w:rPr>
          <w:rFonts w:ascii="Arial" w:cs="Arial" w:eastAsia="Arial" w:hAnsi="Arial"/>
          <w:sz w:val="20"/>
          <w:szCs w:val="20"/>
          <w:b w:val="1"/>
          <w:bCs w:val="1"/>
          <w:color w:val="auto"/>
        </w:rPr>
      </w:pPr>
    </w:p>
    <w:p>
      <w:pPr>
        <w:ind w:left="1180" w:hanging="1172"/>
        <w:spacing w:after="0"/>
        <w:tabs>
          <w:tab w:leader="none" w:pos="1180" w:val="left"/>
        </w:tabs>
        <w:numPr>
          <w:ilvl w:val="0"/>
          <w:numId w:val="10"/>
        </w:numPr>
        <w:rPr>
          <w:rFonts w:ascii="Arial" w:cs="Arial" w:eastAsia="Arial" w:hAnsi="Arial"/>
          <w:sz w:val="20"/>
          <w:szCs w:val="20"/>
          <w:b w:val="1"/>
          <w:bCs w:val="1"/>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b w:val="1"/>
          <w:bCs w:val="1"/>
          <w:color w:val="auto"/>
        </w:rPr>
      </w:pPr>
    </w:p>
    <w:p>
      <w:pPr>
        <w:ind w:left="2960" w:hanging="187"/>
        <w:spacing w:after="0"/>
        <w:tabs>
          <w:tab w:leader="none" w:pos="2960" w:val="left"/>
        </w:tabs>
        <w:numPr>
          <w:ilvl w:val="1"/>
          <w:numId w:val="10"/>
        </w:numPr>
        <w:rPr>
          <w:rFonts w:ascii="Arial" w:cs="Arial" w:eastAsia="Arial" w:hAnsi="Arial"/>
          <w:sz w:val="20"/>
          <w:szCs w:val="20"/>
          <w:color w:val="auto"/>
        </w:rPr>
      </w:pPr>
      <w:r>
        <w:rPr>
          <w:rFonts w:ascii="Arial" w:cs="Arial" w:eastAsia="Arial" w:hAnsi="Arial"/>
          <w:sz w:val="20"/>
          <w:szCs w:val="20"/>
          <w:color w:val="auto"/>
        </w:rPr>
        <w:t>[  ]</w:t>
      </w:r>
    </w:p>
    <w:p>
      <w:pPr>
        <w:spacing w:after="0" w:line="229" w:lineRule="exact"/>
        <w:rPr>
          <w:rFonts w:ascii="Arial" w:cs="Arial" w:eastAsia="Arial" w:hAnsi="Arial"/>
          <w:sz w:val="20"/>
          <w:szCs w:val="20"/>
          <w:color w:val="auto"/>
        </w:rPr>
      </w:pPr>
    </w:p>
    <w:p>
      <w:pPr>
        <w:ind w:left="2960" w:hanging="190"/>
        <w:spacing w:after="0"/>
        <w:tabs>
          <w:tab w:leader="none" w:pos="2960" w:val="left"/>
        </w:tabs>
        <w:numPr>
          <w:ilvl w:val="1"/>
          <w:numId w:val="10"/>
        </w:numPr>
        <w:rPr>
          <w:rFonts w:ascii="Arial" w:cs="Arial" w:eastAsia="Arial" w:hAnsi="Arial"/>
          <w:sz w:val="20"/>
          <w:szCs w:val="20"/>
          <w:color w:val="auto"/>
        </w:rPr>
      </w:pPr>
      <w:r>
        <w:rPr>
          <w:rFonts w:ascii="Arial" w:cs="Arial" w:eastAsia="Arial" w:hAnsi="Arial"/>
          <w:sz w:val="20"/>
          <w:szCs w:val="20"/>
          <w:color w:val="auto"/>
        </w:rPr>
        <w:t>[X]</w:t>
      </w:r>
    </w:p>
    <w:p>
      <w:pPr>
        <w:spacing w:after="0" w:line="229" w:lineRule="exact"/>
        <w:rPr>
          <w:rFonts w:ascii="Arial" w:cs="Arial" w:eastAsia="Arial" w:hAnsi="Arial"/>
          <w:sz w:val="20"/>
          <w:szCs w:val="20"/>
          <w:color w:val="auto"/>
        </w:rPr>
      </w:pPr>
    </w:p>
    <w:p>
      <w:pPr>
        <w:ind w:left="1180" w:hanging="1172"/>
        <w:spacing w:after="0"/>
        <w:tabs>
          <w:tab w:leader="none" w:pos="1180" w:val="left"/>
        </w:tabs>
        <w:numPr>
          <w:ilvl w:val="0"/>
          <w:numId w:val="10"/>
        </w:numPr>
        <w:rPr>
          <w:rFonts w:ascii="Arial" w:cs="Arial" w:eastAsia="Arial" w:hAnsi="Arial"/>
          <w:sz w:val="20"/>
          <w:szCs w:val="20"/>
          <w:b w:val="1"/>
          <w:bCs w:val="1"/>
          <w:color w:val="auto"/>
        </w:rPr>
      </w:pPr>
      <w:r>
        <w:rPr>
          <w:rFonts w:ascii="Arial" w:cs="Arial" w:eastAsia="Arial" w:hAnsi="Arial"/>
          <w:sz w:val="20"/>
          <w:szCs w:val="20"/>
          <w:color w:val="auto"/>
        </w:rPr>
        <w:t>SEC Use Only</w:t>
      </w:r>
    </w:p>
    <w:p>
      <w:pPr>
        <w:spacing w:after="0" w:line="229" w:lineRule="exact"/>
        <w:rPr>
          <w:rFonts w:ascii="Arial" w:cs="Arial" w:eastAsia="Arial" w:hAnsi="Arial"/>
          <w:sz w:val="20"/>
          <w:szCs w:val="20"/>
          <w:b w:val="1"/>
          <w:bCs w:val="1"/>
          <w:color w:val="auto"/>
        </w:rPr>
      </w:pPr>
    </w:p>
    <w:p>
      <w:pPr>
        <w:ind w:left="1180" w:hanging="1172"/>
        <w:spacing w:after="0"/>
        <w:tabs>
          <w:tab w:leader="none" w:pos="1180" w:val="left"/>
        </w:tabs>
        <w:numPr>
          <w:ilvl w:val="0"/>
          <w:numId w:val="10"/>
        </w:numPr>
        <w:rPr>
          <w:rFonts w:ascii="Arial" w:cs="Arial" w:eastAsia="Arial" w:hAnsi="Arial"/>
          <w:sz w:val="20"/>
          <w:szCs w:val="20"/>
          <w:b w:val="1"/>
          <w:bCs w:val="1"/>
          <w:color w:val="auto"/>
        </w:rPr>
      </w:pPr>
      <w:r>
        <w:rPr>
          <w:rFonts w:ascii="Arial" w:cs="Arial" w:eastAsia="Arial" w:hAnsi="Arial"/>
          <w:sz w:val="20"/>
          <w:szCs w:val="20"/>
          <w:color w:val="auto"/>
        </w:rPr>
        <w:t>Citizenship or Place of Organization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100" w:type="dxa"/>
            <w:vAlign w:val="bottom"/>
          </w:tcPr>
          <w:p>
            <w:pPr>
              <w:spacing w:after="0"/>
              <w:rPr>
                <w:sz w:val="20"/>
                <w:szCs w:val="20"/>
                <w:color w:val="auto"/>
              </w:rPr>
            </w:pPr>
            <w:r>
              <w:rPr>
                <w:rFonts w:ascii="Arial" w:cs="Arial" w:eastAsia="Arial" w:hAnsi="Arial"/>
                <w:sz w:val="20"/>
                <w:szCs w:val="20"/>
                <w:color w:val="auto"/>
              </w:rPr>
              <w:t>Delaware</w:t>
            </w:r>
          </w:p>
        </w:tc>
        <w:tc>
          <w:tcPr>
            <w:tcW w:w="116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8"/>
        </w:trPr>
        <w:tc>
          <w:tcPr>
            <w:tcW w:w="2100" w:type="dxa"/>
            <w:vAlign w:val="bottom"/>
          </w:tcPr>
          <w:p>
            <w:pPr>
              <w:spacing w:after="0"/>
              <w:rPr>
                <w:sz w:val="24"/>
                <w:szCs w:val="24"/>
                <w:color w:val="auto"/>
              </w:rPr>
            </w:pPr>
          </w:p>
        </w:tc>
        <w:tc>
          <w:tcPr>
            <w:tcW w:w="1160" w:type="dxa"/>
            <w:vAlign w:val="bottom"/>
          </w:tcPr>
          <w:p>
            <w:pPr>
              <w:jc w:val="right"/>
              <w:ind w:right="541"/>
              <w:spacing w:after="0"/>
              <w:rPr>
                <w:sz w:val="20"/>
                <w:szCs w:val="20"/>
                <w:color w:val="auto"/>
              </w:rPr>
            </w:pPr>
            <w:r>
              <w:rPr>
                <w:rFonts w:ascii="Arial" w:cs="Arial" w:eastAsia="Arial" w:hAnsi="Arial"/>
                <w:sz w:val="20"/>
                <w:szCs w:val="20"/>
                <w:b w:val="1"/>
                <w:bCs w:val="1"/>
                <w:color w:val="auto"/>
              </w:rPr>
              <w:t>5.</w:t>
            </w:r>
          </w:p>
        </w:tc>
        <w:tc>
          <w:tcPr>
            <w:tcW w:w="2700" w:type="dxa"/>
            <w:vAlign w:val="bottom"/>
          </w:tcPr>
          <w:p>
            <w:pPr>
              <w:ind w:left="660"/>
              <w:spacing w:after="0"/>
              <w:rPr>
                <w:sz w:val="20"/>
                <w:szCs w:val="20"/>
                <w:color w:val="auto"/>
              </w:rPr>
            </w:pPr>
            <w:r>
              <w:rPr>
                <w:rFonts w:ascii="Arial" w:cs="Arial" w:eastAsia="Arial" w:hAnsi="Arial"/>
                <w:sz w:val="20"/>
                <w:szCs w:val="20"/>
                <w:color w:val="auto"/>
              </w:rPr>
              <w:t>Sole Voting Power</w:t>
            </w:r>
          </w:p>
        </w:tc>
        <w:tc>
          <w:tcPr>
            <w:tcW w:w="0" w:type="dxa"/>
            <w:vAlign w:val="bottom"/>
          </w:tcPr>
          <w:p>
            <w:pPr>
              <w:spacing w:after="0"/>
              <w:rPr>
                <w:sz w:val="1"/>
                <w:szCs w:val="1"/>
                <w:color w:val="auto"/>
              </w:rPr>
            </w:pPr>
          </w:p>
        </w:tc>
      </w:tr>
      <w:tr>
        <w:trPr>
          <w:trHeight w:val="230"/>
        </w:trPr>
        <w:tc>
          <w:tcPr>
            <w:tcW w:w="2100" w:type="dxa"/>
            <w:vAlign w:val="bottom"/>
          </w:tcPr>
          <w:p>
            <w:pPr>
              <w:jc w:val="center"/>
              <w:ind w:left="261"/>
              <w:spacing w:after="0"/>
              <w:rPr>
                <w:sz w:val="20"/>
                <w:szCs w:val="20"/>
                <w:color w:val="auto"/>
              </w:rPr>
            </w:pPr>
            <w:r>
              <w:rPr>
                <w:rFonts w:ascii="Arial" w:cs="Arial" w:eastAsia="Arial" w:hAnsi="Arial"/>
                <w:sz w:val="20"/>
                <w:szCs w:val="20"/>
                <w:color w:val="auto"/>
                <w:w w:val="92"/>
              </w:rPr>
              <w:t>Number of</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915,996</w:t>
            </w: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81"/>
              </w:rPr>
              <w:t>Shares</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6.</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4"/>
              </w:rPr>
              <w:t>Beneficially</w:t>
            </w:r>
          </w:p>
        </w:tc>
        <w:tc>
          <w:tcPr>
            <w:tcW w:w="1160" w:type="dxa"/>
            <w:vAlign w:val="bottom"/>
            <w:vMerge w:val="continue"/>
          </w:tcPr>
          <w:p>
            <w:pPr>
              <w:spacing w:after="0"/>
              <w:rPr>
                <w:sz w:val="19"/>
                <w:szCs w:val="19"/>
                <w:color w:val="auto"/>
              </w:rPr>
            </w:pPr>
          </w:p>
        </w:tc>
        <w:tc>
          <w:tcPr>
            <w:tcW w:w="2700" w:type="dxa"/>
            <w:vAlign w:val="bottom"/>
          </w:tcPr>
          <w:p>
            <w:pPr>
              <w:ind w:left="660"/>
              <w:spacing w:after="0"/>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0"/>
              </w:rPr>
              <w:t>Owned By</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87"/>
              </w:rPr>
              <w:t>Each</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7.</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2"/>
              </w:rPr>
              <w:t>Reporting</w:t>
            </w:r>
          </w:p>
        </w:tc>
        <w:tc>
          <w:tcPr>
            <w:tcW w:w="1160" w:type="dxa"/>
            <w:vAlign w:val="bottom"/>
            <w:vMerge w:val="continue"/>
          </w:tcPr>
          <w:p>
            <w:pPr>
              <w:spacing w:after="0"/>
              <w:rPr>
                <w:sz w:val="19"/>
                <w:szCs w:val="19"/>
                <w:color w:val="auto"/>
              </w:rPr>
            </w:pPr>
          </w:p>
        </w:tc>
        <w:tc>
          <w:tcPr>
            <w:tcW w:w="2700" w:type="dxa"/>
            <w:vAlign w:val="bottom"/>
          </w:tcPr>
          <w:p>
            <w:pPr>
              <w:ind w:left="660"/>
              <w:spacing w:after="0"/>
              <w:rPr>
                <w:sz w:val="20"/>
                <w:szCs w:val="20"/>
                <w:color w:val="auto"/>
              </w:rPr>
            </w:pPr>
            <w:r>
              <w:rPr>
                <w:rFonts w:ascii="Arial" w:cs="Arial" w:eastAsia="Arial" w:hAnsi="Arial"/>
                <w:sz w:val="20"/>
                <w:szCs w:val="20"/>
                <w:color w:val="auto"/>
                <w:w w:val="98"/>
              </w:rPr>
              <w:t>Sole Dispositive Power</w:t>
            </w:r>
          </w:p>
        </w:tc>
        <w:tc>
          <w:tcPr>
            <w:tcW w:w="0" w:type="dxa"/>
            <w:vAlign w:val="bottom"/>
          </w:tcPr>
          <w:p>
            <w:pPr>
              <w:spacing w:after="0"/>
              <w:rPr>
                <w:sz w:val="1"/>
                <w:szCs w:val="1"/>
                <w:color w:val="auto"/>
              </w:rPr>
            </w:pPr>
          </w:p>
        </w:tc>
      </w:tr>
      <w:tr>
        <w:trPr>
          <w:trHeight w:val="230"/>
        </w:trPr>
        <w:tc>
          <w:tcPr>
            <w:tcW w:w="2100" w:type="dxa"/>
            <w:vAlign w:val="bottom"/>
          </w:tcPr>
          <w:p>
            <w:pPr>
              <w:jc w:val="center"/>
              <w:ind w:left="261"/>
              <w:spacing w:after="0"/>
              <w:rPr>
                <w:sz w:val="20"/>
                <w:szCs w:val="20"/>
                <w:color w:val="auto"/>
              </w:rPr>
            </w:pPr>
            <w:r>
              <w:rPr>
                <w:rFonts w:ascii="Arial" w:cs="Arial" w:eastAsia="Arial" w:hAnsi="Arial"/>
                <w:sz w:val="20"/>
                <w:szCs w:val="20"/>
                <w:color w:val="auto"/>
                <w:w w:val="85"/>
              </w:rPr>
              <w:t>Person</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915,996</w:t>
            </w:r>
          </w:p>
        </w:tc>
        <w:tc>
          <w:tcPr>
            <w:tcW w:w="0" w:type="dxa"/>
            <w:vAlign w:val="bottom"/>
          </w:tcPr>
          <w:p>
            <w:pPr>
              <w:spacing w:after="0"/>
              <w:rPr>
                <w:sz w:val="1"/>
                <w:szCs w:val="1"/>
                <w:color w:val="auto"/>
              </w:rPr>
            </w:pPr>
          </w:p>
        </w:tc>
      </w:tr>
      <w:tr>
        <w:trPr>
          <w:trHeight w:val="25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9"/>
              </w:rPr>
              <w:t>With</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8.</w:t>
            </w:r>
          </w:p>
        </w:tc>
        <w:tc>
          <w:tcPr>
            <w:tcW w:w="2700" w:type="dxa"/>
            <w:vAlign w:val="bottom"/>
            <w:vMerge w:val="restart"/>
          </w:tcPr>
          <w:p>
            <w:pPr>
              <w:ind w:left="660"/>
              <w:spacing w:after="0"/>
              <w:rPr>
                <w:sz w:val="20"/>
                <w:szCs w:val="20"/>
                <w:color w:val="auto"/>
              </w:rPr>
            </w:pPr>
            <w:r>
              <w:rPr>
                <w:rFonts w:ascii="Arial" w:cs="Arial" w:eastAsia="Arial" w:hAnsi="Arial"/>
                <w:sz w:val="20"/>
                <w:szCs w:val="20"/>
                <w:color w:val="auto"/>
                <w:w w:val="88"/>
              </w:rPr>
              <w:t>Shared Dispositive Power</w:t>
            </w:r>
          </w:p>
        </w:tc>
        <w:tc>
          <w:tcPr>
            <w:tcW w:w="0" w:type="dxa"/>
            <w:vAlign w:val="bottom"/>
          </w:tcPr>
          <w:p>
            <w:pPr>
              <w:spacing w:after="0"/>
              <w:rPr>
                <w:sz w:val="1"/>
                <w:szCs w:val="1"/>
                <w:color w:val="auto"/>
              </w:rPr>
            </w:pPr>
          </w:p>
        </w:tc>
      </w:tr>
      <w:tr>
        <w:trPr>
          <w:trHeight w:val="209"/>
        </w:trPr>
        <w:tc>
          <w:tcPr>
            <w:tcW w:w="2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1040" w:hanging="1032"/>
        <w:spacing w:after="0"/>
        <w:tabs>
          <w:tab w:leader="none" w:pos="1040" w:val="left"/>
        </w:tabs>
        <w:numPr>
          <w:ilvl w:val="0"/>
          <w:numId w:val="11"/>
        </w:numPr>
        <w:rPr>
          <w:rFonts w:ascii="Arial" w:cs="Arial" w:eastAsia="Arial" w:hAnsi="Arial"/>
          <w:sz w:val="20"/>
          <w:szCs w:val="20"/>
          <w:b w:val="1"/>
          <w:bCs w:val="1"/>
          <w:color w:val="auto"/>
        </w:rPr>
      </w:pPr>
      <w:r>
        <w:rPr>
          <w:rFonts w:ascii="Arial" w:cs="Arial" w:eastAsia="Arial" w:hAnsi="Arial"/>
          <w:sz w:val="20"/>
          <w:szCs w:val="20"/>
          <w:color w:val="auto"/>
        </w:rPr>
        <w:t>Aggregate Amount Beneficially Owned by Each Reporting Person</w:t>
      </w:r>
    </w:p>
    <w:p>
      <w:pPr>
        <w:spacing w:after="0" w:line="229"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915,996</w:t>
      </w:r>
    </w:p>
    <w:p>
      <w:pPr>
        <w:spacing w:after="0" w:line="229" w:lineRule="exact"/>
        <w:rPr>
          <w:rFonts w:ascii="Arial" w:cs="Arial" w:eastAsia="Arial" w:hAnsi="Arial"/>
          <w:sz w:val="20"/>
          <w:szCs w:val="20"/>
          <w:b w:val="1"/>
          <w:bCs w:val="1"/>
          <w:color w:val="auto"/>
        </w:rPr>
      </w:pPr>
    </w:p>
    <w:p>
      <w:pPr>
        <w:ind w:left="1040" w:hanging="1032"/>
        <w:spacing w:after="0"/>
        <w:tabs>
          <w:tab w:leader="none" w:pos="1040" w:val="left"/>
        </w:tabs>
        <w:numPr>
          <w:ilvl w:val="0"/>
          <w:numId w:val="11"/>
        </w:numPr>
        <w:rPr>
          <w:rFonts w:ascii="Arial" w:cs="Arial" w:eastAsia="Arial" w:hAnsi="Arial"/>
          <w:sz w:val="20"/>
          <w:szCs w:val="20"/>
          <w:b w:val="1"/>
          <w:bCs w:val="1"/>
          <w:color w:val="auto"/>
        </w:rPr>
      </w:pPr>
      <w:r>
        <w:rPr>
          <w:rFonts w:ascii="Arial" w:cs="Arial" w:eastAsia="Arial" w:hAnsi="Arial"/>
          <w:sz w:val="20"/>
          <w:szCs w:val="20"/>
          <w:color w:val="auto"/>
        </w:rPr>
        <w:t>Check Box If the Aggregate Amount in Row (9) Excludes Certain Shares (See Instructions)</w:t>
      </w:r>
    </w:p>
    <w:p>
      <w:pPr>
        <w:spacing w:after="0" w:line="229"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  ]</w:t>
      </w:r>
    </w:p>
    <w:p>
      <w:pPr>
        <w:spacing w:after="0" w:line="229" w:lineRule="exact"/>
        <w:rPr>
          <w:rFonts w:ascii="Arial" w:cs="Arial" w:eastAsia="Arial" w:hAnsi="Arial"/>
          <w:sz w:val="20"/>
          <w:szCs w:val="20"/>
          <w:b w:val="1"/>
          <w:bCs w:val="1"/>
          <w:color w:val="auto"/>
        </w:rPr>
      </w:pPr>
    </w:p>
    <w:p>
      <w:pPr>
        <w:ind w:left="1040" w:hanging="1032"/>
        <w:spacing w:after="0"/>
        <w:tabs>
          <w:tab w:leader="none" w:pos="1040" w:val="left"/>
        </w:tabs>
        <w:numPr>
          <w:ilvl w:val="0"/>
          <w:numId w:val="11"/>
        </w:numPr>
        <w:rPr>
          <w:rFonts w:ascii="Arial" w:cs="Arial" w:eastAsia="Arial" w:hAnsi="Arial"/>
          <w:sz w:val="20"/>
          <w:szCs w:val="20"/>
          <w:b w:val="1"/>
          <w:bCs w:val="1"/>
          <w:color w:val="auto"/>
        </w:rPr>
      </w:pPr>
      <w:r>
        <w:rPr>
          <w:rFonts w:ascii="Arial" w:cs="Arial" w:eastAsia="Arial" w:hAnsi="Arial"/>
          <w:sz w:val="20"/>
          <w:szCs w:val="20"/>
          <w:color w:val="auto"/>
        </w:rPr>
        <w:t>Percent of Class Represented By Amount in Row (9)</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1.3% (1)</w:t>
      </w:r>
    </w:p>
    <w:p>
      <w:pPr>
        <w:spacing w:after="0" w:line="229" w:lineRule="exact"/>
        <w:rPr>
          <w:sz w:val="20"/>
          <w:szCs w:val="20"/>
          <w:color w:val="auto"/>
        </w:rPr>
      </w:pPr>
    </w:p>
    <w:p>
      <w:pPr>
        <w:ind w:left="1040" w:hanging="1032"/>
        <w:spacing w:after="0"/>
        <w:tabs>
          <w:tab w:leader="none" w:pos="1040" w:val="left"/>
        </w:tabs>
        <w:numPr>
          <w:ilvl w:val="0"/>
          <w:numId w:val="12"/>
        </w:numPr>
        <w:rPr>
          <w:rFonts w:ascii="Arial" w:cs="Arial" w:eastAsia="Arial" w:hAnsi="Arial"/>
          <w:sz w:val="20"/>
          <w:szCs w:val="20"/>
          <w:b w:val="1"/>
          <w:bCs w:val="1"/>
          <w:color w:val="auto"/>
        </w:rPr>
      </w:pPr>
      <w:r>
        <w:rPr>
          <w:rFonts w:ascii="Arial" w:cs="Arial" w:eastAsia="Arial" w:hAnsi="Arial"/>
          <w:sz w:val="20"/>
          <w:szCs w:val="20"/>
          <w:color w:val="auto"/>
        </w:rPr>
        <w:t>Type of Reporting Person (See Instructions)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OO</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w:t>
      </w:r>
    </w:p>
    <w:p>
      <w:pPr>
        <w:spacing w:after="0" w:line="213" w:lineRule="exact"/>
        <w:rPr>
          <w:sz w:val="20"/>
          <w:szCs w:val="20"/>
          <w:color w:val="auto"/>
        </w:rPr>
      </w:pPr>
    </w:p>
    <w:p>
      <w:pPr>
        <w:ind w:left="460" w:hanging="452"/>
        <w:spacing w:after="0" w:line="260" w:lineRule="auto"/>
        <w:tabs>
          <w:tab w:leader="none" w:pos="4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Based on 69,999,954 Ordinary Shares of the Issuer outstanding as of December 13, 2019, as reported in the Issuer's Form 8-K filed with the SEC on December 18,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576" w:right="39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CUSIP NO. G48833118</w:t>
      </w:r>
    </w:p>
    <w:p>
      <w:pPr>
        <w:spacing w:after="0" w:line="235" w:lineRule="exact"/>
        <w:rPr>
          <w:sz w:val="20"/>
          <w:szCs w:val="20"/>
          <w:color w:val="auto"/>
        </w:rPr>
      </w:pPr>
    </w:p>
    <w:p>
      <w:pPr>
        <w:ind w:right="7800" w:firstLine="8"/>
        <w:spacing w:after="0" w:line="476" w:lineRule="auto"/>
        <w:tabs>
          <w:tab w:leader="none" w:pos="1175" w:val="left"/>
        </w:tabs>
        <w:numPr>
          <w:ilvl w:val="0"/>
          <w:numId w:val="14"/>
        </w:numPr>
        <w:rPr>
          <w:rFonts w:ascii="Arial" w:cs="Arial" w:eastAsia="Arial" w:hAnsi="Arial"/>
          <w:sz w:val="20"/>
          <w:szCs w:val="20"/>
          <w:b w:val="1"/>
          <w:bCs w:val="1"/>
          <w:color w:val="auto"/>
        </w:rPr>
      </w:pPr>
      <w:r>
        <w:rPr>
          <w:rFonts w:ascii="Arial" w:cs="Arial" w:eastAsia="Arial" w:hAnsi="Arial"/>
          <w:sz w:val="20"/>
          <w:szCs w:val="20"/>
          <w:color w:val="auto"/>
        </w:rPr>
        <w:t>Names of Reporting Persons The Värde Fund XIII, L.P.</w:t>
      </w:r>
    </w:p>
    <w:p>
      <w:pPr>
        <w:spacing w:after="0" w:line="6" w:lineRule="exact"/>
        <w:rPr>
          <w:rFonts w:ascii="Arial" w:cs="Arial" w:eastAsia="Arial" w:hAnsi="Arial"/>
          <w:sz w:val="20"/>
          <w:szCs w:val="20"/>
          <w:b w:val="1"/>
          <w:bCs w:val="1"/>
          <w:color w:val="auto"/>
        </w:rPr>
      </w:pPr>
    </w:p>
    <w:p>
      <w:pPr>
        <w:ind w:left="1180" w:hanging="1172"/>
        <w:spacing w:after="0"/>
        <w:tabs>
          <w:tab w:leader="none" w:pos="1180" w:val="left"/>
        </w:tabs>
        <w:numPr>
          <w:ilvl w:val="0"/>
          <w:numId w:val="14"/>
        </w:numPr>
        <w:rPr>
          <w:rFonts w:ascii="Arial" w:cs="Arial" w:eastAsia="Arial" w:hAnsi="Arial"/>
          <w:sz w:val="20"/>
          <w:szCs w:val="20"/>
          <w:b w:val="1"/>
          <w:bCs w:val="1"/>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b w:val="1"/>
          <w:bCs w:val="1"/>
          <w:color w:val="auto"/>
        </w:rPr>
      </w:pPr>
    </w:p>
    <w:p>
      <w:pPr>
        <w:ind w:left="2960" w:hanging="187"/>
        <w:spacing w:after="0"/>
        <w:tabs>
          <w:tab w:leader="none" w:pos="2960" w:val="left"/>
        </w:tabs>
        <w:numPr>
          <w:ilvl w:val="1"/>
          <w:numId w:val="14"/>
        </w:numPr>
        <w:rPr>
          <w:rFonts w:ascii="Arial" w:cs="Arial" w:eastAsia="Arial" w:hAnsi="Arial"/>
          <w:sz w:val="20"/>
          <w:szCs w:val="20"/>
          <w:color w:val="auto"/>
        </w:rPr>
      </w:pPr>
      <w:r>
        <w:rPr>
          <w:rFonts w:ascii="Arial" w:cs="Arial" w:eastAsia="Arial" w:hAnsi="Arial"/>
          <w:sz w:val="20"/>
          <w:szCs w:val="20"/>
          <w:color w:val="auto"/>
        </w:rPr>
        <w:t>[  ]</w:t>
      </w:r>
    </w:p>
    <w:p>
      <w:pPr>
        <w:spacing w:after="0" w:line="229" w:lineRule="exact"/>
        <w:rPr>
          <w:rFonts w:ascii="Arial" w:cs="Arial" w:eastAsia="Arial" w:hAnsi="Arial"/>
          <w:sz w:val="20"/>
          <w:szCs w:val="20"/>
          <w:color w:val="auto"/>
        </w:rPr>
      </w:pPr>
    </w:p>
    <w:p>
      <w:pPr>
        <w:ind w:left="2960" w:hanging="190"/>
        <w:spacing w:after="0"/>
        <w:tabs>
          <w:tab w:leader="none" w:pos="2960" w:val="left"/>
        </w:tabs>
        <w:numPr>
          <w:ilvl w:val="1"/>
          <w:numId w:val="14"/>
        </w:numPr>
        <w:rPr>
          <w:rFonts w:ascii="Arial" w:cs="Arial" w:eastAsia="Arial" w:hAnsi="Arial"/>
          <w:sz w:val="20"/>
          <w:szCs w:val="20"/>
          <w:color w:val="auto"/>
        </w:rPr>
      </w:pPr>
      <w:r>
        <w:rPr>
          <w:rFonts w:ascii="Arial" w:cs="Arial" w:eastAsia="Arial" w:hAnsi="Arial"/>
          <w:sz w:val="20"/>
          <w:szCs w:val="20"/>
          <w:color w:val="auto"/>
        </w:rPr>
        <w:t>[X]</w:t>
      </w:r>
    </w:p>
    <w:p>
      <w:pPr>
        <w:spacing w:after="0" w:line="229" w:lineRule="exact"/>
        <w:rPr>
          <w:rFonts w:ascii="Arial" w:cs="Arial" w:eastAsia="Arial" w:hAnsi="Arial"/>
          <w:sz w:val="20"/>
          <w:szCs w:val="20"/>
          <w:color w:val="auto"/>
        </w:rPr>
      </w:pPr>
    </w:p>
    <w:p>
      <w:pPr>
        <w:ind w:left="1180" w:hanging="1172"/>
        <w:spacing w:after="0"/>
        <w:tabs>
          <w:tab w:leader="none" w:pos="1180" w:val="left"/>
        </w:tabs>
        <w:numPr>
          <w:ilvl w:val="0"/>
          <w:numId w:val="14"/>
        </w:numPr>
        <w:rPr>
          <w:rFonts w:ascii="Arial" w:cs="Arial" w:eastAsia="Arial" w:hAnsi="Arial"/>
          <w:sz w:val="20"/>
          <w:szCs w:val="20"/>
          <w:b w:val="1"/>
          <w:bCs w:val="1"/>
          <w:color w:val="auto"/>
        </w:rPr>
      </w:pPr>
      <w:r>
        <w:rPr>
          <w:rFonts w:ascii="Arial" w:cs="Arial" w:eastAsia="Arial" w:hAnsi="Arial"/>
          <w:sz w:val="20"/>
          <w:szCs w:val="20"/>
          <w:color w:val="auto"/>
        </w:rPr>
        <w:t>SEC Use Only</w:t>
      </w:r>
    </w:p>
    <w:p>
      <w:pPr>
        <w:spacing w:after="0" w:line="229" w:lineRule="exact"/>
        <w:rPr>
          <w:rFonts w:ascii="Arial" w:cs="Arial" w:eastAsia="Arial" w:hAnsi="Arial"/>
          <w:sz w:val="20"/>
          <w:szCs w:val="20"/>
          <w:b w:val="1"/>
          <w:bCs w:val="1"/>
          <w:color w:val="auto"/>
        </w:rPr>
      </w:pPr>
    </w:p>
    <w:p>
      <w:pPr>
        <w:ind w:left="1180" w:hanging="1172"/>
        <w:spacing w:after="0"/>
        <w:tabs>
          <w:tab w:leader="none" w:pos="1180" w:val="left"/>
        </w:tabs>
        <w:numPr>
          <w:ilvl w:val="0"/>
          <w:numId w:val="14"/>
        </w:numPr>
        <w:rPr>
          <w:rFonts w:ascii="Arial" w:cs="Arial" w:eastAsia="Arial" w:hAnsi="Arial"/>
          <w:sz w:val="20"/>
          <w:szCs w:val="20"/>
          <w:b w:val="1"/>
          <w:bCs w:val="1"/>
          <w:color w:val="auto"/>
        </w:rPr>
      </w:pPr>
      <w:r>
        <w:rPr>
          <w:rFonts w:ascii="Arial" w:cs="Arial" w:eastAsia="Arial" w:hAnsi="Arial"/>
          <w:sz w:val="20"/>
          <w:szCs w:val="20"/>
          <w:color w:val="auto"/>
        </w:rPr>
        <w:t>Citizenship or Place of Organization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100" w:type="dxa"/>
            <w:vAlign w:val="bottom"/>
          </w:tcPr>
          <w:p>
            <w:pPr>
              <w:spacing w:after="0"/>
              <w:rPr>
                <w:sz w:val="20"/>
                <w:szCs w:val="20"/>
                <w:color w:val="auto"/>
              </w:rPr>
            </w:pPr>
            <w:r>
              <w:rPr>
                <w:rFonts w:ascii="Arial" w:cs="Arial" w:eastAsia="Arial" w:hAnsi="Arial"/>
                <w:sz w:val="20"/>
                <w:szCs w:val="20"/>
                <w:color w:val="auto"/>
              </w:rPr>
              <w:t>Cayman Islands</w:t>
            </w:r>
          </w:p>
        </w:tc>
        <w:tc>
          <w:tcPr>
            <w:tcW w:w="116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8"/>
        </w:trPr>
        <w:tc>
          <w:tcPr>
            <w:tcW w:w="2100" w:type="dxa"/>
            <w:vAlign w:val="bottom"/>
          </w:tcPr>
          <w:p>
            <w:pPr>
              <w:spacing w:after="0"/>
              <w:rPr>
                <w:sz w:val="24"/>
                <w:szCs w:val="24"/>
                <w:color w:val="auto"/>
              </w:rPr>
            </w:pPr>
          </w:p>
        </w:tc>
        <w:tc>
          <w:tcPr>
            <w:tcW w:w="1160" w:type="dxa"/>
            <w:vAlign w:val="bottom"/>
          </w:tcPr>
          <w:p>
            <w:pPr>
              <w:jc w:val="right"/>
              <w:ind w:right="541"/>
              <w:spacing w:after="0"/>
              <w:rPr>
                <w:sz w:val="20"/>
                <w:szCs w:val="20"/>
                <w:color w:val="auto"/>
              </w:rPr>
            </w:pPr>
            <w:r>
              <w:rPr>
                <w:rFonts w:ascii="Arial" w:cs="Arial" w:eastAsia="Arial" w:hAnsi="Arial"/>
                <w:sz w:val="20"/>
                <w:szCs w:val="20"/>
                <w:b w:val="1"/>
                <w:bCs w:val="1"/>
                <w:color w:val="auto"/>
              </w:rPr>
              <w:t>5.</w:t>
            </w:r>
          </w:p>
        </w:tc>
        <w:tc>
          <w:tcPr>
            <w:tcW w:w="2700" w:type="dxa"/>
            <w:vAlign w:val="bottom"/>
          </w:tcPr>
          <w:p>
            <w:pPr>
              <w:ind w:left="660"/>
              <w:spacing w:after="0"/>
              <w:rPr>
                <w:sz w:val="20"/>
                <w:szCs w:val="20"/>
                <w:color w:val="auto"/>
              </w:rPr>
            </w:pPr>
            <w:r>
              <w:rPr>
                <w:rFonts w:ascii="Arial" w:cs="Arial" w:eastAsia="Arial" w:hAnsi="Arial"/>
                <w:sz w:val="20"/>
                <w:szCs w:val="20"/>
                <w:color w:val="auto"/>
              </w:rPr>
              <w:t>Sole Voting Power</w:t>
            </w:r>
          </w:p>
        </w:tc>
        <w:tc>
          <w:tcPr>
            <w:tcW w:w="0" w:type="dxa"/>
            <w:vAlign w:val="bottom"/>
          </w:tcPr>
          <w:p>
            <w:pPr>
              <w:spacing w:after="0"/>
              <w:rPr>
                <w:sz w:val="1"/>
                <w:szCs w:val="1"/>
                <w:color w:val="auto"/>
              </w:rPr>
            </w:pPr>
          </w:p>
        </w:tc>
      </w:tr>
      <w:tr>
        <w:trPr>
          <w:trHeight w:val="230"/>
        </w:trPr>
        <w:tc>
          <w:tcPr>
            <w:tcW w:w="2100" w:type="dxa"/>
            <w:vAlign w:val="bottom"/>
          </w:tcPr>
          <w:p>
            <w:pPr>
              <w:jc w:val="center"/>
              <w:ind w:left="261"/>
              <w:spacing w:after="0"/>
              <w:rPr>
                <w:sz w:val="20"/>
                <w:szCs w:val="20"/>
                <w:color w:val="auto"/>
              </w:rPr>
            </w:pPr>
            <w:r>
              <w:rPr>
                <w:rFonts w:ascii="Arial" w:cs="Arial" w:eastAsia="Arial" w:hAnsi="Arial"/>
                <w:sz w:val="20"/>
                <w:szCs w:val="20"/>
                <w:color w:val="auto"/>
                <w:w w:val="92"/>
              </w:rPr>
              <w:t>Number of</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903,859</w:t>
            </w: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81"/>
              </w:rPr>
              <w:t>Shares</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6.</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4"/>
              </w:rPr>
              <w:t>Beneficially</w:t>
            </w:r>
          </w:p>
        </w:tc>
        <w:tc>
          <w:tcPr>
            <w:tcW w:w="1160" w:type="dxa"/>
            <w:vAlign w:val="bottom"/>
            <w:vMerge w:val="continue"/>
          </w:tcPr>
          <w:p>
            <w:pPr>
              <w:spacing w:after="0"/>
              <w:rPr>
                <w:sz w:val="19"/>
                <w:szCs w:val="19"/>
                <w:color w:val="auto"/>
              </w:rPr>
            </w:pPr>
          </w:p>
        </w:tc>
        <w:tc>
          <w:tcPr>
            <w:tcW w:w="2700" w:type="dxa"/>
            <w:vAlign w:val="bottom"/>
          </w:tcPr>
          <w:p>
            <w:pPr>
              <w:ind w:left="660"/>
              <w:spacing w:after="0"/>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0"/>
              </w:rPr>
              <w:t>Owned By</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87"/>
              </w:rPr>
              <w:t>Each</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7.</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2"/>
              </w:rPr>
              <w:t>Reporting</w:t>
            </w:r>
          </w:p>
        </w:tc>
        <w:tc>
          <w:tcPr>
            <w:tcW w:w="1160" w:type="dxa"/>
            <w:vAlign w:val="bottom"/>
            <w:vMerge w:val="continue"/>
          </w:tcPr>
          <w:p>
            <w:pPr>
              <w:spacing w:after="0"/>
              <w:rPr>
                <w:sz w:val="19"/>
                <w:szCs w:val="19"/>
                <w:color w:val="auto"/>
              </w:rPr>
            </w:pPr>
          </w:p>
        </w:tc>
        <w:tc>
          <w:tcPr>
            <w:tcW w:w="2700" w:type="dxa"/>
            <w:vAlign w:val="bottom"/>
          </w:tcPr>
          <w:p>
            <w:pPr>
              <w:ind w:left="660"/>
              <w:spacing w:after="0"/>
              <w:rPr>
                <w:sz w:val="20"/>
                <w:szCs w:val="20"/>
                <w:color w:val="auto"/>
              </w:rPr>
            </w:pPr>
            <w:r>
              <w:rPr>
                <w:rFonts w:ascii="Arial" w:cs="Arial" w:eastAsia="Arial" w:hAnsi="Arial"/>
                <w:sz w:val="20"/>
                <w:szCs w:val="20"/>
                <w:color w:val="auto"/>
                <w:w w:val="98"/>
              </w:rPr>
              <w:t>Sole Dispositive Power</w:t>
            </w:r>
          </w:p>
        </w:tc>
        <w:tc>
          <w:tcPr>
            <w:tcW w:w="0" w:type="dxa"/>
            <w:vAlign w:val="bottom"/>
          </w:tcPr>
          <w:p>
            <w:pPr>
              <w:spacing w:after="0"/>
              <w:rPr>
                <w:sz w:val="1"/>
                <w:szCs w:val="1"/>
                <w:color w:val="auto"/>
              </w:rPr>
            </w:pPr>
          </w:p>
        </w:tc>
      </w:tr>
      <w:tr>
        <w:trPr>
          <w:trHeight w:val="230"/>
        </w:trPr>
        <w:tc>
          <w:tcPr>
            <w:tcW w:w="2100" w:type="dxa"/>
            <w:vAlign w:val="bottom"/>
          </w:tcPr>
          <w:p>
            <w:pPr>
              <w:jc w:val="center"/>
              <w:ind w:left="261"/>
              <w:spacing w:after="0"/>
              <w:rPr>
                <w:sz w:val="20"/>
                <w:szCs w:val="20"/>
                <w:color w:val="auto"/>
              </w:rPr>
            </w:pPr>
            <w:r>
              <w:rPr>
                <w:rFonts w:ascii="Arial" w:cs="Arial" w:eastAsia="Arial" w:hAnsi="Arial"/>
                <w:sz w:val="20"/>
                <w:szCs w:val="20"/>
                <w:color w:val="auto"/>
                <w:w w:val="85"/>
              </w:rPr>
              <w:t>Person</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903,859</w:t>
            </w:r>
          </w:p>
        </w:tc>
        <w:tc>
          <w:tcPr>
            <w:tcW w:w="0" w:type="dxa"/>
            <w:vAlign w:val="bottom"/>
          </w:tcPr>
          <w:p>
            <w:pPr>
              <w:spacing w:after="0"/>
              <w:rPr>
                <w:sz w:val="1"/>
                <w:szCs w:val="1"/>
                <w:color w:val="auto"/>
              </w:rPr>
            </w:pPr>
          </w:p>
        </w:tc>
      </w:tr>
      <w:tr>
        <w:trPr>
          <w:trHeight w:val="25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9"/>
              </w:rPr>
              <w:t>With</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8.</w:t>
            </w:r>
          </w:p>
        </w:tc>
        <w:tc>
          <w:tcPr>
            <w:tcW w:w="2700" w:type="dxa"/>
            <w:vAlign w:val="bottom"/>
            <w:vMerge w:val="restart"/>
          </w:tcPr>
          <w:p>
            <w:pPr>
              <w:ind w:left="660"/>
              <w:spacing w:after="0"/>
              <w:rPr>
                <w:sz w:val="20"/>
                <w:szCs w:val="20"/>
                <w:color w:val="auto"/>
              </w:rPr>
            </w:pPr>
            <w:r>
              <w:rPr>
                <w:rFonts w:ascii="Arial" w:cs="Arial" w:eastAsia="Arial" w:hAnsi="Arial"/>
                <w:sz w:val="20"/>
                <w:szCs w:val="20"/>
                <w:color w:val="auto"/>
                <w:w w:val="88"/>
              </w:rPr>
              <w:t>Shared Dispositive Power</w:t>
            </w:r>
          </w:p>
        </w:tc>
        <w:tc>
          <w:tcPr>
            <w:tcW w:w="0" w:type="dxa"/>
            <w:vAlign w:val="bottom"/>
          </w:tcPr>
          <w:p>
            <w:pPr>
              <w:spacing w:after="0"/>
              <w:rPr>
                <w:sz w:val="1"/>
                <w:szCs w:val="1"/>
                <w:color w:val="auto"/>
              </w:rPr>
            </w:pPr>
          </w:p>
        </w:tc>
      </w:tr>
      <w:tr>
        <w:trPr>
          <w:trHeight w:val="209"/>
        </w:trPr>
        <w:tc>
          <w:tcPr>
            <w:tcW w:w="2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1040" w:hanging="1032"/>
        <w:spacing w:after="0"/>
        <w:tabs>
          <w:tab w:leader="none" w:pos="1040" w:val="left"/>
        </w:tabs>
        <w:numPr>
          <w:ilvl w:val="0"/>
          <w:numId w:val="15"/>
        </w:numPr>
        <w:rPr>
          <w:rFonts w:ascii="Arial" w:cs="Arial" w:eastAsia="Arial" w:hAnsi="Arial"/>
          <w:sz w:val="20"/>
          <w:szCs w:val="20"/>
          <w:b w:val="1"/>
          <w:bCs w:val="1"/>
          <w:color w:val="auto"/>
        </w:rPr>
      </w:pPr>
      <w:r>
        <w:rPr>
          <w:rFonts w:ascii="Arial" w:cs="Arial" w:eastAsia="Arial" w:hAnsi="Arial"/>
          <w:sz w:val="20"/>
          <w:szCs w:val="20"/>
          <w:color w:val="auto"/>
        </w:rPr>
        <w:t>Aggregate Amount Beneficially Owned by Each Reporting Person</w:t>
      </w:r>
    </w:p>
    <w:p>
      <w:pPr>
        <w:spacing w:after="0" w:line="229"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903,859</w:t>
      </w:r>
    </w:p>
    <w:p>
      <w:pPr>
        <w:spacing w:after="0" w:line="229" w:lineRule="exact"/>
        <w:rPr>
          <w:rFonts w:ascii="Arial" w:cs="Arial" w:eastAsia="Arial" w:hAnsi="Arial"/>
          <w:sz w:val="20"/>
          <w:szCs w:val="20"/>
          <w:b w:val="1"/>
          <w:bCs w:val="1"/>
          <w:color w:val="auto"/>
        </w:rPr>
      </w:pPr>
    </w:p>
    <w:p>
      <w:pPr>
        <w:ind w:left="1040" w:hanging="1032"/>
        <w:spacing w:after="0"/>
        <w:tabs>
          <w:tab w:leader="none" w:pos="1040" w:val="left"/>
        </w:tabs>
        <w:numPr>
          <w:ilvl w:val="0"/>
          <w:numId w:val="15"/>
        </w:numPr>
        <w:rPr>
          <w:rFonts w:ascii="Arial" w:cs="Arial" w:eastAsia="Arial" w:hAnsi="Arial"/>
          <w:sz w:val="20"/>
          <w:szCs w:val="20"/>
          <w:b w:val="1"/>
          <w:bCs w:val="1"/>
          <w:color w:val="auto"/>
        </w:rPr>
      </w:pPr>
      <w:r>
        <w:rPr>
          <w:rFonts w:ascii="Arial" w:cs="Arial" w:eastAsia="Arial" w:hAnsi="Arial"/>
          <w:sz w:val="20"/>
          <w:szCs w:val="20"/>
          <w:color w:val="auto"/>
        </w:rPr>
        <w:t>Check Box If the Aggregate Amount in Row (9) Excludes Certain Shares (See Instructions)</w:t>
      </w:r>
    </w:p>
    <w:p>
      <w:pPr>
        <w:spacing w:after="0" w:line="229"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  ]</w:t>
      </w:r>
    </w:p>
    <w:p>
      <w:pPr>
        <w:spacing w:after="0" w:line="229" w:lineRule="exact"/>
        <w:rPr>
          <w:rFonts w:ascii="Arial" w:cs="Arial" w:eastAsia="Arial" w:hAnsi="Arial"/>
          <w:sz w:val="20"/>
          <w:szCs w:val="20"/>
          <w:b w:val="1"/>
          <w:bCs w:val="1"/>
          <w:color w:val="auto"/>
        </w:rPr>
      </w:pPr>
    </w:p>
    <w:p>
      <w:pPr>
        <w:ind w:left="1040" w:hanging="1032"/>
        <w:spacing w:after="0"/>
        <w:tabs>
          <w:tab w:leader="none" w:pos="1040" w:val="left"/>
        </w:tabs>
        <w:numPr>
          <w:ilvl w:val="0"/>
          <w:numId w:val="15"/>
        </w:numPr>
        <w:rPr>
          <w:rFonts w:ascii="Arial" w:cs="Arial" w:eastAsia="Arial" w:hAnsi="Arial"/>
          <w:sz w:val="20"/>
          <w:szCs w:val="20"/>
          <w:b w:val="1"/>
          <w:bCs w:val="1"/>
          <w:color w:val="auto"/>
        </w:rPr>
      </w:pPr>
      <w:r>
        <w:rPr>
          <w:rFonts w:ascii="Arial" w:cs="Arial" w:eastAsia="Arial" w:hAnsi="Arial"/>
          <w:sz w:val="20"/>
          <w:szCs w:val="20"/>
          <w:color w:val="auto"/>
        </w:rPr>
        <w:t>Percent of Class Represented By Amount in Row (9)</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1.3% (1)</w:t>
      </w:r>
    </w:p>
    <w:p>
      <w:pPr>
        <w:spacing w:after="0" w:line="229" w:lineRule="exact"/>
        <w:rPr>
          <w:sz w:val="20"/>
          <w:szCs w:val="20"/>
          <w:color w:val="auto"/>
        </w:rPr>
      </w:pPr>
    </w:p>
    <w:p>
      <w:pPr>
        <w:ind w:left="1040" w:hanging="1032"/>
        <w:spacing w:after="0"/>
        <w:tabs>
          <w:tab w:leader="none" w:pos="1040" w:val="left"/>
        </w:tabs>
        <w:numPr>
          <w:ilvl w:val="0"/>
          <w:numId w:val="16"/>
        </w:numPr>
        <w:rPr>
          <w:rFonts w:ascii="Arial" w:cs="Arial" w:eastAsia="Arial" w:hAnsi="Arial"/>
          <w:sz w:val="20"/>
          <w:szCs w:val="20"/>
          <w:b w:val="1"/>
          <w:bCs w:val="1"/>
          <w:color w:val="auto"/>
        </w:rPr>
      </w:pPr>
      <w:r>
        <w:rPr>
          <w:rFonts w:ascii="Arial" w:cs="Arial" w:eastAsia="Arial" w:hAnsi="Arial"/>
          <w:sz w:val="20"/>
          <w:szCs w:val="20"/>
          <w:color w:val="auto"/>
        </w:rPr>
        <w:t>Type of Reporting Person (See Instructions)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PN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w:t>
      </w:r>
    </w:p>
    <w:p>
      <w:pPr>
        <w:spacing w:after="0" w:line="213" w:lineRule="exact"/>
        <w:rPr>
          <w:sz w:val="20"/>
          <w:szCs w:val="20"/>
          <w:color w:val="auto"/>
        </w:rPr>
      </w:pPr>
    </w:p>
    <w:p>
      <w:pPr>
        <w:ind w:left="460" w:hanging="452"/>
        <w:spacing w:after="0" w:line="260" w:lineRule="auto"/>
        <w:tabs>
          <w:tab w:leader="none" w:pos="4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Based on 69,999,954 Ordinary Shares of the Issuer outstanding as of December 13, 2019, as reported in the Issuer's Form 8-K filed with the SEC on December 18,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346" w:right="39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CUSIP NO. G48833118</w:t>
      </w:r>
    </w:p>
    <w:p>
      <w:pPr>
        <w:spacing w:after="0" w:line="235" w:lineRule="exact"/>
        <w:rPr>
          <w:sz w:val="20"/>
          <w:szCs w:val="20"/>
          <w:color w:val="auto"/>
        </w:rPr>
      </w:pPr>
    </w:p>
    <w:p>
      <w:pPr>
        <w:ind w:left="1180" w:hanging="1172"/>
        <w:spacing w:after="0"/>
        <w:tabs>
          <w:tab w:leader="none" w:pos="1180" w:val="left"/>
        </w:tabs>
        <w:numPr>
          <w:ilvl w:val="0"/>
          <w:numId w:val="18"/>
        </w:numPr>
        <w:rPr>
          <w:rFonts w:ascii="Arial" w:cs="Arial" w:eastAsia="Arial" w:hAnsi="Arial"/>
          <w:sz w:val="20"/>
          <w:szCs w:val="20"/>
          <w:b w:val="1"/>
          <w:bCs w:val="1"/>
          <w:color w:val="auto"/>
        </w:rPr>
      </w:pPr>
      <w:r>
        <w:rPr>
          <w:rFonts w:ascii="Arial" w:cs="Arial" w:eastAsia="Arial" w:hAnsi="Arial"/>
          <w:sz w:val="20"/>
          <w:szCs w:val="20"/>
          <w:color w:val="auto"/>
        </w:rPr>
        <w:t>Names of Reporting Persons</w:t>
      </w:r>
    </w:p>
    <w:p>
      <w:pPr>
        <w:spacing w:after="0" w:line="229"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The Värde Fund XIII G.P., L.P.</w:t>
      </w:r>
    </w:p>
    <w:p>
      <w:pPr>
        <w:spacing w:after="0" w:line="229" w:lineRule="exact"/>
        <w:rPr>
          <w:rFonts w:ascii="Arial" w:cs="Arial" w:eastAsia="Arial" w:hAnsi="Arial"/>
          <w:sz w:val="20"/>
          <w:szCs w:val="20"/>
          <w:b w:val="1"/>
          <w:bCs w:val="1"/>
          <w:color w:val="auto"/>
        </w:rPr>
      </w:pPr>
    </w:p>
    <w:p>
      <w:pPr>
        <w:ind w:left="1180" w:hanging="1172"/>
        <w:spacing w:after="0"/>
        <w:tabs>
          <w:tab w:leader="none" w:pos="1180" w:val="left"/>
        </w:tabs>
        <w:numPr>
          <w:ilvl w:val="0"/>
          <w:numId w:val="18"/>
        </w:numPr>
        <w:rPr>
          <w:rFonts w:ascii="Arial" w:cs="Arial" w:eastAsia="Arial" w:hAnsi="Arial"/>
          <w:sz w:val="20"/>
          <w:szCs w:val="20"/>
          <w:b w:val="1"/>
          <w:bCs w:val="1"/>
          <w:color w:val="auto"/>
        </w:rPr>
      </w:pPr>
      <w:r>
        <w:rPr>
          <w:rFonts w:ascii="Arial" w:cs="Arial" w:eastAsia="Arial" w:hAnsi="Arial"/>
          <w:sz w:val="20"/>
          <w:szCs w:val="20"/>
          <w:color w:val="auto"/>
        </w:rPr>
        <w:t>Check the Appropriate Box If a Member of a Group (See Instructions)</w:t>
      </w:r>
    </w:p>
    <w:p>
      <w:pPr>
        <w:spacing w:after="0" w:line="200" w:lineRule="exact"/>
        <w:rPr>
          <w:rFonts w:ascii="Arial" w:cs="Arial" w:eastAsia="Arial" w:hAnsi="Arial"/>
          <w:sz w:val="20"/>
          <w:szCs w:val="20"/>
          <w:b w:val="1"/>
          <w:bCs w:val="1"/>
          <w:color w:val="auto"/>
        </w:rPr>
      </w:pPr>
    </w:p>
    <w:p>
      <w:pPr>
        <w:spacing w:after="0" w:line="258" w:lineRule="exact"/>
        <w:rPr>
          <w:rFonts w:ascii="Arial" w:cs="Arial" w:eastAsia="Arial" w:hAnsi="Arial"/>
          <w:sz w:val="20"/>
          <w:szCs w:val="20"/>
          <w:b w:val="1"/>
          <w:bCs w:val="1"/>
          <w:color w:val="auto"/>
        </w:rPr>
      </w:pPr>
    </w:p>
    <w:p>
      <w:pPr>
        <w:ind w:left="3040" w:hanging="193"/>
        <w:spacing w:after="0"/>
        <w:tabs>
          <w:tab w:leader="none" w:pos="3040" w:val="left"/>
        </w:tabs>
        <w:numPr>
          <w:ilvl w:val="1"/>
          <w:numId w:val="18"/>
        </w:numPr>
        <w:rPr>
          <w:rFonts w:ascii="Arial" w:cs="Arial" w:eastAsia="Arial" w:hAnsi="Arial"/>
          <w:sz w:val="20"/>
          <w:szCs w:val="20"/>
          <w:color w:val="auto"/>
        </w:rPr>
      </w:pPr>
      <w:r>
        <w:rPr>
          <w:rFonts w:ascii="Arial" w:cs="Arial" w:eastAsia="Arial" w:hAnsi="Arial"/>
          <w:sz w:val="20"/>
          <w:szCs w:val="20"/>
          <w:color w:val="auto"/>
        </w:rPr>
        <w:t>[  ]</w:t>
      </w:r>
    </w:p>
    <w:p>
      <w:pPr>
        <w:spacing w:after="0" w:line="229" w:lineRule="exact"/>
        <w:rPr>
          <w:rFonts w:ascii="Arial" w:cs="Arial" w:eastAsia="Arial" w:hAnsi="Arial"/>
          <w:sz w:val="20"/>
          <w:szCs w:val="20"/>
          <w:color w:val="auto"/>
        </w:rPr>
      </w:pPr>
    </w:p>
    <w:p>
      <w:pPr>
        <w:ind w:left="3040" w:hanging="196"/>
        <w:spacing w:after="0"/>
        <w:tabs>
          <w:tab w:leader="none" w:pos="3040" w:val="left"/>
        </w:tabs>
        <w:numPr>
          <w:ilvl w:val="1"/>
          <w:numId w:val="18"/>
        </w:numPr>
        <w:rPr>
          <w:rFonts w:ascii="Arial" w:cs="Arial" w:eastAsia="Arial" w:hAnsi="Arial"/>
          <w:sz w:val="20"/>
          <w:szCs w:val="20"/>
          <w:color w:val="auto"/>
        </w:rPr>
      </w:pPr>
      <w:r>
        <w:rPr>
          <w:rFonts w:ascii="Arial" w:cs="Arial" w:eastAsia="Arial" w:hAnsi="Arial"/>
          <w:sz w:val="20"/>
          <w:szCs w:val="20"/>
          <w:color w:val="auto"/>
        </w:rPr>
        <w:t>[X]</w:t>
      </w:r>
    </w:p>
    <w:p>
      <w:pPr>
        <w:spacing w:after="0" w:line="229" w:lineRule="exact"/>
        <w:rPr>
          <w:rFonts w:ascii="Arial" w:cs="Arial" w:eastAsia="Arial" w:hAnsi="Arial"/>
          <w:sz w:val="20"/>
          <w:szCs w:val="20"/>
          <w:color w:val="auto"/>
        </w:rPr>
      </w:pPr>
    </w:p>
    <w:p>
      <w:pPr>
        <w:ind w:left="1180" w:hanging="1172"/>
        <w:spacing w:after="0"/>
        <w:tabs>
          <w:tab w:leader="none" w:pos="1180" w:val="left"/>
        </w:tabs>
        <w:numPr>
          <w:ilvl w:val="0"/>
          <w:numId w:val="18"/>
        </w:numPr>
        <w:rPr>
          <w:rFonts w:ascii="Arial" w:cs="Arial" w:eastAsia="Arial" w:hAnsi="Arial"/>
          <w:sz w:val="20"/>
          <w:szCs w:val="20"/>
          <w:b w:val="1"/>
          <w:bCs w:val="1"/>
          <w:color w:val="auto"/>
        </w:rPr>
      </w:pPr>
      <w:r>
        <w:rPr>
          <w:rFonts w:ascii="Arial" w:cs="Arial" w:eastAsia="Arial" w:hAnsi="Arial"/>
          <w:sz w:val="20"/>
          <w:szCs w:val="20"/>
          <w:color w:val="auto"/>
        </w:rPr>
        <w:t>SEC Use Only</w:t>
      </w:r>
    </w:p>
    <w:p>
      <w:pPr>
        <w:spacing w:after="0" w:line="229" w:lineRule="exact"/>
        <w:rPr>
          <w:rFonts w:ascii="Arial" w:cs="Arial" w:eastAsia="Arial" w:hAnsi="Arial"/>
          <w:sz w:val="20"/>
          <w:szCs w:val="20"/>
          <w:b w:val="1"/>
          <w:bCs w:val="1"/>
          <w:color w:val="auto"/>
        </w:rPr>
      </w:pPr>
    </w:p>
    <w:p>
      <w:pPr>
        <w:ind w:left="1180" w:hanging="1172"/>
        <w:spacing w:after="0"/>
        <w:tabs>
          <w:tab w:leader="none" w:pos="1180" w:val="left"/>
        </w:tabs>
        <w:numPr>
          <w:ilvl w:val="0"/>
          <w:numId w:val="18"/>
        </w:numPr>
        <w:rPr>
          <w:rFonts w:ascii="Arial" w:cs="Arial" w:eastAsia="Arial" w:hAnsi="Arial"/>
          <w:sz w:val="20"/>
          <w:szCs w:val="20"/>
          <w:b w:val="1"/>
          <w:bCs w:val="1"/>
          <w:color w:val="auto"/>
        </w:rPr>
      </w:pPr>
      <w:r>
        <w:rPr>
          <w:rFonts w:ascii="Arial" w:cs="Arial" w:eastAsia="Arial" w:hAnsi="Arial"/>
          <w:sz w:val="20"/>
          <w:szCs w:val="20"/>
          <w:color w:val="auto"/>
        </w:rPr>
        <w:t>Citizenship or Place of Organization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100" w:type="dxa"/>
            <w:vAlign w:val="bottom"/>
          </w:tcPr>
          <w:p>
            <w:pPr>
              <w:spacing w:after="0"/>
              <w:rPr>
                <w:sz w:val="20"/>
                <w:szCs w:val="20"/>
                <w:color w:val="auto"/>
              </w:rPr>
            </w:pPr>
            <w:r>
              <w:rPr>
                <w:rFonts w:ascii="Arial" w:cs="Arial" w:eastAsia="Arial" w:hAnsi="Arial"/>
                <w:sz w:val="20"/>
                <w:szCs w:val="20"/>
                <w:color w:val="auto"/>
              </w:rPr>
              <w:t>Cayman Islands</w:t>
            </w:r>
          </w:p>
        </w:tc>
        <w:tc>
          <w:tcPr>
            <w:tcW w:w="116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8"/>
        </w:trPr>
        <w:tc>
          <w:tcPr>
            <w:tcW w:w="2100" w:type="dxa"/>
            <w:vAlign w:val="bottom"/>
          </w:tcPr>
          <w:p>
            <w:pPr>
              <w:spacing w:after="0"/>
              <w:rPr>
                <w:sz w:val="24"/>
                <w:szCs w:val="24"/>
                <w:color w:val="auto"/>
              </w:rPr>
            </w:pPr>
          </w:p>
        </w:tc>
        <w:tc>
          <w:tcPr>
            <w:tcW w:w="1160" w:type="dxa"/>
            <w:vAlign w:val="bottom"/>
          </w:tcPr>
          <w:p>
            <w:pPr>
              <w:jc w:val="right"/>
              <w:ind w:right="541"/>
              <w:spacing w:after="0"/>
              <w:rPr>
                <w:sz w:val="20"/>
                <w:szCs w:val="20"/>
                <w:color w:val="auto"/>
              </w:rPr>
            </w:pPr>
            <w:r>
              <w:rPr>
                <w:rFonts w:ascii="Arial" w:cs="Arial" w:eastAsia="Arial" w:hAnsi="Arial"/>
                <w:sz w:val="20"/>
                <w:szCs w:val="20"/>
                <w:b w:val="1"/>
                <w:bCs w:val="1"/>
                <w:color w:val="auto"/>
              </w:rPr>
              <w:t>5.</w:t>
            </w:r>
          </w:p>
        </w:tc>
        <w:tc>
          <w:tcPr>
            <w:tcW w:w="2700" w:type="dxa"/>
            <w:vAlign w:val="bottom"/>
          </w:tcPr>
          <w:p>
            <w:pPr>
              <w:ind w:left="660"/>
              <w:spacing w:after="0"/>
              <w:rPr>
                <w:sz w:val="20"/>
                <w:szCs w:val="20"/>
                <w:color w:val="auto"/>
              </w:rPr>
            </w:pPr>
            <w:r>
              <w:rPr>
                <w:rFonts w:ascii="Arial" w:cs="Arial" w:eastAsia="Arial" w:hAnsi="Arial"/>
                <w:sz w:val="20"/>
                <w:szCs w:val="20"/>
                <w:color w:val="auto"/>
              </w:rPr>
              <w:t>Sole Voting Power</w:t>
            </w:r>
          </w:p>
        </w:tc>
        <w:tc>
          <w:tcPr>
            <w:tcW w:w="0" w:type="dxa"/>
            <w:vAlign w:val="bottom"/>
          </w:tcPr>
          <w:p>
            <w:pPr>
              <w:spacing w:after="0"/>
              <w:rPr>
                <w:sz w:val="1"/>
                <w:szCs w:val="1"/>
                <w:color w:val="auto"/>
              </w:rPr>
            </w:pPr>
          </w:p>
        </w:tc>
      </w:tr>
      <w:tr>
        <w:trPr>
          <w:trHeight w:val="230"/>
        </w:trPr>
        <w:tc>
          <w:tcPr>
            <w:tcW w:w="2100" w:type="dxa"/>
            <w:vAlign w:val="bottom"/>
          </w:tcPr>
          <w:p>
            <w:pPr>
              <w:jc w:val="center"/>
              <w:ind w:left="261"/>
              <w:spacing w:after="0"/>
              <w:rPr>
                <w:sz w:val="20"/>
                <w:szCs w:val="20"/>
                <w:color w:val="auto"/>
              </w:rPr>
            </w:pPr>
            <w:r>
              <w:rPr>
                <w:rFonts w:ascii="Arial" w:cs="Arial" w:eastAsia="Arial" w:hAnsi="Arial"/>
                <w:sz w:val="20"/>
                <w:szCs w:val="20"/>
                <w:color w:val="auto"/>
                <w:w w:val="92"/>
              </w:rPr>
              <w:t>Number of</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903,859</w:t>
            </w: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81"/>
              </w:rPr>
              <w:t>Shares</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6.</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4"/>
              </w:rPr>
              <w:t>Beneficially</w:t>
            </w:r>
          </w:p>
        </w:tc>
        <w:tc>
          <w:tcPr>
            <w:tcW w:w="1160" w:type="dxa"/>
            <w:vAlign w:val="bottom"/>
            <w:vMerge w:val="continue"/>
          </w:tcPr>
          <w:p>
            <w:pPr>
              <w:spacing w:after="0"/>
              <w:rPr>
                <w:sz w:val="19"/>
                <w:szCs w:val="19"/>
                <w:color w:val="auto"/>
              </w:rPr>
            </w:pPr>
          </w:p>
        </w:tc>
        <w:tc>
          <w:tcPr>
            <w:tcW w:w="2700" w:type="dxa"/>
            <w:vAlign w:val="bottom"/>
          </w:tcPr>
          <w:p>
            <w:pPr>
              <w:ind w:left="660"/>
              <w:spacing w:after="0"/>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0"/>
              </w:rPr>
              <w:t>Owned By</w:t>
            </w:r>
          </w:p>
        </w:tc>
        <w:tc>
          <w:tcPr>
            <w:tcW w:w="1160" w:type="dxa"/>
            <w:vAlign w:val="bottom"/>
          </w:tcPr>
          <w:p>
            <w:pPr>
              <w:spacing w:after="0"/>
              <w:rPr>
                <w:sz w:val="19"/>
                <w:szCs w:val="19"/>
                <w:color w:val="auto"/>
              </w:rPr>
            </w:pPr>
          </w:p>
        </w:tc>
        <w:tc>
          <w:tcPr>
            <w:tcW w:w="2700" w:type="dxa"/>
            <w:vAlign w:val="bottom"/>
          </w:tcPr>
          <w:p>
            <w:pPr>
              <w:ind w:left="13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87"/>
              </w:rPr>
              <w:t>Each</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7.</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2"/>
              </w:rPr>
              <w:t>Reporting</w:t>
            </w:r>
          </w:p>
        </w:tc>
        <w:tc>
          <w:tcPr>
            <w:tcW w:w="1160" w:type="dxa"/>
            <w:vAlign w:val="bottom"/>
            <w:vMerge w:val="continue"/>
          </w:tcPr>
          <w:p>
            <w:pPr>
              <w:spacing w:after="0"/>
              <w:rPr>
                <w:sz w:val="19"/>
                <w:szCs w:val="19"/>
                <w:color w:val="auto"/>
              </w:rPr>
            </w:pPr>
          </w:p>
        </w:tc>
        <w:tc>
          <w:tcPr>
            <w:tcW w:w="2700" w:type="dxa"/>
            <w:vAlign w:val="bottom"/>
          </w:tcPr>
          <w:p>
            <w:pPr>
              <w:ind w:left="660"/>
              <w:spacing w:after="0"/>
              <w:rPr>
                <w:sz w:val="20"/>
                <w:szCs w:val="20"/>
                <w:color w:val="auto"/>
              </w:rPr>
            </w:pPr>
            <w:r>
              <w:rPr>
                <w:rFonts w:ascii="Arial" w:cs="Arial" w:eastAsia="Arial" w:hAnsi="Arial"/>
                <w:sz w:val="20"/>
                <w:szCs w:val="20"/>
                <w:color w:val="auto"/>
                <w:w w:val="98"/>
              </w:rPr>
              <w:t>Sole Dispositive Power</w:t>
            </w:r>
          </w:p>
        </w:tc>
        <w:tc>
          <w:tcPr>
            <w:tcW w:w="0" w:type="dxa"/>
            <w:vAlign w:val="bottom"/>
          </w:tcPr>
          <w:p>
            <w:pPr>
              <w:spacing w:after="0"/>
              <w:rPr>
                <w:sz w:val="1"/>
                <w:szCs w:val="1"/>
                <w:color w:val="auto"/>
              </w:rPr>
            </w:pPr>
          </w:p>
        </w:tc>
      </w:tr>
      <w:tr>
        <w:trPr>
          <w:trHeight w:val="230"/>
        </w:trPr>
        <w:tc>
          <w:tcPr>
            <w:tcW w:w="2100" w:type="dxa"/>
            <w:vAlign w:val="bottom"/>
          </w:tcPr>
          <w:p>
            <w:pPr>
              <w:jc w:val="center"/>
              <w:ind w:left="261"/>
              <w:spacing w:after="0"/>
              <w:rPr>
                <w:sz w:val="20"/>
                <w:szCs w:val="20"/>
                <w:color w:val="auto"/>
              </w:rPr>
            </w:pPr>
            <w:r>
              <w:rPr>
                <w:rFonts w:ascii="Arial" w:cs="Arial" w:eastAsia="Arial" w:hAnsi="Arial"/>
                <w:sz w:val="20"/>
                <w:szCs w:val="20"/>
                <w:color w:val="auto"/>
                <w:w w:val="85"/>
              </w:rPr>
              <w:t>Person</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903,859</w:t>
            </w:r>
          </w:p>
        </w:tc>
        <w:tc>
          <w:tcPr>
            <w:tcW w:w="0" w:type="dxa"/>
            <w:vAlign w:val="bottom"/>
          </w:tcPr>
          <w:p>
            <w:pPr>
              <w:spacing w:after="0"/>
              <w:rPr>
                <w:sz w:val="1"/>
                <w:szCs w:val="1"/>
                <w:color w:val="auto"/>
              </w:rPr>
            </w:pPr>
          </w:p>
        </w:tc>
      </w:tr>
      <w:tr>
        <w:trPr>
          <w:trHeight w:val="25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9"/>
              </w:rPr>
              <w:t>With</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8.</w:t>
            </w:r>
          </w:p>
        </w:tc>
        <w:tc>
          <w:tcPr>
            <w:tcW w:w="2700" w:type="dxa"/>
            <w:vAlign w:val="bottom"/>
            <w:vMerge w:val="restart"/>
          </w:tcPr>
          <w:p>
            <w:pPr>
              <w:ind w:left="660"/>
              <w:spacing w:after="0"/>
              <w:rPr>
                <w:sz w:val="20"/>
                <w:szCs w:val="20"/>
                <w:color w:val="auto"/>
              </w:rPr>
            </w:pPr>
            <w:r>
              <w:rPr>
                <w:rFonts w:ascii="Arial" w:cs="Arial" w:eastAsia="Arial" w:hAnsi="Arial"/>
                <w:sz w:val="20"/>
                <w:szCs w:val="20"/>
                <w:color w:val="auto"/>
                <w:w w:val="88"/>
              </w:rPr>
              <w:t>Shared Dispositive Power</w:t>
            </w:r>
          </w:p>
        </w:tc>
        <w:tc>
          <w:tcPr>
            <w:tcW w:w="0" w:type="dxa"/>
            <w:vAlign w:val="bottom"/>
          </w:tcPr>
          <w:p>
            <w:pPr>
              <w:spacing w:after="0"/>
              <w:rPr>
                <w:sz w:val="1"/>
                <w:szCs w:val="1"/>
                <w:color w:val="auto"/>
              </w:rPr>
            </w:pPr>
          </w:p>
        </w:tc>
      </w:tr>
      <w:tr>
        <w:trPr>
          <w:trHeight w:val="209"/>
        </w:trPr>
        <w:tc>
          <w:tcPr>
            <w:tcW w:w="2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1040" w:hanging="1032"/>
        <w:spacing w:after="0"/>
        <w:tabs>
          <w:tab w:leader="none" w:pos="1040" w:val="left"/>
        </w:tabs>
        <w:numPr>
          <w:ilvl w:val="0"/>
          <w:numId w:val="19"/>
        </w:numPr>
        <w:rPr>
          <w:rFonts w:ascii="Arial" w:cs="Arial" w:eastAsia="Arial" w:hAnsi="Arial"/>
          <w:sz w:val="20"/>
          <w:szCs w:val="20"/>
          <w:b w:val="1"/>
          <w:bCs w:val="1"/>
          <w:color w:val="auto"/>
        </w:rPr>
      </w:pPr>
      <w:r>
        <w:rPr>
          <w:rFonts w:ascii="Arial" w:cs="Arial" w:eastAsia="Arial" w:hAnsi="Arial"/>
          <w:sz w:val="20"/>
          <w:szCs w:val="20"/>
          <w:color w:val="auto"/>
        </w:rPr>
        <w:t>Aggregate Amount Beneficially Owned by Each Reporting Person</w:t>
      </w:r>
    </w:p>
    <w:p>
      <w:pPr>
        <w:spacing w:after="0" w:line="229"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903,859</w:t>
      </w:r>
    </w:p>
    <w:p>
      <w:pPr>
        <w:spacing w:after="0" w:line="229" w:lineRule="exact"/>
        <w:rPr>
          <w:rFonts w:ascii="Arial" w:cs="Arial" w:eastAsia="Arial" w:hAnsi="Arial"/>
          <w:sz w:val="20"/>
          <w:szCs w:val="20"/>
          <w:b w:val="1"/>
          <w:bCs w:val="1"/>
          <w:color w:val="auto"/>
        </w:rPr>
      </w:pPr>
    </w:p>
    <w:p>
      <w:pPr>
        <w:ind w:left="1040" w:hanging="1032"/>
        <w:spacing w:after="0"/>
        <w:tabs>
          <w:tab w:leader="none" w:pos="1040" w:val="left"/>
        </w:tabs>
        <w:numPr>
          <w:ilvl w:val="0"/>
          <w:numId w:val="19"/>
        </w:numPr>
        <w:rPr>
          <w:rFonts w:ascii="Arial" w:cs="Arial" w:eastAsia="Arial" w:hAnsi="Arial"/>
          <w:sz w:val="20"/>
          <w:szCs w:val="20"/>
          <w:b w:val="1"/>
          <w:bCs w:val="1"/>
          <w:color w:val="auto"/>
        </w:rPr>
      </w:pPr>
      <w:r>
        <w:rPr>
          <w:rFonts w:ascii="Arial" w:cs="Arial" w:eastAsia="Arial" w:hAnsi="Arial"/>
          <w:sz w:val="20"/>
          <w:szCs w:val="20"/>
          <w:color w:val="auto"/>
        </w:rPr>
        <w:t>Check Box If the Aggregate Amount in Row (9) Excludes Certain Shares (See Instructions)</w:t>
      </w:r>
    </w:p>
    <w:p>
      <w:pPr>
        <w:spacing w:after="0" w:line="229"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  ]</w:t>
      </w:r>
    </w:p>
    <w:p>
      <w:pPr>
        <w:spacing w:after="0" w:line="229" w:lineRule="exact"/>
        <w:rPr>
          <w:rFonts w:ascii="Arial" w:cs="Arial" w:eastAsia="Arial" w:hAnsi="Arial"/>
          <w:sz w:val="20"/>
          <w:szCs w:val="20"/>
          <w:b w:val="1"/>
          <w:bCs w:val="1"/>
          <w:color w:val="auto"/>
        </w:rPr>
      </w:pPr>
    </w:p>
    <w:p>
      <w:pPr>
        <w:ind w:left="1040" w:hanging="1032"/>
        <w:spacing w:after="0"/>
        <w:tabs>
          <w:tab w:leader="none" w:pos="1040" w:val="left"/>
        </w:tabs>
        <w:numPr>
          <w:ilvl w:val="0"/>
          <w:numId w:val="19"/>
        </w:numPr>
        <w:rPr>
          <w:rFonts w:ascii="Arial" w:cs="Arial" w:eastAsia="Arial" w:hAnsi="Arial"/>
          <w:sz w:val="20"/>
          <w:szCs w:val="20"/>
          <w:b w:val="1"/>
          <w:bCs w:val="1"/>
          <w:color w:val="auto"/>
        </w:rPr>
      </w:pPr>
      <w:r>
        <w:rPr>
          <w:rFonts w:ascii="Arial" w:cs="Arial" w:eastAsia="Arial" w:hAnsi="Arial"/>
          <w:sz w:val="20"/>
          <w:szCs w:val="20"/>
          <w:color w:val="auto"/>
        </w:rPr>
        <w:t>Percent of Class Represented By Amount in Row (9)</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1.3% (1)</w:t>
      </w:r>
    </w:p>
    <w:p>
      <w:pPr>
        <w:spacing w:after="0" w:line="229" w:lineRule="exact"/>
        <w:rPr>
          <w:sz w:val="20"/>
          <w:szCs w:val="20"/>
          <w:color w:val="auto"/>
        </w:rPr>
      </w:pPr>
    </w:p>
    <w:p>
      <w:pPr>
        <w:ind w:left="1040" w:hanging="1032"/>
        <w:spacing w:after="0"/>
        <w:tabs>
          <w:tab w:leader="none" w:pos="1040" w:val="left"/>
        </w:tabs>
        <w:numPr>
          <w:ilvl w:val="0"/>
          <w:numId w:val="20"/>
        </w:numPr>
        <w:rPr>
          <w:rFonts w:ascii="Arial" w:cs="Arial" w:eastAsia="Arial" w:hAnsi="Arial"/>
          <w:sz w:val="20"/>
          <w:szCs w:val="20"/>
          <w:b w:val="1"/>
          <w:bCs w:val="1"/>
          <w:color w:val="auto"/>
        </w:rPr>
      </w:pPr>
      <w:r>
        <w:rPr>
          <w:rFonts w:ascii="Arial" w:cs="Arial" w:eastAsia="Arial" w:hAnsi="Arial"/>
          <w:sz w:val="20"/>
          <w:szCs w:val="20"/>
          <w:color w:val="auto"/>
        </w:rPr>
        <w:t>Type of Reporting Person (See Instructions)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PN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w:t>
      </w:r>
    </w:p>
    <w:p>
      <w:pPr>
        <w:spacing w:after="0" w:line="213" w:lineRule="exact"/>
        <w:rPr>
          <w:sz w:val="20"/>
          <w:szCs w:val="20"/>
          <w:color w:val="auto"/>
        </w:rPr>
      </w:pPr>
    </w:p>
    <w:p>
      <w:pPr>
        <w:ind w:left="460" w:hanging="452"/>
        <w:spacing w:after="0" w:line="260" w:lineRule="auto"/>
        <w:tabs>
          <w:tab w:leader="none" w:pos="4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Based on 69,999,954 Ordinary Shares of the Issuer outstanding as of December 13, 2019, as reported in the Issuer's Form 8-K filed with the SEC on December 18,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346" w:right="39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CUSIP NO. G48833118</w:t>
      </w:r>
    </w:p>
    <w:p>
      <w:pPr>
        <w:spacing w:after="0" w:line="235" w:lineRule="exact"/>
        <w:rPr>
          <w:sz w:val="20"/>
          <w:szCs w:val="20"/>
          <w:color w:val="auto"/>
        </w:rPr>
      </w:pPr>
    </w:p>
    <w:p>
      <w:pPr>
        <w:ind w:left="1180" w:hanging="1172"/>
        <w:spacing w:after="0"/>
        <w:tabs>
          <w:tab w:leader="none" w:pos="1180" w:val="left"/>
        </w:tabs>
        <w:numPr>
          <w:ilvl w:val="0"/>
          <w:numId w:val="22"/>
        </w:numPr>
        <w:rPr>
          <w:rFonts w:ascii="Arial" w:cs="Arial" w:eastAsia="Arial" w:hAnsi="Arial"/>
          <w:sz w:val="20"/>
          <w:szCs w:val="20"/>
          <w:b w:val="1"/>
          <w:bCs w:val="1"/>
          <w:color w:val="auto"/>
        </w:rPr>
      </w:pPr>
      <w:r>
        <w:rPr>
          <w:rFonts w:ascii="Arial" w:cs="Arial" w:eastAsia="Arial" w:hAnsi="Arial"/>
          <w:sz w:val="20"/>
          <w:szCs w:val="20"/>
          <w:color w:val="auto"/>
        </w:rPr>
        <w:t>Names of Reporting Persons</w:t>
      </w:r>
    </w:p>
    <w:p>
      <w:pPr>
        <w:spacing w:after="0" w:line="229"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The Värde Fund XIII UGP, LLC</w:t>
      </w:r>
    </w:p>
    <w:p>
      <w:pPr>
        <w:spacing w:after="0" w:line="229" w:lineRule="exact"/>
        <w:rPr>
          <w:rFonts w:ascii="Arial" w:cs="Arial" w:eastAsia="Arial" w:hAnsi="Arial"/>
          <w:sz w:val="20"/>
          <w:szCs w:val="20"/>
          <w:b w:val="1"/>
          <w:bCs w:val="1"/>
          <w:color w:val="auto"/>
        </w:rPr>
      </w:pPr>
    </w:p>
    <w:p>
      <w:pPr>
        <w:ind w:left="1180" w:hanging="1172"/>
        <w:spacing w:after="0"/>
        <w:tabs>
          <w:tab w:leader="none" w:pos="1180" w:val="left"/>
        </w:tabs>
        <w:numPr>
          <w:ilvl w:val="0"/>
          <w:numId w:val="22"/>
        </w:numPr>
        <w:rPr>
          <w:rFonts w:ascii="Arial" w:cs="Arial" w:eastAsia="Arial" w:hAnsi="Arial"/>
          <w:sz w:val="20"/>
          <w:szCs w:val="20"/>
          <w:b w:val="1"/>
          <w:bCs w:val="1"/>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b w:val="1"/>
          <w:bCs w:val="1"/>
          <w:color w:val="auto"/>
        </w:rPr>
      </w:pPr>
    </w:p>
    <w:p>
      <w:pPr>
        <w:ind w:left="2960" w:hanging="187"/>
        <w:spacing w:after="0"/>
        <w:tabs>
          <w:tab w:leader="none" w:pos="2960" w:val="left"/>
        </w:tabs>
        <w:numPr>
          <w:ilvl w:val="1"/>
          <w:numId w:val="22"/>
        </w:numPr>
        <w:rPr>
          <w:rFonts w:ascii="Arial" w:cs="Arial" w:eastAsia="Arial" w:hAnsi="Arial"/>
          <w:sz w:val="20"/>
          <w:szCs w:val="20"/>
          <w:color w:val="auto"/>
        </w:rPr>
      </w:pPr>
      <w:r>
        <w:rPr>
          <w:rFonts w:ascii="Arial" w:cs="Arial" w:eastAsia="Arial" w:hAnsi="Arial"/>
          <w:sz w:val="20"/>
          <w:szCs w:val="20"/>
          <w:color w:val="auto"/>
        </w:rPr>
        <w:t>[  ]</w:t>
      </w:r>
    </w:p>
    <w:p>
      <w:pPr>
        <w:spacing w:after="0" w:line="229" w:lineRule="exact"/>
        <w:rPr>
          <w:rFonts w:ascii="Arial" w:cs="Arial" w:eastAsia="Arial" w:hAnsi="Arial"/>
          <w:sz w:val="20"/>
          <w:szCs w:val="20"/>
          <w:color w:val="auto"/>
        </w:rPr>
      </w:pPr>
    </w:p>
    <w:p>
      <w:pPr>
        <w:ind w:left="2960" w:hanging="190"/>
        <w:spacing w:after="0"/>
        <w:tabs>
          <w:tab w:leader="none" w:pos="2960" w:val="left"/>
        </w:tabs>
        <w:numPr>
          <w:ilvl w:val="1"/>
          <w:numId w:val="22"/>
        </w:numPr>
        <w:rPr>
          <w:rFonts w:ascii="Arial" w:cs="Arial" w:eastAsia="Arial" w:hAnsi="Arial"/>
          <w:sz w:val="20"/>
          <w:szCs w:val="20"/>
          <w:color w:val="auto"/>
        </w:rPr>
      </w:pPr>
      <w:r>
        <w:rPr>
          <w:rFonts w:ascii="Arial" w:cs="Arial" w:eastAsia="Arial" w:hAnsi="Arial"/>
          <w:sz w:val="20"/>
          <w:szCs w:val="20"/>
          <w:color w:val="auto"/>
        </w:rPr>
        <w:t>[X]</w:t>
      </w:r>
    </w:p>
    <w:p>
      <w:pPr>
        <w:spacing w:after="0" w:line="229" w:lineRule="exact"/>
        <w:rPr>
          <w:rFonts w:ascii="Arial" w:cs="Arial" w:eastAsia="Arial" w:hAnsi="Arial"/>
          <w:sz w:val="20"/>
          <w:szCs w:val="20"/>
          <w:color w:val="auto"/>
        </w:rPr>
      </w:pPr>
    </w:p>
    <w:p>
      <w:pPr>
        <w:ind w:left="1180" w:hanging="1172"/>
        <w:spacing w:after="0"/>
        <w:tabs>
          <w:tab w:leader="none" w:pos="1180" w:val="left"/>
        </w:tabs>
        <w:numPr>
          <w:ilvl w:val="0"/>
          <w:numId w:val="22"/>
        </w:numPr>
        <w:rPr>
          <w:rFonts w:ascii="Arial" w:cs="Arial" w:eastAsia="Arial" w:hAnsi="Arial"/>
          <w:sz w:val="20"/>
          <w:szCs w:val="20"/>
          <w:b w:val="1"/>
          <w:bCs w:val="1"/>
          <w:color w:val="auto"/>
        </w:rPr>
      </w:pPr>
      <w:r>
        <w:rPr>
          <w:rFonts w:ascii="Arial" w:cs="Arial" w:eastAsia="Arial" w:hAnsi="Arial"/>
          <w:sz w:val="20"/>
          <w:szCs w:val="20"/>
          <w:color w:val="auto"/>
        </w:rPr>
        <w:t>SEC Use Only</w:t>
      </w:r>
    </w:p>
    <w:p>
      <w:pPr>
        <w:spacing w:after="0" w:line="229" w:lineRule="exact"/>
        <w:rPr>
          <w:rFonts w:ascii="Arial" w:cs="Arial" w:eastAsia="Arial" w:hAnsi="Arial"/>
          <w:sz w:val="20"/>
          <w:szCs w:val="20"/>
          <w:b w:val="1"/>
          <w:bCs w:val="1"/>
          <w:color w:val="auto"/>
        </w:rPr>
      </w:pPr>
    </w:p>
    <w:p>
      <w:pPr>
        <w:ind w:left="1180" w:hanging="1172"/>
        <w:spacing w:after="0"/>
        <w:tabs>
          <w:tab w:leader="none" w:pos="1180" w:val="left"/>
        </w:tabs>
        <w:numPr>
          <w:ilvl w:val="0"/>
          <w:numId w:val="22"/>
        </w:numPr>
        <w:rPr>
          <w:rFonts w:ascii="Arial" w:cs="Arial" w:eastAsia="Arial" w:hAnsi="Arial"/>
          <w:sz w:val="20"/>
          <w:szCs w:val="20"/>
          <w:b w:val="1"/>
          <w:bCs w:val="1"/>
          <w:color w:val="auto"/>
        </w:rPr>
      </w:pPr>
      <w:r>
        <w:rPr>
          <w:rFonts w:ascii="Arial" w:cs="Arial" w:eastAsia="Arial" w:hAnsi="Arial"/>
          <w:sz w:val="20"/>
          <w:szCs w:val="20"/>
          <w:color w:val="auto"/>
        </w:rPr>
        <w:t>Citizenship or Place of Organization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100" w:type="dxa"/>
            <w:vAlign w:val="bottom"/>
          </w:tcPr>
          <w:p>
            <w:pPr>
              <w:spacing w:after="0"/>
              <w:rPr>
                <w:sz w:val="20"/>
                <w:szCs w:val="20"/>
                <w:color w:val="auto"/>
              </w:rPr>
            </w:pPr>
            <w:r>
              <w:rPr>
                <w:rFonts w:ascii="Arial" w:cs="Arial" w:eastAsia="Arial" w:hAnsi="Arial"/>
                <w:sz w:val="20"/>
                <w:szCs w:val="20"/>
                <w:color w:val="auto"/>
              </w:rPr>
              <w:t>Cayman Islands</w:t>
            </w:r>
          </w:p>
        </w:tc>
        <w:tc>
          <w:tcPr>
            <w:tcW w:w="116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8"/>
        </w:trPr>
        <w:tc>
          <w:tcPr>
            <w:tcW w:w="2100" w:type="dxa"/>
            <w:vAlign w:val="bottom"/>
          </w:tcPr>
          <w:p>
            <w:pPr>
              <w:spacing w:after="0"/>
              <w:rPr>
                <w:sz w:val="24"/>
                <w:szCs w:val="24"/>
                <w:color w:val="auto"/>
              </w:rPr>
            </w:pPr>
          </w:p>
        </w:tc>
        <w:tc>
          <w:tcPr>
            <w:tcW w:w="1160" w:type="dxa"/>
            <w:vAlign w:val="bottom"/>
          </w:tcPr>
          <w:p>
            <w:pPr>
              <w:jc w:val="right"/>
              <w:ind w:right="541"/>
              <w:spacing w:after="0"/>
              <w:rPr>
                <w:sz w:val="20"/>
                <w:szCs w:val="20"/>
                <w:color w:val="auto"/>
              </w:rPr>
            </w:pPr>
            <w:r>
              <w:rPr>
                <w:rFonts w:ascii="Arial" w:cs="Arial" w:eastAsia="Arial" w:hAnsi="Arial"/>
                <w:sz w:val="20"/>
                <w:szCs w:val="20"/>
                <w:b w:val="1"/>
                <w:bCs w:val="1"/>
                <w:color w:val="auto"/>
              </w:rPr>
              <w:t>5.</w:t>
            </w:r>
          </w:p>
        </w:tc>
        <w:tc>
          <w:tcPr>
            <w:tcW w:w="2700" w:type="dxa"/>
            <w:vAlign w:val="bottom"/>
          </w:tcPr>
          <w:p>
            <w:pPr>
              <w:ind w:left="660"/>
              <w:spacing w:after="0"/>
              <w:rPr>
                <w:sz w:val="20"/>
                <w:szCs w:val="20"/>
                <w:color w:val="auto"/>
              </w:rPr>
            </w:pPr>
            <w:r>
              <w:rPr>
                <w:rFonts w:ascii="Arial" w:cs="Arial" w:eastAsia="Arial" w:hAnsi="Arial"/>
                <w:sz w:val="20"/>
                <w:szCs w:val="20"/>
                <w:color w:val="auto"/>
              </w:rPr>
              <w:t>Sole Voting Power</w:t>
            </w:r>
          </w:p>
        </w:tc>
        <w:tc>
          <w:tcPr>
            <w:tcW w:w="0" w:type="dxa"/>
            <w:vAlign w:val="bottom"/>
          </w:tcPr>
          <w:p>
            <w:pPr>
              <w:spacing w:after="0"/>
              <w:rPr>
                <w:sz w:val="1"/>
                <w:szCs w:val="1"/>
                <w:color w:val="auto"/>
              </w:rPr>
            </w:pPr>
          </w:p>
        </w:tc>
      </w:tr>
      <w:tr>
        <w:trPr>
          <w:trHeight w:val="230"/>
        </w:trPr>
        <w:tc>
          <w:tcPr>
            <w:tcW w:w="2100" w:type="dxa"/>
            <w:vAlign w:val="bottom"/>
          </w:tcPr>
          <w:p>
            <w:pPr>
              <w:jc w:val="center"/>
              <w:ind w:left="261"/>
              <w:spacing w:after="0"/>
              <w:rPr>
                <w:sz w:val="20"/>
                <w:szCs w:val="20"/>
                <w:color w:val="auto"/>
              </w:rPr>
            </w:pPr>
            <w:r>
              <w:rPr>
                <w:rFonts w:ascii="Arial" w:cs="Arial" w:eastAsia="Arial" w:hAnsi="Arial"/>
                <w:sz w:val="20"/>
                <w:szCs w:val="20"/>
                <w:color w:val="auto"/>
                <w:w w:val="92"/>
              </w:rPr>
              <w:t>Number of</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903,859</w:t>
            </w: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81"/>
              </w:rPr>
              <w:t>Shares</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6.</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4"/>
              </w:rPr>
              <w:t>Beneficially</w:t>
            </w:r>
          </w:p>
        </w:tc>
        <w:tc>
          <w:tcPr>
            <w:tcW w:w="1160" w:type="dxa"/>
            <w:vAlign w:val="bottom"/>
            <w:vMerge w:val="continue"/>
          </w:tcPr>
          <w:p>
            <w:pPr>
              <w:spacing w:after="0"/>
              <w:rPr>
                <w:sz w:val="19"/>
                <w:szCs w:val="19"/>
                <w:color w:val="auto"/>
              </w:rPr>
            </w:pPr>
          </w:p>
        </w:tc>
        <w:tc>
          <w:tcPr>
            <w:tcW w:w="2700" w:type="dxa"/>
            <w:vAlign w:val="bottom"/>
          </w:tcPr>
          <w:p>
            <w:pPr>
              <w:ind w:left="660"/>
              <w:spacing w:after="0"/>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0"/>
              </w:rPr>
              <w:t>Owned By</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87"/>
              </w:rPr>
              <w:t>Each</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7.</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2"/>
              </w:rPr>
              <w:t>Reporting</w:t>
            </w:r>
          </w:p>
        </w:tc>
        <w:tc>
          <w:tcPr>
            <w:tcW w:w="1160" w:type="dxa"/>
            <w:vAlign w:val="bottom"/>
            <w:vMerge w:val="continue"/>
          </w:tcPr>
          <w:p>
            <w:pPr>
              <w:spacing w:after="0"/>
              <w:rPr>
                <w:sz w:val="19"/>
                <w:szCs w:val="19"/>
                <w:color w:val="auto"/>
              </w:rPr>
            </w:pPr>
          </w:p>
        </w:tc>
        <w:tc>
          <w:tcPr>
            <w:tcW w:w="2700" w:type="dxa"/>
            <w:vAlign w:val="bottom"/>
          </w:tcPr>
          <w:p>
            <w:pPr>
              <w:ind w:left="660"/>
              <w:spacing w:after="0"/>
              <w:rPr>
                <w:sz w:val="20"/>
                <w:szCs w:val="20"/>
                <w:color w:val="auto"/>
              </w:rPr>
            </w:pPr>
            <w:r>
              <w:rPr>
                <w:rFonts w:ascii="Arial" w:cs="Arial" w:eastAsia="Arial" w:hAnsi="Arial"/>
                <w:sz w:val="20"/>
                <w:szCs w:val="20"/>
                <w:color w:val="auto"/>
                <w:w w:val="98"/>
              </w:rPr>
              <w:t>Sole Dispositive Power</w:t>
            </w:r>
          </w:p>
        </w:tc>
        <w:tc>
          <w:tcPr>
            <w:tcW w:w="0" w:type="dxa"/>
            <w:vAlign w:val="bottom"/>
          </w:tcPr>
          <w:p>
            <w:pPr>
              <w:spacing w:after="0"/>
              <w:rPr>
                <w:sz w:val="1"/>
                <w:szCs w:val="1"/>
                <w:color w:val="auto"/>
              </w:rPr>
            </w:pPr>
          </w:p>
        </w:tc>
      </w:tr>
      <w:tr>
        <w:trPr>
          <w:trHeight w:val="230"/>
        </w:trPr>
        <w:tc>
          <w:tcPr>
            <w:tcW w:w="2100" w:type="dxa"/>
            <w:vAlign w:val="bottom"/>
          </w:tcPr>
          <w:p>
            <w:pPr>
              <w:jc w:val="center"/>
              <w:ind w:left="261"/>
              <w:spacing w:after="0"/>
              <w:rPr>
                <w:sz w:val="20"/>
                <w:szCs w:val="20"/>
                <w:color w:val="auto"/>
              </w:rPr>
            </w:pPr>
            <w:r>
              <w:rPr>
                <w:rFonts w:ascii="Arial" w:cs="Arial" w:eastAsia="Arial" w:hAnsi="Arial"/>
                <w:sz w:val="20"/>
                <w:szCs w:val="20"/>
                <w:color w:val="auto"/>
                <w:w w:val="85"/>
              </w:rPr>
              <w:t>Person</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903,859</w:t>
            </w:r>
          </w:p>
        </w:tc>
        <w:tc>
          <w:tcPr>
            <w:tcW w:w="0" w:type="dxa"/>
            <w:vAlign w:val="bottom"/>
          </w:tcPr>
          <w:p>
            <w:pPr>
              <w:spacing w:after="0"/>
              <w:rPr>
                <w:sz w:val="1"/>
                <w:szCs w:val="1"/>
                <w:color w:val="auto"/>
              </w:rPr>
            </w:pPr>
          </w:p>
        </w:tc>
      </w:tr>
      <w:tr>
        <w:trPr>
          <w:trHeight w:val="25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9"/>
              </w:rPr>
              <w:t>With</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8.</w:t>
            </w:r>
          </w:p>
        </w:tc>
        <w:tc>
          <w:tcPr>
            <w:tcW w:w="2700" w:type="dxa"/>
            <w:vAlign w:val="bottom"/>
            <w:vMerge w:val="restart"/>
          </w:tcPr>
          <w:p>
            <w:pPr>
              <w:ind w:left="660"/>
              <w:spacing w:after="0"/>
              <w:rPr>
                <w:sz w:val="20"/>
                <w:szCs w:val="20"/>
                <w:color w:val="auto"/>
              </w:rPr>
            </w:pPr>
            <w:r>
              <w:rPr>
                <w:rFonts w:ascii="Arial" w:cs="Arial" w:eastAsia="Arial" w:hAnsi="Arial"/>
                <w:sz w:val="20"/>
                <w:szCs w:val="20"/>
                <w:color w:val="auto"/>
                <w:w w:val="88"/>
              </w:rPr>
              <w:t>Shared Dispositive Power</w:t>
            </w:r>
          </w:p>
        </w:tc>
        <w:tc>
          <w:tcPr>
            <w:tcW w:w="0" w:type="dxa"/>
            <w:vAlign w:val="bottom"/>
          </w:tcPr>
          <w:p>
            <w:pPr>
              <w:spacing w:after="0"/>
              <w:rPr>
                <w:sz w:val="1"/>
                <w:szCs w:val="1"/>
                <w:color w:val="auto"/>
              </w:rPr>
            </w:pPr>
          </w:p>
        </w:tc>
      </w:tr>
      <w:tr>
        <w:trPr>
          <w:trHeight w:val="209"/>
        </w:trPr>
        <w:tc>
          <w:tcPr>
            <w:tcW w:w="2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1040" w:hanging="1032"/>
        <w:spacing w:after="0"/>
        <w:tabs>
          <w:tab w:leader="none" w:pos="1040" w:val="left"/>
        </w:tabs>
        <w:numPr>
          <w:ilvl w:val="0"/>
          <w:numId w:val="23"/>
        </w:numPr>
        <w:rPr>
          <w:rFonts w:ascii="Arial" w:cs="Arial" w:eastAsia="Arial" w:hAnsi="Arial"/>
          <w:sz w:val="20"/>
          <w:szCs w:val="20"/>
          <w:b w:val="1"/>
          <w:bCs w:val="1"/>
          <w:color w:val="auto"/>
        </w:rPr>
      </w:pPr>
      <w:r>
        <w:rPr>
          <w:rFonts w:ascii="Arial" w:cs="Arial" w:eastAsia="Arial" w:hAnsi="Arial"/>
          <w:sz w:val="20"/>
          <w:szCs w:val="20"/>
          <w:color w:val="auto"/>
        </w:rPr>
        <w:t>Aggregate Amount Beneficially Owned by Each Reporting Person</w:t>
      </w:r>
    </w:p>
    <w:p>
      <w:pPr>
        <w:spacing w:after="0" w:line="229"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903,859</w:t>
      </w:r>
    </w:p>
    <w:p>
      <w:pPr>
        <w:spacing w:after="0" w:line="229" w:lineRule="exact"/>
        <w:rPr>
          <w:rFonts w:ascii="Arial" w:cs="Arial" w:eastAsia="Arial" w:hAnsi="Arial"/>
          <w:sz w:val="20"/>
          <w:szCs w:val="20"/>
          <w:b w:val="1"/>
          <w:bCs w:val="1"/>
          <w:color w:val="auto"/>
        </w:rPr>
      </w:pPr>
    </w:p>
    <w:p>
      <w:pPr>
        <w:ind w:left="1040" w:hanging="1032"/>
        <w:spacing w:after="0"/>
        <w:tabs>
          <w:tab w:leader="none" w:pos="1040" w:val="left"/>
        </w:tabs>
        <w:numPr>
          <w:ilvl w:val="0"/>
          <w:numId w:val="23"/>
        </w:numPr>
        <w:rPr>
          <w:rFonts w:ascii="Arial" w:cs="Arial" w:eastAsia="Arial" w:hAnsi="Arial"/>
          <w:sz w:val="20"/>
          <w:szCs w:val="20"/>
          <w:b w:val="1"/>
          <w:bCs w:val="1"/>
          <w:color w:val="auto"/>
        </w:rPr>
      </w:pPr>
      <w:r>
        <w:rPr>
          <w:rFonts w:ascii="Arial" w:cs="Arial" w:eastAsia="Arial" w:hAnsi="Arial"/>
          <w:sz w:val="20"/>
          <w:szCs w:val="20"/>
          <w:color w:val="auto"/>
        </w:rPr>
        <w:t>Check Box If the Aggregate Amount in Row (9) Excludes Certain Shares (See Instructions)</w:t>
      </w:r>
    </w:p>
    <w:p>
      <w:pPr>
        <w:spacing w:after="0" w:line="229"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  ]</w:t>
      </w:r>
    </w:p>
    <w:p>
      <w:pPr>
        <w:spacing w:after="0" w:line="229" w:lineRule="exact"/>
        <w:rPr>
          <w:rFonts w:ascii="Arial" w:cs="Arial" w:eastAsia="Arial" w:hAnsi="Arial"/>
          <w:sz w:val="20"/>
          <w:szCs w:val="20"/>
          <w:b w:val="1"/>
          <w:bCs w:val="1"/>
          <w:color w:val="auto"/>
        </w:rPr>
      </w:pPr>
    </w:p>
    <w:p>
      <w:pPr>
        <w:ind w:left="1040" w:hanging="1032"/>
        <w:spacing w:after="0"/>
        <w:tabs>
          <w:tab w:leader="none" w:pos="1040" w:val="left"/>
        </w:tabs>
        <w:numPr>
          <w:ilvl w:val="0"/>
          <w:numId w:val="23"/>
        </w:numPr>
        <w:rPr>
          <w:rFonts w:ascii="Arial" w:cs="Arial" w:eastAsia="Arial" w:hAnsi="Arial"/>
          <w:sz w:val="20"/>
          <w:szCs w:val="20"/>
          <w:b w:val="1"/>
          <w:bCs w:val="1"/>
          <w:color w:val="auto"/>
        </w:rPr>
      </w:pPr>
      <w:r>
        <w:rPr>
          <w:rFonts w:ascii="Arial" w:cs="Arial" w:eastAsia="Arial" w:hAnsi="Arial"/>
          <w:sz w:val="20"/>
          <w:szCs w:val="20"/>
          <w:color w:val="auto"/>
        </w:rPr>
        <w:t>Percent of Class Represented By Amount in Row (9)</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1.3% (1)</w:t>
      </w:r>
    </w:p>
    <w:p>
      <w:pPr>
        <w:spacing w:after="0" w:line="229" w:lineRule="exact"/>
        <w:rPr>
          <w:sz w:val="20"/>
          <w:szCs w:val="20"/>
          <w:color w:val="auto"/>
        </w:rPr>
      </w:pPr>
    </w:p>
    <w:p>
      <w:pPr>
        <w:ind w:left="1040" w:hanging="1032"/>
        <w:spacing w:after="0"/>
        <w:tabs>
          <w:tab w:leader="none" w:pos="1040" w:val="left"/>
        </w:tabs>
        <w:numPr>
          <w:ilvl w:val="0"/>
          <w:numId w:val="24"/>
        </w:numPr>
        <w:rPr>
          <w:rFonts w:ascii="Arial" w:cs="Arial" w:eastAsia="Arial" w:hAnsi="Arial"/>
          <w:sz w:val="20"/>
          <w:szCs w:val="20"/>
          <w:b w:val="1"/>
          <w:bCs w:val="1"/>
          <w:color w:val="auto"/>
        </w:rPr>
      </w:pPr>
      <w:r>
        <w:rPr>
          <w:rFonts w:ascii="Arial" w:cs="Arial" w:eastAsia="Arial" w:hAnsi="Arial"/>
          <w:sz w:val="20"/>
          <w:szCs w:val="20"/>
          <w:color w:val="auto"/>
        </w:rPr>
        <w:t>Type of Reporting Person (See Instructions)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OO</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w:t>
      </w:r>
    </w:p>
    <w:p>
      <w:pPr>
        <w:spacing w:after="0" w:line="213" w:lineRule="exact"/>
        <w:rPr>
          <w:sz w:val="20"/>
          <w:szCs w:val="20"/>
          <w:color w:val="auto"/>
        </w:rPr>
      </w:pPr>
    </w:p>
    <w:p>
      <w:pPr>
        <w:ind w:left="460" w:hanging="452"/>
        <w:spacing w:after="0" w:line="260" w:lineRule="auto"/>
        <w:tabs>
          <w:tab w:leader="none" w:pos="4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Based on 69,999,954 Ordinary Shares of the Issuer outstanding as of December 13, 2019, as reported in the Issuer's Form 8-K filed with the SEC on December 18,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346" w:right="39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CUSIP NO. G48833118</w:t>
      </w:r>
    </w:p>
    <w:p>
      <w:pPr>
        <w:spacing w:after="0" w:line="235" w:lineRule="exact"/>
        <w:rPr>
          <w:sz w:val="20"/>
          <w:szCs w:val="20"/>
          <w:color w:val="auto"/>
        </w:rPr>
      </w:pPr>
    </w:p>
    <w:p>
      <w:pPr>
        <w:ind w:right="7800" w:firstLine="8"/>
        <w:spacing w:after="0" w:line="476" w:lineRule="auto"/>
        <w:tabs>
          <w:tab w:leader="none" w:pos="1175" w:val="left"/>
        </w:tabs>
        <w:numPr>
          <w:ilvl w:val="0"/>
          <w:numId w:val="26"/>
        </w:numPr>
        <w:rPr>
          <w:rFonts w:ascii="Arial" w:cs="Arial" w:eastAsia="Arial" w:hAnsi="Arial"/>
          <w:sz w:val="20"/>
          <w:szCs w:val="20"/>
          <w:b w:val="1"/>
          <w:bCs w:val="1"/>
          <w:color w:val="auto"/>
        </w:rPr>
      </w:pPr>
      <w:r>
        <w:rPr>
          <w:rFonts w:ascii="Arial" w:cs="Arial" w:eastAsia="Arial" w:hAnsi="Arial"/>
          <w:sz w:val="20"/>
          <w:szCs w:val="20"/>
          <w:color w:val="auto"/>
        </w:rPr>
        <w:t>Names of Reporting Persons The Värde Fund VI-A, L.P.</w:t>
      </w:r>
    </w:p>
    <w:p>
      <w:pPr>
        <w:spacing w:after="0" w:line="6" w:lineRule="exact"/>
        <w:rPr>
          <w:rFonts w:ascii="Arial" w:cs="Arial" w:eastAsia="Arial" w:hAnsi="Arial"/>
          <w:sz w:val="20"/>
          <w:szCs w:val="20"/>
          <w:b w:val="1"/>
          <w:bCs w:val="1"/>
          <w:color w:val="auto"/>
        </w:rPr>
      </w:pPr>
    </w:p>
    <w:p>
      <w:pPr>
        <w:ind w:left="1180" w:hanging="1172"/>
        <w:spacing w:after="0"/>
        <w:tabs>
          <w:tab w:leader="none" w:pos="1180" w:val="left"/>
        </w:tabs>
        <w:numPr>
          <w:ilvl w:val="0"/>
          <w:numId w:val="26"/>
        </w:numPr>
        <w:rPr>
          <w:rFonts w:ascii="Arial" w:cs="Arial" w:eastAsia="Arial" w:hAnsi="Arial"/>
          <w:sz w:val="20"/>
          <w:szCs w:val="20"/>
          <w:b w:val="1"/>
          <w:bCs w:val="1"/>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b w:val="1"/>
          <w:bCs w:val="1"/>
          <w:color w:val="auto"/>
        </w:rPr>
      </w:pPr>
    </w:p>
    <w:p>
      <w:pPr>
        <w:ind w:left="2960" w:hanging="187"/>
        <w:spacing w:after="0"/>
        <w:tabs>
          <w:tab w:leader="none" w:pos="2960" w:val="left"/>
        </w:tabs>
        <w:numPr>
          <w:ilvl w:val="1"/>
          <w:numId w:val="26"/>
        </w:numPr>
        <w:rPr>
          <w:rFonts w:ascii="Arial" w:cs="Arial" w:eastAsia="Arial" w:hAnsi="Arial"/>
          <w:sz w:val="20"/>
          <w:szCs w:val="20"/>
          <w:color w:val="auto"/>
        </w:rPr>
      </w:pPr>
      <w:r>
        <w:rPr>
          <w:rFonts w:ascii="Arial" w:cs="Arial" w:eastAsia="Arial" w:hAnsi="Arial"/>
          <w:sz w:val="20"/>
          <w:szCs w:val="20"/>
          <w:color w:val="auto"/>
        </w:rPr>
        <w:t>[  ]</w:t>
      </w:r>
    </w:p>
    <w:p>
      <w:pPr>
        <w:spacing w:after="0" w:line="229" w:lineRule="exact"/>
        <w:rPr>
          <w:rFonts w:ascii="Arial" w:cs="Arial" w:eastAsia="Arial" w:hAnsi="Arial"/>
          <w:sz w:val="20"/>
          <w:szCs w:val="20"/>
          <w:color w:val="auto"/>
        </w:rPr>
      </w:pPr>
    </w:p>
    <w:p>
      <w:pPr>
        <w:ind w:left="2960" w:hanging="190"/>
        <w:spacing w:after="0"/>
        <w:tabs>
          <w:tab w:leader="none" w:pos="2960" w:val="left"/>
        </w:tabs>
        <w:numPr>
          <w:ilvl w:val="1"/>
          <w:numId w:val="26"/>
        </w:numPr>
        <w:rPr>
          <w:rFonts w:ascii="Arial" w:cs="Arial" w:eastAsia="Arial" w:hAnsi="Arial"/>
          <w:sz w:val="20"/>
          <w:szCs w:val="20"/>
          <w:color w:val="auto"/>
        </w:rPr>
      </w:pPr>
      <w:r>
        <w:rPr>
          <w:rFonts w:ascii="Arial" w:cs="Arial" w:eastAsia="Arial" w:hAnsi="Arial"/>
          <w:sz w:val="20"/>
          <w:szCs w:val="20"/>
          <w:color w:val="auto"/>
        </w:rPr>
        <w:t>[X]</w:t>
      </w:r>
    </w:p>
    <w:p>
      <w:pPr>
        <w:spacing w:after="0" w:line="229" w:lineRule="exact"/>
        <w:rPr>
          <w:rFonts w:ascii="Arial" w:cs="Arial" w:eastAsia="Arial" w:hAnsi="Arial"/>
          <w:sz w:val="20"/>
          <w:szCs w:val="20"/>
          <w:color w:val="auto"/>
        </w:rPr>
      </w:pPr>
    </w:p>
    <w:p>
      <w:pPr>
        <w:ind w:left="1180" w:hanging="1172"/>
        <w:spacing w:after="0"/>
        <w:tabs>
          <w:tab w:leader="none" w:pos="1180" w:val="left"/>
        </w:tabs>
        <w:numPr>
          <w:ilvl w:val="0"/>
          <w:numId w:val="26"/>
        </w:numPr>
        <w:rPr>
          <w:rFonts w:ascii="Arial" w:cs="Arial" w:eastAsia="Arial" w:hAnsi="Arial"/>
          <w:sz w:val="20"/>
          <w:szCs w:val="20"/>
          <w:b w:val="1"/>
          <w:bCs w:val="1"/>
          <w:color w:val="auto"/>
        </w:rPr>
      </w:pPr>
      <w:r>
        <w:rPr>
          <w:rFonts w:ascii="Arial" w:cs="Arial" w:eastAsia="Arial" w:hAnsi="Arial"/>
          <w:sz w:val="20"/>
          <w:szCs w:val="20"/>
          <w:color w:val="auto"/>
        </w:rPr>
        <w:t>SEC Use Only</w:t>
      </w:r>
    </w:p>
    <w:p>
      <w:pPr>
        <w:spacing w:after="0" w:line="229" w:lineRule="exact"/>
        <w:rPr>
          <w:rFonts w:ascii="Arial" w:cs="Arial" w:eastAsia="Arial" w:hAnsi="Arial"/>
          <w:sz w:val="20"/>
          <w:szCs w:val="20"/>
          <w:b w:val="1"/>
          <w:bCs w:val="1"/>
          <w:color w:val="auto"/>
        </w:rPr>
      </w:pPr>
    </w:p>
    <w:p>
      <w:pPr>
        <w:ind w:left="1180" w:hanging="1172"/>
        <w:spacing w:after="0"/>
        <w:tabs>
          <w:tab w:leader="none" w:pos="1180" w:val="left"/>
        </w:tabs>
        <w:numPr>
          <w:ilvl w:val="0"/>
          <w:numId w:val="26"/>
        </w:numPr>
        <w:rPr>
          <w:rFonts w:ascii="Arial" w:cs="Arial" w:eastAsia="Arial" w:hAnsi="Arial"/>
          <w:sz w:val="20"/>
          <w:szCs w:val="20"/>
          <w:b w:val="1"/>
          <w:bCs w:val="1"/>
          <w:color w:val="auto"/>
        </w:rPr>
      </w:pPr>
      <w:r>
        <w:rPr>
          <w:rFonts w:ascii="Arial" w:cs="Arial" w:eastAsia="Arial" w:hAnsi="Arial"/>
          <w:sz w:val="20"/>
          <w:szCs w:val="20"/>
          <w:color w:val="auto"/>
        </w:rPr>
        <w:t>Citizenship or Place of Organization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100" w:type="dxa"/>
            <w:vAlign w:val="bottom"/>
          </w:tcPr>
          <w:p>
            <w:pPr>
              <w:spacing w:after="0"/>
              <w:rPr>
                <w:sz w:val="20"/>
                <w:szCs w:val="20"/>
                <w:color w:val="auto"/>
              </w:rPr>
            </w:pPr>
            <w:r>
              <w:rPr>
                <w:rFonts w:ascii="Arial" w:cs="Arial" w:eastAsia="Arial" w:hAnsi="Arial"/>
                <w:sz w:val="20"/>
                <w:szCs w:val="20"/>
                <w:color w:val="auto"/>
              </w:rPr>
              <w:t>Delaware</w:t>
            </w:r>
          </w:p>
        </w:tc>
        <w:tc>
          <w:tcPr>
            <w:tcW w:w="116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8"/>
        </w:trPr>
        <w:tc>
          <w:tcPr>
            <w:tcW w:w="2100" w:type="dxa"/>
            <w:vAlign w:val="bottom"/>
          </w:tcPr>
          <w:p>
            <w:pPr>
              <w:spacing w:after="0"/>
              <w:rPr>
                <w:sz w:val="24"/>
                <w:szCs w:val="24"/>
                <w:color w:val="auto"/>
              </w:rPr>
            </w:pPr>
          </w:p>
        </w:tc>
        <w:tc>
          <w:tcPr>
            <w:tcW w:w="1160" w:type="dxa"/>
            <w:vAlign w:val="bottom"/>
          </w:tcPr>
          <w:p>
            <w:pPr>
              <w:jc w:val="right"/>
              <w:ind w:right="541"/>
              <w:spacing w:after="0"/>
              <w:rPr>
                <w:sz w:val="20"/>
                <w:szCs w:val="20"/>
                <w:color w:val="auto"/>
              </w:rPr>
            </w:pPr>
            <w:r>
              <w:rPr>
                <w:rFonts w:ascii="Arial" w:cs="Arial" w:eastAsia="Arial" w:hAnsi="Arial"/>
                <w:sz w:val="20"/>
                <w:szCs w:val="20"/>
                <w:b w:val="1"/>
                <w:bCs w:val="1"/>
                <w:color w:val="auto"/>
              </w:rPr>
              <w:t>5.</w:t>
            </w:r>
          </w:p>
        </w:tc>
        <w:tc>
          <w:tcPr>
            <w:tcW w:w="2700" w:type="dxa"/>
            <w:vAlign w:val="bottom"/>
          </w:tcPr>
          <w:p>
            <w:pPr>
              <w:ind w:left="660"/>
              <w:spacing w:after="0"/>
              <w:rPr>
                <w:sz w:val="20"/>
                <w:szCs w:val="20"/>
                <w:color w:val="auto"/>
              </w:rPr>
            </w:pPr>
            <w:r>
              <w:rPr>
                <w:rFonts w:ascii="Arial" w:cs="Arial" w:eastAsia="Arial" w:hAnsi="Arial"/>
                <w:sz w:val="20"/>
                <w:szCs w:val="20"/>
                <w:color w:val="auto"/>
              </w:rPr>
              <w:t>Sole Voting Power</w:t>
            </w:r>
          </w:p>
        </w:tc>
        <w:tc>
          <w:tcPr>
            <w:tcW w:w="0" w:type="dxa"/>
            <w:vAlign w:val="bottom"/>
          </w:tcPr>
          <w:p>
            <w:pPr>
              <w:spacing w:after="0"/>
              <w:rPr>
                <w:sz w:val="1"/>
                <w:szCs w:val="1"/>
                <w:color w:val="auto"/>
              </w:rPr>
            </w:pPr>
          </w:p>
        </w:tc>
      </w:tr>
      <w:tr>
        <w:trPr>
          <w:trHeight w:val="230"/>
        </w:trPr>
        <w:tc>
          <w:tcPr>
            <w:tcW w:w="2100" w:type="dxa"/>
            <w:vAlign w:val="bottom"/>
          </w:tcPr>
          <w:p>
            <w:pPr>
              <w:jc w:val="center"/>
              <w:ind w:left="261"/>
              <w:spacing w:after="0"/>
              <w:rPr>
                <w:sz w:val="20"/>
                <w:szCs w:val="20"/>
                <w:color w:val="auto"/>
              </w:rPr>
            </w:pPr>
            <w:r>
              <w:rPr>
                <w:rFonts w:ascii="Arial" w:cs="Arial" w:eastAsia="Arial" w:hAnsi="Arial"/>
                <w:sz w:val="20"/>
                <w:szCs w:val="20"/>
                <w:color w:val="auto"/>
                <w:w w:val="92"/>
              </w:rPr>
              <w:t>Number of</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252,770</w:t>
            </w: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81"/>
              </w:rPr>
              <w:t>Shares</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6.</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4"/>
              </w:rPr>
              <w:t>Beneficially</w:t>
            </w:r>
          </w:p>
        </w:tc>
        <w:tc>
          <w:tcPr>
            <w:tcW w:w="1160" w:type="dxa"/>
            <w:vAlign w:val="bottom"/>
            <w:vMerge w:val="continue"/>
          </w:tcPr>
          <w:p>
            <w:pPr>
              <w:spacing w:after="0"/>
              <w:rPr>
                <w:sz w:val="19"/>
                <w:szCs w:val="19"/>
                <w:color w:val="auto"/>
              </w:rPr>
            </w:pPr>
          </w:p>
        </w:tc>
        <w:tc>
          <w:tcPr>
            <w:tcW w:w="2700" w:type="dxa"/>
            <w:vAlign w:val="bottom"/>
          </w:tcPr>
          <w:p>
            <w:pPr>
              <w:ind w:left="660"/>
              <w:spacing w:after="0"/>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0"/>
              </w:rPr>
              <w:t>Owned By</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87"/>
              </w:rPr>
              <w:t>Each</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7.</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2"/>
              </w:rPr>
              <w:t>Reporting</w:t>
            </w:r>
          </w:p>
        </w:tc>
        <w:tc>
          <w:tcPr>
            <w:tcW w:w="1160" w:type="dxa"/>
            <w:vAlign w:val="bottom"/>
            <w:vMerge w:val="continue"/>
          </w:tcPr>
          <w:p>
            <w:pPr>
              <w:spacing w:after="0"/>
              <w:rPr>
                <w:sz w:val="19"/>
                <w:szCs w:val="19"/>
                <w:color w:val="auto"/>
              </w:rPr>
            </w:pPr>
          </w:p>
        </w:tc>
        <w:tc>
          <w:tcPr>
            <w:tcW w:w="2700" w:type="dxa"/>
            <w:vAlign w:val="bottom"/>
          </w:tcPr>
          <w:p>
            <w:pPr>
              <w:ind w:left="660"/>
              <w:spacing w:after="0"/>
              <w:rPr>
                <w:sz w:val="20"/>
                <w:szCs w:val="20"/>
                <w:color w:val="auto"/>
              </w:rPr>
            </w:pPr>
            <w:r>
              <w:rPr>
                <w:rFonts w:ascii="Arial" w:cs="Arial" w:eastAsia="Arial" w:hAnsi="Arial"/>
                <w:sz w:val="20"/>
                <w:szCs w:val="20"/>
                <w:color w:val="auto"/>
                <w:w w:val="98"/>
              </w:rPr>
              <w:t>Sole Dispositive Power</w:t>
            </w:r>
          </w:p>
        </w:tc>
        <w:tc>
          <w:tcPr>
            <w:tcW w:w="0" w:type="dxa"/>
            <w:vAlign w:val="bottom"/>
          </w:tcPr>
          <w:p>
            <w:pPr>
              <w:spacing w:after="0"/>
              <w:rPr>
                <w:sz w:val="1"/>
                <w:szCs w:val="1"/>
                <w:color w:val="auto"/>
              </w:rPr>
            </w:pPr>
          </w:p>
        </w:tc>
      </w:tr>
      <w:tr>
        <w:trPr>
          <w:trHeight w:val="230"/>
        </w:trPr>
        <w:tc>
          <w:tcPr>
            <w:tcW w:w="2100" w:type="dxa"/>
            <w:vAlign w:val="bottom"/>
          </w:tcPr>
          <w:p>
            <w:pPr>
              <w:jc w:val="center"/>
              <w:ind w:left="261"/>
              <w:spacing w:after="0"/>
              <w:rPr>
                <w:sz w:val="20"/>
                <w:szCs w:val="20"/>
                <w:color w:val="auto"/>
              </w:rPr>
            </w:pPr>
            <w:r>
              <w:rPr>
                <w:rFonts w:ascii="Arial" w:cs="Arial" w:eastAsia="Arial" w:hAnsi="Arial"/>
                <w:sz w:val="20"/>
                <w:szCs w:val="20"/>
                <w:color w:val="auto"/>
                <w:w w:val="85"/>
              </w:rPr>
              <w:t>Person</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252,770</w:t>
            </w:r>
          </w:p>
        </w:tc>
        <w:tc>
          <w:tcPr>
            <w:tcW w:w="0" w:type="dxa"/>
            <w:vAlign w:val="bottom"/>
          </w:tcPr>
          <w:p>
            <w:pPr>
              <w:spacing w:after="0"/>
              <w:rPr>
                <w:sz w:val="1"/>
                <w:szCs w:val="1"/>
                <w:color w:val="auto"/>
              </w:rPr>
            </w:pPr>
          </w:p>
        </w:tc>
      </w:tr>
      <w:tr>
        <w:trPr>
          <w:trHeight w:val="25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9"/>
              </w:rPr>
              <w:t>With</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8.</w:t>
            </w:r>
          </w:p>
        </w:tc>
        <w:tc>
          <w:tcPr>
            <w:tcW w:w="2700" w:type="dxa"/>
            <w:vAlign w:val="bottom"/>
            <w:vMerge w:val="restart"/>
          </w:tcPr>
          <w:p>
            <w:pPr>
              <w:ind w:left="660"/>
              <w:spacing w:after="0"/>
              <w:rPr>
                <w:sz w:val="20"/>
                <w:szCs w:val="20"/>
                <w:color w:val="auto"/>
              </w:rPr>
            </w:pPr>
            <w:r>
              <w:rPr>
                <w:rFonts w:ascii="Arial" w:cs="Arial" w:eastAsia="Arial" w:hAnsi="Arial"/>
                <w:sz w:val="20"/>
                <w:szCs w:val="20"/>
                <w:color w:val="auto"/>
                <w:w w:val="88"/>
              </w:rPr>
              <w:t>Shared Dispositive Power</w:t>
            </w:r>
          </w:p>
        </w:tc>
        <w:tc>
          <w:tcPr>
            <w:tcW w:w="0" w:type="dxa"/>
            <w:vAlign w:val="bottom"/>
          </w:tcPr>
          <w:p>
            <w:pPr>
              <w:spacing w:after="0"/>
              <w:rPr>
                <w:sz w:val="1"/>
                <w:szCs w:val="1"/>
                <w:color w:val="auto"/>
              </w:rPr>
            </w:pPr>
          </w:p>
        </w:tc>
      </w:tr>
      <w:tr>
        <w:trPr>
          <w:trHeight w:val="209"/>
        </w:trPr>
        <w:tc>
          <w:tcPr>
            <w:tcW w:w="2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1040" w:hanging="1032"/>
        <w:spacing w:after="0"/>
        <w:tabs>
          <w:tab w:leader="none" w:pos="1040" w:val="left"/>
        </w:tabs>
        <w:numPr>
          <w:ilvl w:val="0"/>
          <w:numId w:val="27"/>
        </w:numPr>
        <w:rPr>
          <w:rFonts w:ascii="Arial" w:cs="Arial" w:eastAsia="Arial" w:hAnsi="Arial"/>
          <w:sz w:val="20"/>
          <w:szCs w:val="20"/>
          <w:b w:val="1"/>
          <w:bCs w:val="1"/>
          <w:color w:val="auto"/>
        </w:rPr>
      </w:pPr>
      <w:r>
        <w:rPr>
          <w:rFonts w:ascii="Arial" w:cs="Arial" w:eastAsia="Arial" w:hAnsi="Arial"/>
          <w:sz w:val="20"/>
          <w:szCs w:val="20"/>
          <w:color w:val="auto"/>
        </w:rPr>
        <w:t>Aggregate Amount Beneficially Owned by Each Reporting Person</w:t>
      </w:r>
    </w:p>
    <w:p>
      <w:pPr>
        <w:spacing w:after="0" w:line="229"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252,770</w:t>
      </w:r>
    </w:p>
    <w:p>
      <w:pPr>
        <w:spacing w:after="0" w:line="229" w:lineRule="exact"/>
        <w:rPr>
          <w:rFonts w:ascii="Arial" w:cs="Arial" w:eastAsia="Arial" w:hAnsi="Arial"/>
          <w:sz w:val="20"/>
          <w:szCs w:val="20"/>
          <w:b w:val="1"/>
          <w:bCs w:val="1"/>
          <w:color w:val="auto"/>
        </w:rPr>
      </w:pPr>
    </w:p>
    <w:p>
      <w:pPr>
        <w:ind w:left="1040" w:hanging="1032"/>
        <w:spacing w:after="0"/>
        <w:tabs>
          <w:tab w:leader="none" w:pos="1040" w:val="left"/>
        </w:tabs>
        <w:numPr>
          <w:ilvl w:val="0"/>
          <w:numId w:val="27"/>
        </w:numPr>
        <w:rPr>
          <w:rFonts w:ascii="Arial" w:cs="Arial" w:eastAsia="Arial" w:hAnsi="Arial"/>
          <w:sz w:val="20"/>
          <w:szCs w:val="20"/>
          <w:b w:val="1"/>
          <w:bCs w:val="1"/>
          <w:color w:val="auto"/>
        </w:rPr>
      </w:pPr>
      <w:r>
        <w:rPr>
          <w:rFonts w:ascii="Arial" w:cs="Arial" w:eastAsia="Arial" w:hAnsi="Arial"/>
          <w:sz w:val="20"/>
          <w:szCs w:val="20"/>
          <w:color w:val="auto"/>
        </w:rPr>
        <w:t>Check Box If the Aggregate Amount in Row (9) Excludes Certain Shares (See Instructions)</w:t>
      </w:r>
    </w:p>
    <w:p>
      <w:pPr>
        <w:spacing w:after="0" w:line="229"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  ]</w:t>
      </w:r>
    </w:p>
    <w:p>
      <w:pPr>
        <w:spacing w:after="0" w:line="229" w:lineRule="exact"/>
        <w:rPr>
          <w:rFonts w:ascii="Arial" w:cs="Arial" w:eastAsia="Arial" w:hAnsi="Arial"/>
          <w:sz w:val="20"/>
          <w:szCs w:val="20"/>
          <w:b w:val="1"/>
          <w:bCs w:val="1"/>
          <w:color w:val="auto"/>
        </w:rPr>
      </w:pPr>
    </w:p>
    <w:p>
      <w:pPr>
        <w:ind w:left="1040" w:hanging="1032"/>
        <w:spacing w:after="0"/>
        <w:tabs>
          <w:tab w:leader="none" w:pos="1040" w:val="left"/>
        </w:tabs>
        <w:numPr>
          <w:ilvl w:val="0"/>
          <w:numId w:val="27"/>
        </w:numPr>
        <w:rPr>
          <w:rFonts w:ascii="Arial" w:cs="Arial" w:eastAsia="Arial" w:hAnsi="Arial"/>
          <w:sz w:val="20"/>
          <w:szCs w:val="20"/>
          <w:b w:val="1"/>
          <w:bCs w:val="1"/>
          <w:color w:val="auto"/>
        </w:rPr>
      </w:pPr>
      <w:r>
        <w:rPr>
          <w:rFonts w:ascii="Arial" w:cs="Arial" w:eastAsia="Arial" w:hAnsi="Arial"/>
          <w:sz w:val="20"/>
          <w:szCs w:val="20"/>
          <w:color w:val="auto"/>
        </w:rPr>
        <w:t>Percent of Class Represented By Amount in Row (9)</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0.4% (1)</w:t>
      </w:r>
    </w:p>
    <w:p>
      <w:pPr>
        <w:spacing w:after="0" w:line="229" w:lineRule="exact"/>
        <w:rPr>
          <w:sz w:val="20"/>
          <w:szCs w:val="20"/>
          <w:color w:val="auto"/>
        </w:rPr>
      </w:pPr>
    </w:p>
    <w:p>
      <w:pPr>
        <w:ind w:left="1040" w:hanging="1032"/>
        <w:spacing w:after="0"/>
        <w:tabs>
          <w:tab w:leader="none" w:pos="1040" w:val="left"/>
        </w:tabs>
        <w:numPr>
          <w:ilvl w:val="0"/>
          <w:numId w:val="28"/>
        </w:numPr>
        <w:rPr>
          <w:rFonts w:ascii="Arial" w:cs="Arial" w:eastAsia="Arial" w:hAnsi="Arial"/>
          <w:sz w:val="20"/>
          <w:szCs w:val="20"/>
          <w:b w:val="1"/>
          <w:bCs w:val="1"/>
          <w:color w:val="auto"/>
        </w:rPr>
      </w:pPr>
      <w:r>
        <w:rPr>
          <w:rFonts w:ascii="Arial" w:cs="Arial" w:eastAsia="Arial" w:hAnsi="Arial"/>
          <w:sz w:val="20"/>
          <w:szCs w:val="20"/>
          <w:color w:val="auto"/>
        </w:rPr>
        <w:t>Type of Reporting Person (See Instructions)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PN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w:t>
      </w:r>
    </w:p>
    <w:p>
      <w:pPr>
        <w:spacing w:after="0" w:line="213" w:lineRule="exact"/>
        <w:rPr>
          <w:sz w:val="20"/>
          <w:szCs w:val="20"/>
          <w:color w:val="auto"/>
        </w:rPr>
      </w:pPr>
    </w:p>
    <w:p>
      <w:pPr>
        <w:ind w:left="460" w:hanging="452"/>
        <w:spacing w:after="0" w:line="260" w:lineRule="auto"/>
        <w:tabs>
          <w:tab w:leader="none" w:pos="4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Based on 69,999,954 Ordinary Shares of the Issuer outstanding as of December 13, 2019, as reported in the Issuer's Form 8-K filed with the SEC on December 18,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346" w:right="39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CUSIP NO. G48833118</w:t>
      </w:r>
    </w:p>
    <w:p>
      <w:pPr>
        <w:spacing w:after="0" w:line="235" w:lineRule="exact"/>
        <w:rPr>
          <w:sz w:val="20"/>
          <w:szCs w:val="20"/>
          <w:color w:val="auto"/>
        </w:rPr>
      </w:pPr>
    </w:p>
    <w:p>
      <w:pPr>
        <w:ind w:left="1180" w:hanging="1172"/>
        <w:spacing w:after="0"/>
        <w:tabs>
          <w:tab w:leader="none" w:pos="1180" w:val="left"/>
        </w:tabs>
        <w:numPr>
          <w:ilvl w:val="0"/>
          <w:numId w:val="30"/>
        </w:numPr>
        <w:rPr>
          <w:rFonts w:ascii="Arial" w:cs="Arial" w:eastAsia="Arial" w:hAnsi="Arial"/>
          <w:sz w:val="20"/>
          <w:szCs w:val="20"/>
          <w:b w:val="1"/>
          <w:bCs w:val="1"/>
          <w:color w:val="auto"/>
        </w:rPr>
      </w:pPr>
      <w:r>
        <w:rPr>
          <w:rFonts w:ascii="Arial" w:cs="Arial" w:eastAsia="Arial" w:hAnsi="Arial"/>
          <w:sz w:val="20"/>
          <w:szCs w:val="20"/>
          <w:color w:val="auto"/>
        </w:rPr>
        <w:t>Names of Reporting Persons</w:t>
      </w:r>
    </w:p>
    <w:p>
      <w:pPr>
        <w:spacing w:after="0" w:line="229"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Värde Investment Partners G.P., L.P.</w:t>
      </w:r>
    </w:p>
    <w:p>
      <w:pPr>
        <w:spacing w:after="0" w:line="229" w:lineRule="exact"/>
        <w:rPr>
          <w:rFonts w:ascii="Arial" w:cs="Arial" w:eastAsia="Arial" w:hAnsi="Arial"/>
          <w:sz w:val="20"/>
          <w:szCs w:val="20"/>
          <w:b w:val="1"/>
          <w:bCs w:val="1"/>
          <w:color w:val="auto"/>
        </w:rPr>
      </w:pPr>
    </w:p>
    <w:p>
      <w:pPr>
        <w:ind w:left="2780" w:right="4500" w:hanging="2772"/>
        <w:spacing w:after="0" w:line="479" w:lineRule="auto"/>
        <w:tabs>
          <w:tab w:leader="none" w:pos="1190" w:val="left"/>
        </w:tabs>
        <w:numPr>
          <w:ilvl w:val="0"/>
          <w:numId w:val="30"/>
        </w:numPr>
        <w:rPr>
          <w:rFonts w:ascii="Arial" w:cs="Arial" w:eastAsia="Arial" w:hAnsi="Arial"/>
          <w:sz w:val="20"/>
          <w:szCs w:val="20"/>
          <w:b w:val="1"/>
          <w:bCs w:val="1"/>
          <w:color w:val="auto"/>
        </w:rPr>
      </w:pPr>
      <w:r>
        <w:rPr>
          <w:rFonts w:ascii="Arial" w:cs="Arial" w:eastAsia="Arial" w:hAnsi="Arial"/>
          <w:sz w:val="20"/>
          <w:szCs w:val="20"/>
          <w:color w:val="auto"/>
        </w:rPr>
        <w:t>Check the Appropriate Box If a Member of a Group (See Instructions) a. [ ]</w:t>
      </w:r>
    </w:p>
    <w:p>
      <w:pPr>
        <w:ind w:left="2780"/>
        <w:spacing w:after="0"/>
        <w:rPr>
          <w:rFonts w:ascii="Arial" w:cs="Arial" w:eastAsia="Arial" w:hAnsi="Arial"/>
          <w:sz w:val="20"/>
          <w:szCs w:val="20"/>
          <w:b w:val="1"/>
          <w:bCs w:val="1"/>
          <w:color w:val="auto"/>
        </w:rPr>
      </w:pPr>
      <w:r>
        <w:rPr>
          <w:rFonts w:ascii="Arial" w:cs="Arial" w:eastAsia="Arial" w:hAnsi="Arial"/>
          <w:sz w:val="20"/>
          <w:szCs w:val="20"/>
          <w:color w:val="auto"/>
        </w:rPr>
        <w:t>a. [X]</w:t>
      </w:r>
    </w:p>
    <w:p>
      <w:pPr>
        <w:spacing w:after="0" w:line="229" w:lineRule="exact"/>
        <w:rPr>
          <w:rFonts w:ascii="Arial" w:cs="Arial" w:eastAsia="Arial" w:hAnsi="Arial"/>
          <w:sz w:val="20"/>
          <w:szCs w:val="20"/>
          <w:b w:val="1"/>
          <w:bCs w:val="1"/>
          <w:color w:val="auto"/>
        </w:rPr>
      </w:pPr>
    </w:p>
    <w:p>
      <w:pPr>
        <w:ind w:left="1180" w:hanging="1172"/>
        <w:spacing w:after="0"/>
        <w:tabs>
          <w:tab w:leader="none" w:pos="1180" w:val="left"/>
        </w:tabs>
        <w:numPr>
          <w:ilvl w:val="0"/>
          <w:numId w:val="30"/>
        </w:numPr>
        <w:rPr>
          <w:rFonts w:ascii="Arial" w:cs="Arial" w:eastAsia="Arial" w:hAnsi="Arial"/>
          <w:sz w:val="20"/>
          <w:szCs w:val="20"/>
          <w:b w:val="1"/>
          <w:bCs w:val="1"/>
          <w:color w:val="auto"/>
        </w:rPr>
      </w:pPr>
      <w:r>
        <w:rPr>
          <w:rFonts w:ascii="Arial" w:cs="Arial" w:eastAsia="Arial" w:hAnsi="Arial"/>
          <w:sz w:val="20"/>
          <w:szCs w:val="20"/>
          <w:color w:val="auto"/>
        </w:rPr>
        <w:t>SEC Use Only</w:t>
      </w:r>
    </w:p>
    <w:p>
      <w:pPr>
        <w:spacing w:after="0" w:line="229" w:lineRule="exact"/>
        <w:rPr>
          <w:rFonts w:ascii="Arial" w:cs="Arial" w:eastAsia="Arial" w:hAnsi="Arial"/>
          <w:sz w:val="20"/>
          <w:szCs w:val="20"/>
          <w:b w:val="1"/>
          <w:bCs w:val="1"/>
          <w:color w:val="auto"/>
        </w:rPr>
      </w:pPr>
    </w:p>
    <w:p>
      <w:pPr>
        <w:ind w:left="1180" w:hanging="1172"/>
        <w:spacing w:after="0"/>
        <w:tabs>
          <w:tab w:leader="none" w:pos="1180" w:val="left"/>
        </w:tabs>
        <w:numPr>
          <w:ilvl w:val="0"/>
          <w:numId w:val="30"/>
        </w:numPr>
        <w:rPr>
          <w:rFonts w:ascii="Arial" w:cs="Arial" w:eastAsia="Arial" w:hAnsi="Arial"/>
          <w:sz w:val="20"/>
          <w:szCs w:val="20"/>
          <w:b w:val="1"/>
          <w:bCs w:val="1"/>
          <w:color w:val="auto"/>
        </w:rPr>
      </w:pPr>
      <w:r>
        <w:rPr>
          <w:rFonts w:ascii="Arial" w:cs="Arial" w:eastAsia="Arial" w:hAnsi="Arial"/>
          <w:sz w:val="20"/>
          <w:szCs w:val="20"/>
          <w:color w:val="auto"/>
        </w:rPr>
        <w:t>Citizenship or Place of Organization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100" w:type="dxa"/>
            <w:vAlign w:val="bottom"/>
          </w:tcPr>
          <w:p>
            <w:pPr>
              <w:spacing w:after="0"/>
              <w:rPr>
                <w:sz w:val="20"/>
                <w:szCs w:val="20"/>
                <w:color w:val="auto"/>
              </w:rPr>
            </w:pPr>
            <w:r>
              <w:rPr>
                <w:rFonts w:ascii="Arial" w:cs="Arial" w:eastAsia="Arial" w:hAnsi="Arial"/>
                <w:sz w:val="20"/>
                <w:szCs w:val="20"/>
                <w:color w:val="auto"/>
              </w:rPr>
              <w:t>Delaware</w:t>
            </w:r>
          </w:p>
        </w:tc>
        <w:tc>
          <w:tcPr>
            <w:tcW w:w="116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8"/>
        </w:trPr>
        <w:tc>
          <w:tcPr>
            <w:tcW w:w="2100" w:type="dxa"/>
            <w:vAlign w:val="bottom"/>
          </w:tcPr>
          <w:p>
            <w:pPr>
              <w:spacing w:after="0"/>
              <w:rPr>
                <w:sz w:val="24"/>
                <w:szCs w:val="24"/>
                <w:color w:val="auto"/>
              </w:rPr>
            </w:pPr>
          </w:p>
        </w:tc>
        <w:tc>
          <w:tcPr>
            <w:tcW w:w="1160" w:type="dxa"/>
            <w:vAlign w:val="bottom"/>
          </w:tcPr>
          <w:p>
            <w:pPr>
              <w:jc w:val="right"/>
              <w:ind w:right="541"/>
              <w:spacing w:after="0"/>
              <w:rPr>
                <w:sz w:val="20"/>
                <w:szCs w:val="20"/>
                <w:color w:val="auto"/>
              </w:rPr>
            </w:pPr>
            <w:r>
              <w:rPr>
                <w:rFonts w:ascii="Arial" w:cs="Arial" w:eastAsia="Arial" w:hAnsi="Arial"/>
                <w:sz w:val="20"/>
                <w:szCs w:val="20"/>
                <w:b w:val="1"/>
                <w:bCs w:val="1"/>
                <w:color w:val="auto"/>
              </w:rPr>
              <w:t>5.</w:t>
            </w:r>
          </w:p>
        </w:tc>
        <w:tc>
          <w:tcPr>
            <w:tcW w:w="2700" w:type="dxa"/>
            <w:vAlign w:val="bottom"/>
          </w:tcPr>
          <w:p>
            <w:pPr>
              <w:ind w:left="660"/>
              <w:spacing w:after="0"/>
              <w:rPr>
                <w:sz w:val="20"/>
                <w:szCs w:val="20"/>
                <w:color w:val="auto"/>
              </w:rPr>
            </w:pPr>
            <w:r>
              <w:rPr>
                <w:rFonts w:ascii="Arial" w:cs="Arial" w:eastAsia="Arial" w:hAnsi="Arial"/>
                <w:sz w:val="20"/>
                <w:szCs w:val="20"/>
                <w:color w:val="auto"/>
              </w:rPr>
              <w:t>Sole Voting Power</w:t>
            </w:r>
          </w:p>
        </w:tc>
        <w:tc>
          <w:tcPr>
            <w:tcW w:w="0" w:type="dxa"/>
            <w:vAlign w:val="bottom"/>
          </w:tcPr>
          <w:p>
            <w:pPr>
              <w:spacing w:after="0"/>
              <w:rPr>
                <w:sz w:val="1"/>
                <w:szCs w:val="1"/>
                <w:color w:val="auto"/>
              </w:rPr>
            </w:pPr>
          </w:p>
        </w:tc>
      </w:tr>
      <w:tr>
        <w:trPr>
          <w:trHeight w:val="230"/>
        </w:trPr>
        <w:tc>
          <w:tcPr>
            <w:tcW w:w="2100" w:type="dxa"/>
            <w:vAlign w:val="bottom"/>
          </w:tcPr>
          <w:p>
            <w:pPr>
              <w:jc w:val="center"/>
              <w:ind w:left="261"/>
              <w:spacing w:after="0"/>
              <w:rPr>
                <w:sz w:val="20"/>
                <w:szCs w:val="20"/>
                <w:color w:val="auto"/>
              </w:rPr>
            </w:pPr>
            <w:r>
              <w:rPr>
                <w:rFonts w:ascii="Arial" w:cs="Arial" w:eastAsia="Arial" w:hAnsi="Arial"/>
                <w:sz w:val="20"/>
                <w:szCs w:val="20"/>
                <w:color w:val="auto"/>
                <w:w w:val="92"/>
              </w:rPr>
              <w:t>Number of</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1,902,124</w:t>
            </w: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81"/>
              </w:rPr>
              <w:t>Shares</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6.</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4"/>
              </w:rPr>
              <w:t>Beneficially</w:t>
            </w:r>
          </w:p>
        </w:tc>
        <w:tc>
          <w:tcPr>
            <w:tcW w:w="1160" w:type="dxa"/>
            <w:vAlign w:val="bottom"/>
            <w:vMerge w:val="continue"/>
          </w:tcPr>
          <w:p>
            <w:pPr>
              <w:spacing w:after="0"/>
              <w:rPr>
                <w:sz w:val="19"/>
                <w:szCs w:val="19"/>
                <w:color w:val="auto"/>
              </w:rPr>
            </w:pPr>
          </w:p>
        </w:tc>
        <w:tc>
          <w:tcPr>
            <w:tcW w:w="2700" w:type="dxa"/>
            <w:vAlign w:val="bottom"/>
          </w:tcPr>
          <w:p>
            <w:pPr>
              <w:ind w:left="660"/>
              <w:spacing w:after="0"/>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0"/>
              </w:rPr>
              <w:t>Owned By</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87"/>
              </w:rPr>
              <w:t>Each</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7.</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2"/>
              </w:rPr>
              <w:t>Reporting</w:t>
            </w:r>
          </w:p>
        </w:tc>
        <w:tc>
          <w:tcPr>
            <w:tcW w:w="1160" w:type="dxa"/>
            <w:vAlign w:val="bottom"/>
            <w:vMerge w:val="continue"/>
          </w:tcPr>
          <w:p>
            <w:pPr>
              <w:spacing w:after="0"/>
              <w:rPr>
                <w:sz w:val="19"/>
                <w:szCs w:val="19"/>
                <w:color w:val="auto"/>
              </w:rPr>
            </w:pPr>
          </w:p>
        </w:tc>
        <w:tc>
          <w:tcPr>
            <w:tcW w:w="2700" w:type="dxa"/>
            <w:vAlign w:val="bottom"/>
          </w:tcPr>
          <w:p>
            <w:pPr>
              <w:ind w:left="660"/>
              <w:spacing w:after="0"/>
              <w:rPr>
                <w:sz w:val="20"/>
                <w:szCs w:val="20"/>
                <w:color w:val="auto"/>
              </w:rPr>
            </w:pPr>
            <w:r>
              <w:rPr>
                <w:rFonts w:ascii="Arial" w:cs="Arial" w:eastAsia="Arial" w:hAnsi="Arial"/>
                <w:sz w:val="20"/>
                <w:szCs w:val="20"/>
                <w:color w:val="auto"/>
                <w:w w:val="98"/>
              </w:rPr>
              <w:t>Sole Dispositive Power</w:t>
            </w:r>
          </w:p>
        </w:tc>
        <w:tc>
          <w:tcPr>
            <w:tcW w:w="0" w:type="dxa"/>
            <w:vAlign w:val="bottom"/>
          </w:tcPr>
          <w:p>
            <w:pPr>
              <w:spacing w:after="0"/>
              <w:rPr>
                <w:sz w:val="1"/>
                <w:szCs w:val="1"/>
                <w:color w:val="auto"/>
              </w:rPr>
            </w:pPr>
          </w:p>
        </w:tc>
      </w:tr>
      <w:tr>
        <w:trPr>
          <w:trHeight w:val="230"/>
        </w:trPr>
        <w:tc>
          <w:tcPr>
            <w:tcW w:w="2100" w:type="dxa"/>
            <w:vAlign w:val="bottom"/>
          </w:tcPr>
          <w:p>
            <w:pPr>
              <w:jc w:val="center"/>
              <w:ind w:left="261"/>
              <w:spacing w:after="0"/>
              <w:rPr>
                <w:sz w:val="20"/>
                <w:szCs w:val="20"/>
                <w:color w:val="auto"/>
              </w:rPr>
            </w:pPr>
            <w:r>
              <w:rPr>
                <w:rFonts w:ascii="Arial" w:cs="Arial" w:eastAsia="Arial" w:hAnsi="Arial"/>
                <w:sz w:val="20"/>
                <w:szCs w:val="20"/>
                <w:color w:val="auto"/>
                <w:w w:val="85"/>
              </w:rPr>
              <w:t>Person</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1,902,124</w:t>
            </w:r>
          </w:p>
        </w:tc>
        <w:tc>
          <w:tcPr>
            <w:tcW w:w="0" w:type="dxa"/>
            <w:vAlign w:val="bottom"/>
          </w:tcPr>
          <w:p>
            <w:pPr>
              <w:spacing w:after="0"/>
              <w:rPr>
                <w:sz w:val="1"/>
                <w:szCs w:val="1"/>
                <w:color w:val="auto"/>
              </w:rPr>
            </w:pPr>
          </w:p>
        </w:tc>
      </w:tr>
      <w:tr>
        <w:trPr>
          <w:trHeight w:val="25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9"/>
              </w:rPr>
              <w:t>With</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8.</w:t>
            </w:r>
          </w:p>
        </w:tc>
        <w:tc>
          <w:tcPr>
            <w:tcW w:w="2700" w:type="dxa"/>
            <w:vAlign w:val="bottom"/>
            <w:vMerge w:val="restart"/>
          </w:tcPr>
          <w:p>
            <w:pPr>
              <w:ind w:left="660"/>
              <w:spacing w:after="0"/>
              <w:rPr>
                <w:sz w:val="20"/>
                <w:szCs w:val="20"/>
                <w:color w:val="auto"/>
              </w:rPr>
            </w:pPr>
            <w:r>
              <w:rPr>
                <w:rFonts w:ascii="Arial" w:cs="Arial" w:eastAsia="Arial" w:hAnsi="Arial"/>
                <w:sz w:val="20"/>
                <w:szCs w:val="20"/>
                <w:color w:val="auto"/>
                <w:w w:val="88"/>
              </w:rPr>
              <w:t>Shared Dispositive Power</w:t>
            </w:r>
          </w:p>
        </w:tc>
        <w:tc>
          <w:tcPr>
            <w:tcW w:w="0" w:type="dxa"/>
            <w:vAlign w:val="bottom"/>
          </w:tcPr>
          <w:p>
            <w:pPr>
              <w:spacing w:after="0"/>
              <w:rPr>
                <w:sz w:val="1"/>
                <w:szCs w:val="1"/>
                <w:color w:val="auto"/>
              </w:rPr>
            </w:pPr>
          </w:p>
        </w:tc>
      </w:tr>
      <w:tr>
        <w:trPr>
          <w:trHeight w:val="209"/>
        </w:trPr>
        <w:tc>
          <w:tcPr>
            <w:tcW w:w="2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1040" w:hanging="1032"/>
        <w:spacing w:after="0"/>
        <w:tabs>
          <w:tab w:leader="none" w:pos="1040" w:val="left"/>
        </w:tabs>
        <w:numPr>
          <w:ilvl w:val="0"/>
          <w:numId w:val="31"/>
        </w:numPr>
        <w:rPr>
          <w:rFonts w:ascii="Arial" w:cs="Arial" w:eastAsia="Arial" w:hAnsi="Arial"/>
          <w:sz w:val="20"/>
          <w:szCs w:val="20"/>
          <w:b w:val="1"/>
          <w:bCs w:val="1"/>
          <w:color w:val="auto"/>
        </w:rPr>
      </w:pPr>
      <w:r>
        <w:rPr>
          <w:rFonts w:ascii="Arial" w:cs="Arial" w:eastAsia="Arial" w:hAnsi="Arial"/>
          <w:sz w:val="20"/>
          <w:szCs w:val="20"/>
          <w:color w:val="auto"/>
        </w:rPr>
        <w:t>Aggregate Amount Beneficially Owned by Each Reporting Person</w:t>
      </w:r>
    </w:p>
    <w:p>
      <w:pPr>
        <w:spacing w:after="0" w:line="229"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1,902,124</w:t>
      </w:r>
    </w:p>
    <w:p>
      <w:pPr>
        <w:spacing w:after="0" w:line="229" w:lineRule="exact"/>
        <w:rPr>
          <w:rFonts w:ascii="Arial" w:cs="Arial" w:eastAsia="Arial" w:hAnsi="Arial"/>
          <w:sz w:val="20"/>
          <w:szCs w:val="20"/>
          <w:b w:val="1"/>
          <w:bCs w:val="1"/>
          <w:color w:val="auto"/>
        </w:rPr>
      </w:pPr>
    </w:p>
    <w:p>
      <w:pPr>
        <w:ind w:left="1040" w:hanging="1032"/>
        <w:spacing w:after="0"/>
        <w:tabs>
          <w:tab w:leader="none" w:pos="1040" w:val="left"/>
        </w:tabs>
        <w:numPr>
          <w:ilvl w:val="0"/>
          <w:numId w:val="31"/>
        </w:numPr>
        <w:rPr>
          <w:rFonts w:ascii="Arial" w:cs="Arial" w:eastAsia="Arial" w:hAnsi="Arial"/>
          <w:sz w:val="20"/>
          <w:szCs w:val="20"/>
          <w:b w:val="1"/>
          <w:bCs w:val="1"/>
          <w:color w:val="auto"/>
        </w:rPr>
      </w:pPr>
      <w:r>
        <w:rPr>
          <w:rFonts w:ascii="Arial" w:cs="Arial" w:eastAsia="Arial" w:hAnsi="Arial"/>
          <w:sz w:val="20"/>
          <w:szCs w:val="20"/>
          <w:color w:val="auto"/>
        </w:rPr>
        <w:t>Check Box If the Aggregate Amount in Row (9) Excludes Certain Shares (See Instructions)</w:t>
      </w:r>
    </w:p>
    <w:p>
      <w:pPr>
        <w:spacing w:after="0" w:line="229"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  ]</w:t>
      </w:r>
    </w:p>
    <w:p>
      <w:pPr>
        <w:spacing w:after="0" w:line="229" w:lineRule="exact"/>
        <w:rPr>
          <w:rFonts w:ascii="Arial" w:cs="Arial" w:eastAsia="Arial" w:hAnsi="Arial"/>
          <w:sz w:val="20"/>
          <w:szCs w:val="20"/>
          <w:b w:val="1"/>
          <w:bCs w:val="1"/>
          <w:color w:val="auto"/>
        </w:rPr>
      </w:pPr>
    </w:p>
    <w:p>
      <w:pPr>
        <w:ind w:left="1040" w:hanging="1032"/>
        <w:spacing w:after="0"/>
        <w:tabs>
          <w:tab w:leader="none" w:pos="1040" w:val="left"/>
        </w:tabs>
        <w:numPr>
          <w:ilvl w:val="0"/>
          <w:numId w:val="31"/>
        </w:numPr>
        <w:rPr>
          <w:rFonts w:ascii="Arial" w:cs="Arial" w:eastAsia="Arial" w:hAnsi="Arial"/>
          <w:sz w:val="20"/>
          <w:szCs w:val="20"/>
          <w:b w:val="1"/>
          <w:bCs w:val="1"/>
          <w:color w:val="auto"/>
        </w:rPr>
      </w:pPr>
      <w:r>
        <w:rPr>
          <w:rFonts w:ascii="Arial" w:cs="Arial" w:eastAsia="Arial" w:hAnsi="Arial"/>
          <w:sz w:val="20"/>
          <w:szCs w:val="20"/>
          <w:color w:val="auto"/>
        </w:rPr>
        <w:t>Percent of Class Represented By Amount in Row (9)</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2.7% (1)</w:t>
      </w:r>
    </w:p>
    <w:p>
      <w:pPr>
        <w:spacing w:after="0" w:line="229" w:lineRule="exact"/>
        <w:rPr>
          <w:sz w:val="20"/>
          <w:szCs w:val="20"/>
          <w:color w:val="auto"/>
        </w:rPr>
      </w:pPr>
    </w:p>
    <w:p>
      <w:pPr>
        <w:ind w:left="1040" w:hanging="1032"/>
        <w:spacing w:after="0"/>
        <w:tabs>
          <w:tab w:leader="none" w:pos="1040" w:val="left"/>
        </w:tabs>
        <w:numPr>
          <w:ilvl w:val="0"/>
          <w:numId w:val="32"/>
        </w:numPr>
        <w:rPr>
          <w:rFonts w:ascii="Arial" w:cs="Arial" w:eastAsia="Arial" w:hAnsi="Arial"/>
          <w:sz w:val="20"/>
          <w:szCs w:val="20"/>
          <w:b w:val="1"/>
          <w:bCs w:val="1"/>
          <w:color w:val="auto"/>
        </w:rPr>
      </w:pPr>
      <w:r>
        <w:rPr>
          <w:rFonts w:ascii="Arial" w:cs="Arial" w:eastAsia="Arial" w:hAnsi="Arial"/>
          <w:sz w:val="20"/>
          <w:szCs w:val="20"/>
          <w:color w:val="auto"/>
        </w:rPr>
        <w:t>Type of Reporting Person (See Instructions)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PN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w:t>
      </w:r>
    </w:p>
    <w:p>
      <w:pPr>
        <w:spacing w:after="0" w:line="213" w:lineRule="exact"/>
        <w:rPr>
          <w:sz w:val="20"/>
          <w:szCs w:val="20"/>
          <w:color w:val="auto"/>
        </w:rPr>
      </w:pPr>
    </w:p>
    <w:p>
      <w:pPr>
        <w:ind w:left="460" w:hanging="452"/>
        <w:spacing w:after="0" w:line="260" w:lineRule="auto"/>
        <w:tabs>
          <w:tab w:leader="none" w:pos="4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Based on 69,999,954 Ordinary Shares of the Issuer outstanding as of December 13, 2019, as reported in the Issuer's Form 8-K filed with the SEC on December 18,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346" w:right="39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CUSIP NO. G48833118</w:t>
      </w:r>
    </w:p>
    <w:p>
      <w:pPr>
        <w:spacing w:after="0" w:line="235" w:lineRule="exact"/>
        <w:rPr>
          <w:sz w:val="20"/>
          <w:szCs w:val="20"/>
          <w:color w:val="auto"/>
        </w:rPr>
      </w:pPr>
    </w:p>
    <w:p>
      <w:pPr>
        <w:ind w:left="1180" w:hanging="1172"/>
        <w:spacing w:after="0"/>
        <w:tabs>
          <w:tab w:leader="none" w:pos="1180" w:val="left"/>
        </w:tabs>
        <w:numPr>
          <w:ilvl w:val="0"/>
          <w:numId w:val="34"/>
        </w:numPr>
        <w:rPr>
          <w:rFonts w:ascii="Arial" w:cs="Arial" w:eastAsia="Arial" w:hAnsi="Arial"/>
          <w:sz w:val="20"/>
          <w:szCs w:val="20"/>
          <w:b w:val="1"/>
          <w:bCs w:val="1"/>
          <w:color w:val="auto"/>
        </w:rPr>
      </w:pPr>
      <w:r>
        <w:rPr>
          <w:rFonts w:ascii="Arial" w:cs="Arial" w:eastAsia="Arial" w:hAnsi="Arial"/>
          <w:sz w:val="20"/>
          <w:szCs w:val="20"/>
          <w:color w:val="auto"/>
        </w:rPr>
        <w:t>Names of Reporting Persons</w:t>
      </w:r>
    </w:p>
    <w:p>
      <w:pPr>
        <w:spacing w:after="0" w:line="229"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Värde Investment Partners UGP, LLC</w:t>
      </w:r>
    </w:p>
    <w:p>
      <w:pPr>
        <w:spacing w:after="0" w:line="229" w:lineRule="exact"/>
        <w:rPr>
          <w:rFonts w:ascii="Arial" w:cs="Arial" w:eastAsia="Arial" w:hAnsi="Arial"/>
          <w:sz w:val="20"/>
          <w:szCs w:val="20"/>
          <w:b w:val="1"/>
          <w:bCs w:val="1"/>
          <w:color w:val="auto"/>
        </w:rPr>
      </w:pPr>
    </w:p>
    <w:p>
      <w:pPr>
        <w:ind w:left="2780" w:right="4500" w:hanging="2772"/>
        <w:spacing w:after="0" w:line="479" w:lineRule="auto"/>
        <w:tabs>
          <w:tab w:leader="none" w:pos="1190" w:val="left"/>
        </w:tabs>
        <w:numPr>
          <w:ilvl w:val="0"/>
          <w:numId w:val="34"/>
        </w:numPr>
        <w:rPr>
          <w:rFonts w:ascii="Arial" w:cs="Arial" w:eastAsia="Arial" w:hAnsi="Arial"/>
          <w:sz w:val="20"/>
          <w:szCs w:val="20"/>
          <w:b w:val="1"/>
          <w:bCs w:val="1"/>
          <w:color w:val="auto"/>
        </w:rPr>
      </w:pPr>
      <w:r>
        <w:rPr>
          <w:rFonts w:ascii="Arial" w:cs="Arial" w:eastAsia="Arial" w:hAnsi="Arial"/>
          <w:sz w:val="20"/>
          <w:szCs w:val="20"/>
          <w:color w:val="auto"/>
        </w:rPr>
        <w:t>Check the Appropriate Box If a Member of a Group (See Instructions) a. [ ]</w:t>
      </w:r>
    </w:p>
    <w:p>
      <w:pPr>
        <w:ind w:left="2800"/>
        <w:spacing w:after="0"/>
        <w:rPr>
          <w:rFonts w:ascii="Arial" w:cs="Arial" w:eastAsia="Arial" w:hAnsi="Arial"/>
          <w:sz w:val="20"/>
          <w:szCs w:val="20"/>
          <w:b w:val="1"/>
          <w:bCs w:val="1"/>
          <w:color w:val="auto"/>
        </w:rPr>
      </w:pPr>
      <w:r>
        <w:rPr>
          <w:rFonts w:ascii="Arial" w:cs="Arial" w:eastAsia="Arial" w:hAnsi="Arial"/>
          <w:sz w:val="20"/>
          <w:szCs w:val="20"/>
          <w:color w:val="auto"/>
        </w:rPr>
        <w:t>b. [X]</w:t>
      </w:r>
    </w:p>
    <w:p>
      <w:pPr>
        <w:spacing w:after="0" w:line="229" w:lineRule="exact"/>
        <w:rPr>
          <w:rFonts w:ascii="Arial" w:cs="Arial" w:eastAsia="Arial" w:hAnsi="Arial"/>
          <w:sz w:val="20"/>
          <w:szCs w:val="20"/>
          <w:b w:val="1"/>
          <w:bCs w:val="1"/>
          <w:color w:val="auto"/>
        </w:rPr>
      </w:pPr>
    </w:p>
    <w:p>
      <w:pPr>
        <w:ind w:left="1180" w:hanging="1172"/>
        <w:spacing w:after="0"/>
        <w:tabs>
          <w:tab w:leader="none" w:pos="1180" w:val="left"/>
        </w:tabs>
        <w:numPr>
          <w:ilvl w:val="0"/>
          <w:numId w:val="34"/>
        </w:numPr>
        <w:rPr>
          <w:rFonts w:ascii="Arial" w:cs="Arial" w:eastAsia="Arial" w:hAnsi="Arial"/>
          <w:sz w:val="20"/>
          <w:szCs w:val="20"/>
          <w:b w:val="1"/>
          <w:bCs w:val="1"/>
          <w:color w:val="auto"/>
        </w:rPr>
      </w:pPr>
      <w:r>
        <w:rPr>
          <w:rFonts w:ascii="Arial" w:cs="Arial" w:eastAsia="Arial" w:hAnsi="Arial"/>
          <w:sz w:val="20"/>
          <w:szCs w:val="20"/>
          <w:color w:val="auto"/>
        </w:rPr>
        <w:t>SEC Use Only</w:t>
      </w:r>
    </w:p>
    <w:p>
      <w:pPr>
        <w:spacing w:after="0" w:line="229" w:lineRule="exact"/>
        <w:rPr>
          <w:rFonts w:ascii="Arial" w:cs="Arial" w:eastAsia="Arial" w:hAnsi="Arial"/>
          <w:sz w:val="20"/>
          <w:szCs w:val="20"/>
          <w:b w:val="1"/>
          <w:bCs w:val="1"/>
          <w:color w:val="auto"/>
        </w:rPr>
      </w:pPr>
    </w:p>
    <w:p>
      <w:pPr>
        <w:ind w:left="1180" w:hanging="1172"/>
        <w:spacing w:after="0"/>
        <w:tabs>
          <w:tab w:leader="none" w:pos="1180" w:val="left"/>
        </w:tabs>
        <w:numPr>
          <w:ilvl w:val="0"/>
          <w:numId w:val="34"/>
        </w:numPr>
        <w:rPr>
          <w:rFonts w:ascii="Arial" w:cs="Arial" w:eastAsia="Arial" w:hAnsi="Arial"/>
          <w:sz w:val="20"/>
          <w:szCs w:val="20"/>
          <w:b w:val="1"/>
          <w:bCs w:val="1"/>
          <w:color w:val="auto"/>
        </w:rPr>
      </w:pPr>
      <w:r>
        <w:rPr>
          <w:rFonts w:ascii="Arial" w:cs="Arial" w:eastAsia="Arial" w:hAnsi="Arial"/>
          <w:sz w:val="20"/>
          <w:szCs w:val="20"/>
          <w:color w:val="auto"/>
        </w:rPr>
        <w:t>Citizenship or Place of Organization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100" w:type="dxa"/>
            <w:vAlign w:val="bottom"/>
          </w:tcPr>
          <w:p>
            <w:pPr>
              <w:spacing w:after="0"/>
              <w:rPr>
                <w:sz w:val="20"/>
                <w:szCs w:val="20"/>
                <w:color w:val="auto"/>
              </w:rPr>
            </w:pPr>
            <w:r>
              <w:rPr>
                <w:rFonts w:ascii="Arial" w:cs="Arial" w:eastAsia="Arial" w:hAnsi="Arial"/>
                <w:sz w:val="20"/>
                <w:szCs w:val="20"/>
                <w:color w:val="auto"/>
              </w:rPr>
              <w:t>Delaware</w:t>
            </w:r>
          </w:p>
        </w:tc>
        <w:tc>
          <w:tcPr>
            <w:tcW w:w="116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8"/>
        </w:trPr>
        <w:tc>
          <w:tcPr>
            <w:tcW w:w="2100" w:type="dxa"/>
            <w:vAlign w:val="bottom"/>
          </w:tcPr>
          <w:p>
            <w:pPr>
              <w:spacing w:after="0"/>
              <w:rPr>
                <w:sz w:val="24"/>
                <w:szCs w:val="24"/>
                <w:color w:val="auto"/>
              </w:rPr>
            </w:pPr>
          </w:p>
        </w:tc>
        <w:tc>
          <w:tcPr>
            <w:tcW w:w="1160" w:type="dxa"/>
            <w:vAlign w:val="bottom"/>
          </w:tcPr>
          <w:p>
            <w:pPr>
              <w:jc w:val="right"/>
              <w:ind w:right="541"/>
              <w:spacing w:after="0"/>
              <w:rPr>
                <w:sz w:val="20"/>
                <w:szCs w:val="20"/>
                <w:color w:val="auto"/>
              </w:rPr>
            </w:pPr>
            <w:r>
              <w:rPr>
                <w:rFonts w:ascii="Arial" w:cs="Arial" w:eastAsia="Arial" w:hAnsi="Arial"/>
                <w:sz w:val="20"/>
                <w:szCs w:val="20"/>
                <w:b w:val="1"/>
                <w:bCs w:val="1"/>
                <w:color w:val="auto"/>
              </w:rPr>
              <w:t>5.</w:t>
            </w:r>
          </w:p>
        </w:tc>
        <w:tc>
          <w:tcPr>
            <w:tcW w:w="2700" w:type="dxa"/>
            <w:vAlign w:val="bottom"/>
          </w:tcPr>
          <w:p>
            <w:pPr>
              <w:ind w:left="660"/>
              <w:spacing w:after="0"/>
              <w:rPr>
                <w:sz w:val="20"/>
                <w:szCs w:val="20"/>
                <w:color w:val="auto"/>
              </w:rPr>
            </w:pPr>
            <w:r>
              <w:rPr>
                <w:rFonts w:ascii="Arial" w:cs="Arial" w:eastAsia="Arial" w:hAnsi="Arial"/>
                <w:sz w:val="20"/>
                <w:szCs w:val="20"/>
                <w:color w:val="auto"/>
              </w:rPr>
              <w:t>Sole Voting Power</w:t>
            </w:r>
          </w:p>
        </w:tc>
        <w:tc>
          <w:tcPr>
            <w:tcW w:w="0" w:type="dxa"/>
            <w:vAlign w:val="bottom"/>
          </w:tcPr>
          <w:p>
            <w:pPr>
              <w:spacing w:after="0"/>
              <w:rPr>
                <w:sz w:val="1"/>
                <w:szCs w:val="1"/>
                <w:color w:val="auto"/>
              </w:rPr>
            </w:pPr>
          </w:p>
        </w:tc>
      </w:tr>
      <w:tr>
        <w:trPr>
          <w:trHeight w:val="230"/>
        </w:trPr>
        <w:tc>
          <w:tcPr>
            <w:tcW w:w="2100" w:type="dxa"/>
            <w:vAlign w:val="bottom"/>
          </w:tcPr>
          <w:p>
            <w:pPr>
              <w:jc w:val="center"/>
              <w:ind w:left="261"/>
              <w:spacing w:after="0"/>
              <w:rPr>
                <w:sz w:val="20"/>
                <w:szCs w:val="20"/>
                <w:color w:val="auto"/>
              </w:rPr>
            </w:pPr>
            <w:r>
              <w:rPr>
                <w:rFonts w:ascii="Arial" w:cs="Arial" w:eastAsia="Arial" w:hAnsi="Arial"/>
                <w:sz w:val="20"/>
                <w:szCs w:val="20"/>
                <w:color w:val="auto"/>
                <w:w w:val="92"/>
              </w:rPr>
              <w:t>Number of</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1,902,124</w:t>
            </w: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81"/>
              </w:rPr>
              <w:t>Shares</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6.</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4"/>
              </w:rPr>
              <w:t>Beneficially</w:t>
            </w:r>
          </w:p>
        </w:tc>
        <w:tc>
          <w:tcPr>
            <w:tcW w:w="1160" w:type="dxa"/>
            <w:vAlign w:val="bottom"/>
            <w:vMerge w:val="continue"/>
          </w:tcPr>
          <w:p>
            <w:pPr>
              <w:spacing w:after="0"/>
              <w:rPr>
                <w:sz w:val="19"/>
                <w:szCs w:val="19"/>
                <w:color w:val="auto"/>
              </w:rPr>
            </w:pPr>
          </w:p>
        </w:tc>
        <w:tc>
          <w:tcPr>
            <w:tcW w:w="2700" w:type="dxa"/>
            <w:vAlign w:val="bottom"/>
          </w:tcPr>
          <w:p>
            <w:pPr>
              <w:ind w:left="660"/>
              <w:spacing w:after="0"/>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0"/>
              </w:rPr>
              <w:t>Owned By</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87"/>
              </w:rPr>
              <w:t>Each</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7.</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2"/>
              </w:rPr>
              <w:t>Reporting</w:t>
            </w:r>
          </w:p>
        </w:tc>
        <w:tc>
          <w:tcPr>
            <w:tcW w:w="1160" w:type="dxa"/>
            <w:vAlign w:val="bottom"/>
            <w:vMerge w:val="continue"/>
          </w:tcPr>
          <w:p>
            <w:pPr>
              <w:spacing w:after="0"/>
              <w:rPr>
                <w:sz w:val="19"/>
                <w:szCs w:val="19"/>
                <w:color w:val="auto"/>
              </w:rPr>
            </w:pPr>
          </w:p>
        </w:tc>
        <w:tc>
          <w:tcPr>
            <w:tcW w:w="2700" w:type="dxa"/>
            <w:vAlign w:val="bottom"/>
          </w:tcPr>
          <w:p>
            <w:pPr>
              <w:ind w:left="660"/>
              <w:spacing w:after="0"/>
              <w:rPr>
                <w:sz w:val="20"/>
                <w:szCs w:val="20"/>
                <w:color w:val="auto"/>
              </w:rPr>
            </w:pPr>
            <w:r>
              <w:rPr>
                <w:rFonts w:ascii="Arial" w:cs="Arial" w:eastAsia="Arial" w:hAnsi="Arial"/>
                <w:sz w:val="20"/>
                <w:szCs w:val="20"/>
                <w:color w:val="auto"/>
                <w:w w:val="98"/>
              </w:rPr>
              <w:t>Sole Dispositive Power</w:t>
            </w:r>
          </w:p>
        </w:tc>
        <w:tc>
          <w:tcPr>
            <w:tcW w:w="0" w:type="dxa"/>
            <w:vAlign w:val="bottom"/>
          </w:tcPr>
          <w:p>
            <w:pPr>
              <w:spacing w:after="0"/>
              <w:rPr>
                <w:sz w:val="1"/>
                <w:szCs w:val="1"/>
                <w:color w:val="auto"/>
              </w:rPr>
            </w:pPr>
          </w:p>
        </w:tc>
      </w:tr>
      <w:tr>
        <w:trPr>
          <w:trHeight w:val="230"/>
        </w:trPr>
        <w:tc>
          <w:tcPr>
            <w:tcW w:w="2100" w:type="dxa"/>
            <w:vAlign w:val="bottom"/>
          </w:tcPr>
          <w:p>
            <w:pPr>
              <w:jc w:val="center"/>
              <w:ind w:left="261"/>
              <w:spacing w:after="0"/>
              <w:rPr>
                <w:sz w:val="20"/>
                <w:szCs w:val="20"/>
                <w:color w:val="auto"/>
              </w:rPr>
            </w:pPr>
            <w:r>
              <w:rPr>
                <w:rFonts w:ascii="Arial" w:cs="Arial" w:eastAsia="Arial" w:hAnsi="Arial"/>
                <w:sz w:val="20"/>
                <w:szCs w:val="20"/>
                <w:color w:val="auto"/>
                <w:w w:val="85"/>
              </w:rPr>
              <w:t>Person</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1,902,124</w:t>
            </w:r>
          </w:p>
        </w:tc>
        <w:tc>
          <w:tcPr>
            <w:tcW w:w="0" w:type="dxa"/>
            <w:vAlign w:val="bottom"/>
          </w:tcPr>
          <w:p>
            <w:pPr>
              <w:spacing w:after="0"/>
              <w:rPr>
                <w:sz w:val="1"/>
                <w:szCs w:val="1"/>
                <w:color w:val="auto"/>
              </w:rPr>
            </w:pPr>
          </w:p>
        </w:tc>
      </w:tr>
      <w:tr>
        <w:trPr>
          <w:trHeight w:val="25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9"/>
              </w:rPr>
              <w:t>With</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8.</w:t>
            </w:r>
          </w:p>
        </w:tc>
        <w:tc>
          <w:tcPr>
            <w:tcW w:w="2700" w:type="dxa"/>
            <w:vAlign w:val="bottom"/>
            <w:vMerge w:val="restart"/>
          </w:tcPr>
          <w:p>
            <w:pPr>
              <w:ind w:left="660"/>
              <w:spacing w:after="0"/>
              <w:rPr>
                <w:sz w:val="20"/>
                <w:szCs w:val="20"/>
                <w:color w:val="auto"/>
              </w:rPr>
            </w:pPr>
            <w:r>
              <w:rPr>
                <w:rFonts w:ascii="Arial" w:cs="Arial" w:eastAsia="Arial" w:hAnsi="Arial"/>
                <w:sz w:val="20"/>
                <w:szCs w:val="20"/>
                <w:color w:val="auto"/>
                <w:w w:val="88"/>
              </w:rPr>
              <w:t>Shared Dispositive Power</w:t>
            </w:r>
          </w:p>
        </w:tc>
        <w:tc>
          <w:tcPr>
            <w:tcW w:w="0" w:type="dxa"/>
            <w:vAlign w:val="bottom"/>
          </w:tcPr>
          <w:p>
            <w:pPr>
              <w:spacing w:after="0"/>
              <w:rPr>
                <w:sz w:val="1"/>
                <w:szCs w:val="1"/>
                <w:color w:val="auto"/>
              </w:rPr>
            </w:pPr>
          </w:p>
        </w:tc>
      </w:tr>
      <w:tr>
        <w:trPr>
          <w:trHeight w:val="209"/>
        </w:trPr>
        <w:tc>
          <w:tcPr>
            <w:tcW w:w="2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1040" w:hanging="1032"/>
        <w:spacing w:after="0"/>
        <w:tabs>
          <w:tab w:leader="none" w:pos="1040" w:val="left"/>
        </w:tabs>
        <w:numPr>
          <w:ilvl w:val="0"/>
          <w:numId w:val="35"/>
        </w:numPr>
        <w:rPr>
          <w:rFonts w:ascii="Arial" w:cs="Arial" w:eastAsia="Arial" w:hAnsi="Arial"/>
          <w:sz w:val="20"/>
          <w:szCs w:val="20"/>
          <w:b w:val="1"/>
          <w:bCs w:val="1"/>
          <w:color w:val="auto"/>
        </w:rPr>
      </w:pPr>
      <w:r>
        <w:rPr>
          <w:rFonts w:ascii="Arial" w:cs="Arial" w:eastAsia="Arial" w:hAnsi="Arial"/>
          <w:sz w:val="20"/>
          <w:szCs w:val="20"/>
          <w:color w:val="auto"/>
        </w:rPr>
        <w:t>Aggregate Amount Beneficially Owned by Each Reporting Person</w:t>
      </w:r>
    </w:p>
    <w:p>
      <w:pPr>
        <w:spacing w:after="0" w:line="229"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1,902,124</w:t>
      </w:r>
    </w:p>
    <w:p>
      <w:pPr>
        <w:spacing w:after="0" w:line="229" w:lineRule="exact"/>
        <w:rPr>
          <w:rFonts w:ascii="Arial" w:cs="Arial" w:eastAsia="Arial" w:hAnsi="Arial"/>
          <w:sz w:val="20"/>
          <w:szCs w:val="20"/>
          <w:b w:val="1"/>
          <w:bCs w:val="1"/>
          <w:color w:val="auto"/>
        </w:rPr>
      </w:pPr>
    </w:p>
    <w:p>
      <w:pPr>
        <w:ind w:left="1040" w:hanging="1032"/>
        <w:spacing w:after="0"/>
        <w:tabs>
          <w:tab w:leader="none" w:pos="1040" w:val="left"/>
        </w:tabs>
        <w:numPr>
          <w:ilvl w:val="0"/>
          <w:numId w:val="35"/>
        </w:numPr>
        <w:rPr>
          <w:rFonts w:ascii="Arial" w:cs="Arial" w:eastAsia="Arial" w:hAnsi="Arial"/>
          <w:sz w:val="20"/>
          <w:szCs w:val="20"/>
          <w:b w:val="1"/>
          <w:bCs w:val="1"/>
          <w:color w:val="auto"/>
        </w:rPr>
      </w:pPr>
      <w:r>
        <w:rPr>
          <w:rFonts w:ascii="Arial" w:cs="Arial" w:eastAsia="Arial" w:hAnsi="Arial"/>
          <w:sz w:val="20"/>
          <w:szCs w:val="20"/>
          <w:color w:val="auto"/>
        </w:rPr>
        <w:t>Check Box If the Aggregate Amount in Row (9) Excludes Certain Shares (See Instructions)</w:t>
      </w:r>
    </w:p>
    <w:p>
      <w:pPr>
        <w:spacing w:after="0" w:line="229"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  ]</w:t>
      </w:r>
    </w:p>
    <w:p>
      <w:pPr>
        <w:spacing w:after="0" w:line="229" w:lineRule="exact"/>
        <w:rPr>
          <w:rFonts w:ascii="Arial" w:cs="Arial" w:eastAsia="Arial" w:hAnsi="Arial"/>
          <w:sz w:val="20"/>
          <w:szCs w:val="20"/>
          <w:b w:val="1"/>
          <w:bCs w:val="1"/>
          <w:color w:val="auto"/>
        </w:rPr>
      </w:pPr>
    </w:p>
    <w:p>
      <w:pPr>
        <w:ind w:left="1040" w:hanging="1032"/>
        <w:spacing w:after="0"/>
        <w:tabs>
          <w:tab w:leader="none" w:pos="1040" w:val="left"/>
        </w:tabs>
        <w:numPr>
          <w:ilvl w:val="0"/>
          <w:numId w:val="35"/>
        </w:numPr>
        <w:rPr>
          <w:rFonts w:ascii="Arial" w:cs="Arial" w:eastAsia="Arial" w:hAnsi="Arial"/>
          <w:sz w:val="20"/>
          <w:szCs w:val="20"/>
          <w:b w:val="1"/>
          <w:bCs w:val="1"/>
          <w:color w:val="auto"/>
        </w:rPr>
      </w:pPr>
      <w:r>
        <w:rPr>
          <w:rFonts w:ascii="Arial" w:cs="Arial" w:eastAsia="Arial" w:hAnsi="Arial"/>
          <w:sz w:val="20"/>
          <w:szCs w:val="20"/>
          <w:color w:val="auto"/>
        </w:rPr>
        <w:t>Percent of Class Represented By Amount in Row (9)</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2.7% (1)</w:t>
      </w:r>
    </w:p>
    <w:p>
      <w:pPr>
        <w:spacing w:after="0" w:line="229" w:lineRule="exact"/>
        <w:rPr>
          <w:sz w:val="20"/>
          <w:szCs w:val="20"/>
          <w:color w:val="auto"/>
        </w:rPr>
      </w:pPr>
    </w:p>
    <w:p>
      <w:pPr>
        <w:ind w:left="1040" w:hanging="1032"/>
        <w:spacing w:after="0"/>
        <w:tabs>
          <w:tab w:leader="none" w:pos="1040" w:val="left"/>
        </w:tabs>
        <w:numPr>
          <w:ilvl w:val="0"/>
          <w:numId w:val="36"/>
        </w:numPr>
        <w:rPr>
          <w:rFonts w:ascii="Arial" w:cs="Arial" w:eastAsia="Arial" w:hAnsi="Arial"/>
          <w:sz w:val="20"/>
          <w:szCs w:val="20"/>
          <w:b w:val="1"/>
          <w:bCs w:val="1"/>
          <w:color w:val="auto"/>
        </w:rPr>
      </w:pPr>
      <w:r>
        <w:rPr>
          <w:rFonts w:ascii="Arial" w:cs="Arial" w:eastAsia="Arial" w:hAnsi="Arial"/>
          <w:sz w:val="20"/>
          <w:szCs w:val="20"/>
          <w:color w:val="auto"/>
        </w:rPr>
        <w:t>Type of Reporting Person (See Instructions)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OO</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w:t>
      </w:r>
    </w:p>
    <w:p>
      <w:pPr>
        <w:spacing w:after="0" w:line="213" w:lineRule="exact"/>
        <w:rPr>
          <w:sz w:val="20"/>
          <w:szCs w:val="20"/>
          <w:color w:val="auto"/>
        </w:rPr>
      </w:pPr>
    </w:p>
    <w:p>
      <w:pPr>
        <w:ind w:left="460" w:hanging="452"/>
        <w:spacing w:after="0" w:line="260" w:lineRule="auto"/>
        <w:tabs>
          <w:tab w:leader="none" w:pos="4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Based on 69,999,954 Ordinary Shares of the Issuer outstanding as of December 13, 2019, as reported in the Issuer's Form 8-K filed with the SEC on December 18,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363220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346" w:right="39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CUSIP NO. G48833118</w:t>
      </w:r>
    </w:p>
    <w:p>
      <w:pPr>
        <w:spacing w:after="0" w:line="235" w:lineRule="exact"/>
        <w:rPr>
          <w:sz w:val="20"/>
          <w:szCs w:val="20"/>
          <w:color w:val="auto"/>
        </w:rPr>
      </w:pPr>
    </w:p>
    <w:p>
      <w:pPr>
        <w:ind w:right="7260" w:firstLine="8"/>
        <w:spacing w:after="0" w:line="595" w:lineRule="auto"/>
        <w:tabs>
          <w:tab w:leader="none" w:pos="1175" w:val="left"/>
        </w:tabs>
        <w:numPr>
          <w:ilvl w:val="0"/>
          <w:numId w:val="38"/>
        </w:numPr>
        <w:rPr>
          <w:rFonts w:ascii="Arial" w:cs="Arial" w:eastAsia="Arial" w:hAnsi="Arial"/>
          <w:sz w:val="16"/>
          <w:szCs w:val="16"/>
          <w:b w:val="1"/>
          <w:bCs w:val="1"/>
          <w:color w:val="auto"/>
        </w:rPr>
      </w:pPr>
      <w:r>
        <w:rPr>
          <w:rFonts w:ascii="Arial" w:cs="Arial" w:eastAsia="Arial" w:hAnsi="Arial"/>
          <w:sz w:val="16"/>
          <w:szCs w:val="16"/>
          <w:color w:val="auto"/>
        </w:rPr>
        <w:t>Names of Reporting Persons Värde Investment Partners (Offshore) Master, L.P.</w:t>
      </w:r>
    </w:p>
    <w:p>
      <w:pPr>
        <w:spacing w:after="0" w:line="6" w:lineRule="exact"/>
        <w:rPr>
          <w:rFonts w:ascii="Arial" w:cs="Arial" w:eastAsia="Arial" w:hAnsi="Arial"/>
          <w:sz w:val="16"/>
          <w:szCs w:val="16"/>
          <w:b w:val="1"/>
          <w:bCs w:val="1"/>
          <w:color w:val="auto"/>
        </w:rPr>
      </w:pPr>
    </w:p>
    <w:p>
      <w:pPr>
        <w:ind w:left="2780" w:right="4500" w:hanging="2772"/>
        <w:spacing w:after="0" w:line="479" w:lineRule="auto"/>
        <w:tabs>
          <w:tab w:leader="none" w:pos="1190" w:val="left"/>
        </w:tabs>
        <w:numPr>
          <w:ilvl w:val="0"/>
          <w:numId w:val="38"/>
        </w:numPr>
        <w:rPr>
          <w:rFonts w:ascii="Arial" w:cs="Arial" w:eastAsia="Arial" w:hAnsi="Arial"/>
          <w:sz w:val="20"/>
          <w:szCs w:val="20"/>
          <w:b w:val="1"/>
          <w:bCs w:val="1"/>
          <w:color w:val="auto"/>
        </w:rPr>
      </w:pPr>
      <w:r>
        <w:rPr>
          <w:rFonts w:ascii="Arial" w:cs="Arial" w:eastAsia="Arial" w:hAnsi="Arial"/>
          <w:sz w:val="20"/>
          <w:szCs w:val="20"/>
          <w:color w:val="auto"/>
        </w:rPr>
        <w:t>Check the Appropriate Box If a Member of a Group (See Instructions) a. [ ]</w:t>
      </w:r>
    </w:p>
    <w:p>
      <w:pPr>
        <w:ind w:left="2800"/>
        <w:spacing w:after="0"/>
        <w:rPr>
          <w:rFonts w:ascii="Arial" w:cs="Arial" w:eastAsia="Arial" w:hAnsi="Arial"/>
          <w:sz w:val="20"/>
          <w:szCs w:val="20"/>
          <w:b w:val="1"/>
          <w:bCs w:val="1"/>
          <w:color w:val="auto"/>
        </w:rPr>
      </w:pPr>
      <w:r>
        <w:rPr>
          <w:rFonts w:ascii="Arial" w:cs="Arial" w:eastAsia="Arial" w:hAnsi="Arial"/>
          <w:sz w:val="20"/>
          <w:szCs w:val="20"/>
          <w:color w:val="auto"/>
        </w:rPr>
        <w:t>b. [X]</w:t>
      </w:r>
    </w:p>
    <w:p>
      <w:pPr>
        <w:spacing w:after="0" w:line="229" w:lineRule="exact"/>
        <w:rPr>
          <w:rFonts w:ascii="Arial" w:cs="Arial" w:eastAsia="Arial" w:hAnsi="Arial"/>
          <w:sz w:val="20"/>
          <w:szCs w:val="20"/>
          <w:b w:val="1"/>
          <w:bCs w:val="1"/>
          <w:color w:val="auto"/>
        </w:rPr>
      </w:pPr>
    </w:p>
    <w:p>
      <w:pPr>
        <w:ind w:left="1180" w:hanging="1172"/>
        <w:spacing w:after="0"/>
        <w:tabs>
          <w:tab w:leader="none" w:pos="1180" w:val="left"/>
        </w:tabs>
        <w:numPr>
          <w:ilvl w:val="0"/>
          <w:numId w:val="38"/>
        </w:numPr>
        <w:rPr>
          <w:rFonts w:ascii="Arial" w:cs="Arial" w:eastAsia="Arial" w:hAnsi="Arial"/>
          <w:sz w:val="20"/>
          <w:szCs w:val="20"/>
          <w:b w:val="1"/>
          <w:bCs w:val="1"/>
          <w:color w:val="auto"/>
        </w:rPr>
      </w:pPr>
      <w:r>
        <w:rPr>
          <w:rFonts w:ascii="Arial" w:cs="Arial" w:eastAsia="Arial" w:hAnsi="Arial"/>
          <w:sz w:val="20"/>
          <w:szCs w:val="20"/>
          <w:color w:val="auto"/>
        </w:rPr>
        <w:t>SEC Use Only</w:t>
      </w:r>
    </w:p>
    <w:p>
      <w:pPr>
        <w:spacing w:after="0" w:line="229" w:lineRule="exact"/>
        <w:rPr>
          <w:rFonts w:ascii="Arial" w:cs="Arial" w:eastAsia="Arial" w:hAnsi="Arial"/>
          <w:sz w:val="20"/>
          <w:szCs w:val="20"/>
          <w:b w:val="1"/>
          <w:bCs w:val="1"/>
          <w:color w:val="auto"/>
        </w:rPr>
      </w:pPr>
    </w:p>
    <w:p>
      <w:pPr>
        <w:ind w:left="1180" w:hanging="1172"/>
        <w:spacing w:after="0"/>
        <w:tabs>
          <w:tab w:leader="none" w:pos="1180" w:val="left"/>
        </w:tabs>
        <w:numPr>
          <w:ilvl w:val="0"/>
          <w:numId w:val="38"/>
        </w:numPr>
        <w:rPr>
          <w:rFonts w:ascii="Arial" w:cs="Arial" w:eastAsia="Arial" w:hAnsi="Arial"/>
          <w:sz w:val="20"/>
          <w:szCs w:val="20"/>
          <w:b w:val="1"/>
          <w:bCs w:val="1"/>
          <w:color w:val="auto"/>
        </w:rPr>
      </w:pPr>
      <w:r>
        <w:rPr>
          <w:rFonts w:ascii="Arial" w:cs="Arial" w:eastAsia="Arial" w:hAnsi="Arial"/>
          <w:sz w:val="20"/>
          <w:szCs w:val="20"/>
          <w:color w:val="auto"/>
        </w:rPr>
        <w:t>Citizenship or Place of Organization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100" w:type="dxa"/>
            <w:vAlign w:val="bottom"/>
          </w:tcPr>
          <w:p>
            <w:pPr>
              <w:spacing w:after="0"/>
              <w:rPr>
                <w:sz w:val="20"/>
                <w:szCs w:val="20"/>
                <w:color w:val="auto"/>
              </w:rPr>
            </w:pPr>
            <w:r>
              <w:rPr>
                <w:rFonts w:ascii="Arial" w:cs="Arial" w:eastAsia="Arial" w:hAnsi="Arial"/>
                <w:sz w:val="20"/>
                <w:szCs w:val="20"/>
                <w:color w:val="auto"/>
              </w:rPr>
              <w:t>Cayman Islands</w:t>
            </w:r>
          </w:p>
        </w:tc>
        <w:tc>
          <w:tcPr>
            <w:tcW w:w="116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8"/>
        </w:trPr>
        <w:tc>
          <w:tcPr>
            <w:tcW w:w="2100" w:type="dxa"/>
            <w:vAlign w:val="bottom"/>
          </w:tcPr>
          <w:p>
            <w:pPr>
              <w:spacing w:after="0"/>
              <w:rPr>
                <w:sz w:val="24"/>
                <w:szCs w:val="24"/>
                <w:color w:val="auto"/>
              </w:rPr>
            </w:pPr>
          </w:p>
        </w:tc>
        <w:tc>
          <w:tcPr>
            <w:tcW w:w="1160" w:type="dxa"/>
            <w:vAlign w:val="bottom"/>
          </w:tcPr>
          <w:p>
            <w:pPr>
              <w:jc w:val="right"/>
              <w:ind w:right="541"/>
              <w:spacing w:after="0"/>
              <w:rPr>
                <w:sz w:val="20"/>
                <w:szCs w:val="20"/>
                <w:color w:val="auto"/>
              </w:rPr>
            </w:pPr>
            <w:r>
              <w:rPr>
                <w:rFonts w:ascii="Arial" w:cs="Arial" w:eastAsia="Arial" w:hAnsi="Arial"/>
                <w:sz w:val="20"/>
                <w:szCs w:val="20"/>
                <w:b w:val="1"/>
                <w:bCs w:val="1"/>
                <w:color w:val="auto"/>
              </w:rPr>
              <w:t>5.</w:t>
            </w:r>
          </w:p>
        </w:tc>
        <w:tc>
          <w:tcPr>
            <w:tcW w:w="2700" w:type="dxa"/>
            <w:vAlign w:val="bottom"/>
          </w:tcPr>
          <w:p>
            <w:pPr>
              <w:ind w:left="660"/>
              <w:spacing w:after="0"/>
              <w:rPr>
                <w:sz w:val="20"/>
                <w:szCs w:val="20"/>
                <w:color w:val="auto"/>
              </w:rPr>
            </w:pPr>
            <w:r>
              <w:rPr>
                <w:rFonts w:ascii="Arial" w:cs="Arial" w:eastAsia="Arial" w:hAnsi="Arial"/>
                <w:sz w:val="20"/>
                <w:szCs w:val="20"/>
                <w:color w:val="auto"/>
              </w:rPr>
              <w:t>Sole Voting Power</w:t>
            </w:r>
          </w:p>
        </w:tc>
        <w:tc>
          <w:tcPr>
            <w:tcW w:w="0" w:type="dxa"/>
            <w:vAlign w:val="bottom"/>
          </w:tcPr>
          <w:p>
            <w:pPr>
              <w:spacing w:after="0"/>
              <w:rPr>
                <w:sz w:val="1"/>
                <w:szCs w:val="1"/>
                <w:color w:val="auto"/>
              </w:rPr>
            </w:pPr>
          </w:p>
        </w:tc>
      </w:tr>
      <w:tr>
        <w:trPr>
          <w:trHeight w:val="230"/>
        </w:trPr>
        <w:tc>
          <w:tcPr>
            <w:tcW w:w="2100" w:type="dxa"/>
            <w:vAlign w:val="bottom"/>
          </w:tcPr>
          <w:p>
            <w:pPr>
              <w:jc w:val="center"/>
              <w:ind w:left="261"/>
              <w:spacing w:after="0"/>
              <w:rPr>
                <w:sz w:val="20"/>
                <w:szCs w:val="20"/>
                <w:color w:val="auto"/>
              </w:rPr>
            </w:pPr>
            <w:r>
              <w:rPr>
                <w:rFonts w:ascii="Arial" w:cs="Arial" w:eastAsia="Arial" w:hAnsi="Arial"/>
                <w:sz w:val="20"/>
                <w:szCs w:val="20"/>
                <w:color w:val="auto"/>
                <w:w w:val="92"/>
              </w:rPr>
              <w:t>Number of</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659,800</w:t>
            </w: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81"/>
              </w:rPr>
              <w:t>Shares</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6.</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4"/>
              </w:rPr>
              <w:t>Beneficially</w:t>
            </w:r>
          </w:p>
        </w:tc>
        <w:tc>
          <w:tcPr>
            <w:tcW w:w="1160" w:type="dxa"/>
            <w:vAlign w:val="bottom"/>
            <w:vMerge w:val="continue"/>
          </w:tcPr>
          <w:p>
            <w:pPr>
              <w:spacing w:after="0"/>
              <w:rPr>
                <w:sz w:val="19"/>
                <w:szCs w:val="19"/>
                <w:color w:val="auto"/>
              </w:rPr>
            </w:pPr>
          </w:p>
        </w:tc>
        <w:tc>
          <w:tcPr>
            <w:tcW w:w="2700" w:type="dxa"/>
            <w:vAlign w:val="bottom"/>
          </w:tcPr>
          <w:p>
            <w:pPr>
              <w:ind w:left="660"/>
              <w:spacing w:after="0"/>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0"/>
              </w:rPr>
              <w:t>Owned By</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87"/>
              </w:rPr>
              <w:t>Each</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7.</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2"/>
              </w:rPr>
              <w:t>Reporting</w:t>
            </w:r>
          </w:p>
        </w:tc>
        <w:tc>
          <w:tcPr>
            <w:tcW w:w="1160" w:type="dxa"/>
            <w:vAlign w:val="bottom"/>
            <w:vMerge w:val="continue"/>
          </w:tcPr>
          <w:p>
            <w:pPr>
              <w:spacing w:after="0"/>
              <w:rPr>
                <w:sz w:val="19"/>
                <w:szCs w:val="19"/>
                <w:color w:val="auto"/>
              </w:rPr>
            </w:pPr>
          </w:p>
        </w:tc>
        <w:tc>
          <w:tcPr>
            <w:tcW w:w="2700" w:type="dxa"/>
            <w:vAlign w:val="bottom"/>
          </w:tcPr>
          <w:p>
            <w:pPr>
              <w:ind w:left="660"/>
              <w:spacing w:after="0"/>
              <w:rPr>
                <w:sz w:val="20"/>
                <w:szCs w:val="20"/>
                <w:color w:val="auto"/>
              </w:rPr>
            </w:pPr>
            <w:r>
              <w:rPr>
                <w:rFonts w:ascii="Arial" w:cs="Arial" w:eastAsia="Arial" w:hAnsi="Arial"/>
                <w:sz w:val="20"/>
                <w:szCs w:val="20"/>
                <w:color w:val="auto"/>
                <w:w w:val="98"/>
              </w:rPr>
              <w:t>Sole Dispositive Power</w:t>
            </w:r>
          </w:p>
        </w:tc>
        <w:tc>
          <w:tcPr>
            <w:tcW w:w="0" w:type="dxa"/>
            <w:vAlign w:val="bottom"/>
          </w:tcPr>
          <w:p>
            <w:pPr>
              <w:spacing w:after="0"/>
              <w:rPr>
                <w:sz w:val="1"/>
                <w:szCs w:val="1"/>
                <w:color w:val="auto"/>
              </w:rPr>
            </w:pPr>
          </w:p>
        </w:tc>
      </w:tr>
      <w:tr>
        <w:trPr>
          <w:trHeight w:val="230"/>
        </w:trPr>
        <w:tc>
          <w:tcPr>
            <w:tcW w:w="2100" w:type="dxa"/>
            <w:vAlign w:val="bottom"/>
          </w:tcPr>
          <w:p>
            <w:pPr>
              <w:jc w:val="center"/>
              <w:ind w:left="261"/>
              <w:spacing w:after="0"/>
              <w:rPr>
                <w:sz w:val="20"/>
                <w:szCs w:val="20"/>
                <w:color w:val="auto"/>
              </w:rPr>
            </w:pPr>
            <w:r>
              <w:rPr>
                <w:rFonts w:ascii="Arial" w:cs="Arial" w:eastAsia="Arial" w:hAnsi="Arial"/>
                <w:sz w:val="20"/>
                <w:szCs w:val="20"/>
                <w:color w:val="auto"/>
                <w:w w:val="85"/>
              </w:rPr>
              <w:t>Person</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659,800</w:t>
            </w:r>
          </w:p>
        </w:tc>
        <w:tc>
          <w:tcPr>
            <w:tcW w:w="0" w:type="dxa"/>
            <w:vAlign w:val="bottom"/>
          </w:tcPr>
          <w:p>
            <w:pPr>
              <w:spacing w:after="0"/>
              <w:rPr>
                <w:sz w:val="1"/>
                <w:szCs w:val="1"/>
                <w:color w:val="auto"/>
              </w:rPr>
            </w:pPr>
          </w:p>
        </w:tc>
      </w:tr>
      <w:tr>
        <w:trPr>
          <w:trHeight w:val="25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9"/>
              </w:rPr>
              <w:t>With</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8.</w:t>
            </w:r>
          </w:p>
        </w:tc>
        <w:tc>
          <w:tcPr>
            <w:tcW w:w="2700" w:type="dxa"/>
            <w:vAlign w:val="bottom"/>
            <w:vMerge w:val="restart"/>
          </w:tcPr>
          <w:p>
            <w:pPr>
              <w:ind w:left="660"/>
              <w:spacing w:after="0"/>
              <w:rPr>
                <w:sz w:val="20"/>
                <w:szCs w:val="20"/>
                <w:color w:val="auto"/>
              </w:rPr>
            </w:pPr>
            <w:r>
              <w:rPr>
                <w:rFonts w:ascii="Arial" w:cs="Arial" w:eastAsia="Arial" w:hAnsi="Arial"/>
                <w:sz w:val="20"/>
                <w:szCs w:val="20"/>
                <w:color w:val="auto"/>
                <w:w w:val="88"/>
              </w:rPr>
              <w:t>Shared Dispositive Power</w:t>
            </w:r>
          </w:p>
        </w:tc>
        <w:tc>
          <w:tcPr>
            <w:tcW w:w="0" w:type="dxa"/>
            <w:vAlign w:val="bottom"/>
          </w:tcPr>
          <w:p>
            <w:pPr>
              <w:spacing w:after="0"/>
              <w:rPr>
                <w:sz w:val="1"/>
                <w:szCs w:val="1"/>
                <w:color w:val="auto"/>
              </w:rPr>
            </w:pPr>
          </w:p>
        </w:tc>
      </w:tr>
      <w:tr>
        <w:trPr>
          <w:trHeight w:val="209"/>
        </w:trPr>
        <w:tc>
          <w:tcPr>
            <w:tcW w:w="2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1040" w:hanging="1032"/>
        <w:spacing w:after="0"/>
        <w:tabs>
          <w:tab w:leader="none" w:pos="1040" w:val="left"/>
        </w:tabs>
        <w:numPr>
          <w:ilvl w:val="0"/>
          <w:numId w:val="39"/>
        </w:numPr>
        <w:rPr>
          <w:rFonts w:ascii="Arial" w:cs="Arial" w:eastAsia="Arial" w:hAnsi="Arial"/>
          <w:sz w:val="20"/>
          <w:szCs w:val="20"/>
          <w:b w:val="1"/>
          <w:bCs w:val="1"/>
          <w:color w:val="auto"/>
        </w:rPr>
      </w:pPr>
      <w:r>
        <w:rPr>
          <w:rFonts w:ascii="Arial" w:cs="Arial" w:eastAsia="Arial" w:hAnsi="Arial"/>
          <w:sz w:val="20"/>
          <w:szCs w:val="20"/>
          <w:color w:val="auto"/>
        </w:rPr>
        <w:t>Aggregate Amount Beneficially Owned by Each Reporting Person</w:t>
      </w:r>
    </w:p>
    <w:p>
      <w:pPr>
        <w:spacing w:after="0" w:line="229"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659,800</w:t>
      </w:r>
    </w:p>
    <w:p>
      <w:pPr>
        <w:spacing w:after="0" w:line="229" w:lineRule="exact"/>
        <w:rPr>
          <w:rFonts w:ascii="Arial" w:cs="Arial" w:eastAsia="Arial" w:hAnsi="Arial"/>
          <w:sz w:val="20"/>
          <w:szCs w:val="20"/>
          <w:b w:val="1"/>
          <w:bCs w:val="1"/>
          <w:color w:val="auto"/>
        </w:rPr>
      </w:pPr>
    </w:p>
    <w:p>
      <w:pPr>
        <w:ind w:left="1040" w:hanging="1032"/>
        <w:spacing w:after="0"/>
        <w:tabs>
          <w:tab w:leader="none" w:pos="1040" w:val="left"/>
        </w:tabs>
        <w:numPr>
          <w:ilvl w:val="0"/>
          <w:numId w:val="39"/>
        </w:numPr>
        <w:rPr>
          <w:rFonts w:ascii="Arial" w:cs="Arial" w:eastAsia="Arial" w:hAnsi="Arial"/>
          <w:sz w:val="20"/>
          <w:szCs w:val="20"/>
          <w:b w:val="1"/>
          <w:bCs w:val="1"/>
          <w:color w:val="auto"/>
        </w:rPr>
      </w:pPr>
      <w:r>
        <w:rPr>
          <w:rFonts w:ascii="Arial" w:cs="Arial" w:eastAsia="Arial" w:hAnsi="Arial"/>
          <w:sz w:val="20"/>
          <w:szCs w:val="20"/>
          <w:color w:val="auto"/>
        </w:rPr>
        <w:t>Check Box If the Aggregate Amount in Row (9) Excludes Certain Shares (See Instructions)</w:t>
      </w:r>
    </w:p>
    <w:p>
      <w:pPr>
        <w:spacing w:after="0" w:line="229"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  ]</w:t>
      </w:r>
    </w:p>
    <w:p>
      <w:pPr>
        <w:spacing w:after="0" w:line="229" w:lineRule="exact"/>
        <w:rPr>
          <w:rFonts w:ascii="Arial" w:cs="Arial" w:eastAsia="Arial" w:hAnsi="Arial"/>
          <w:sz w:val="20"/>
          <w:szCs w:val="20"/>
          <w:b w:val="1"/>
          <w:bCs w:val="1"/>
          <w:color w:val="auto"/>
        </w:rPr>
      </w:pPr>
    </w:p>
    <w:p>
      <w:pPr>
        <w:ind w:left="1040" w:hanging="1032"/>
        <w:spacing w:after="0"/>
        <w:tabs>
          <w:tab w:leader="none" w:pos="1040" w:val="left"/>
        </w:tabs>
        <w:numPr>
          <w:ilvl w:val="0"/>
          <w:numId w:val="39"/>
        </w:numPr>
        <w:rPr>
          <w:rFonts w:ascii="Arial" w:cs="Arial" w:eastAsia="Arial" w:hAnsi="Arial"/>
          <w:sz w:val="20"/>
          <w:szCs w:val="20"/>
          <w:b w:val="1"/>
          <w:bCs w:val="1"/>
          <w:color w:val="auto"/>
        </w:rPr>
      </w:pPr>
      <w:r>
        <w:rPr>
          <w:rFonts w:ascii="Arial" w:cs="Arial" w:eastAsia="Arial" w:hAnsi="Arial"/>
          <w:sz w:val="20"/>
          <w:szCs w:val="20"/>
          <w:color w:val="auto"/>
        </w:rPr>
        <w:t>Percent of Class Represented By Amount in Row (9)</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0.9% (1)</w:t>
      </w:r>
    </w:p>
    <w:p>
      <w:pPr>
        <w:spacing w:after="0" w:line="229" w:lineRule="exact"/>
        <w:rPr>
          <w:sz w:val="20"/>
          <w:szCs w:val="20"/>
          <w:color w:val="auto"/>
        </w:rPr>
      </w:pPr>
    </w:p>
    <w:p>
      <w:pPr>
        <w:ind w:left="1040" w:hanging="1032"/>
        <w:spacing w:after="0"/>
        <w:tabs>
          <w:tab w:leader="none" w:pos="1040" w:val="left"/>
        </w:tabs>
        <w:numPr>
          <w:ilvl w:val="0"/>
          <w:numId w:val="40"/>
        </w:numPr>
        <w:rPr>
          <w:rFonts w:ascii="Arial" w:cs="Arial" w:eastAsia="Arial" w:hAnsi="Arial"/>
          <w:sz w:val="20"/>
          <w:szCs w:val="20"/>
          <w:b w:val="1"/>
          <w:bCs w:val="1"/>
          <w:color w:val="auto"/>
        </w:rPr>
      </w:pPr>
      <w:r>
        <w:rPr>
          <w:rFonts w:ascii="Arial" w:cs="Arial" w:eastAsia="Arial" w:hAnsi="Arial"/>
          <w:sz w:val="20"/>
          <w:szCs w:val="20"/>
          <w:color w:val="auto"/>
        </w:rPr>
        <w:t>Type of Reporting Person (See Instructions)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PN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w:t>
      </w:r>
    </w:p>
    <w:p>
      <w:pPr>
        <w:spacing w:after="0" w:line="213" w:lineRule="exact"/>
        <w:rPr>
          <w:sz w:val="20"/>
          <w:szCs w:val="20"/>
          <w:color w:val="auto"/>
        </w:rPr>
      </w:pPr>
    </w:p>
    <w:p>
      <w:pPr>
        <w:ind w:left="460" w:hanging="452"/>
        <w:spacing w:after="0" w:line="260" w:lineRule="auto"/>
        <w:tabs>
          <w:tab w:leader="none" w:pos="4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Based on 69,999,954 Ordinary Shares of the Issuer outstanding as of December 13, 2019, as reported in the Issuer's Form 8-K filed with the SEC on December 18,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711" w:right="39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color w:val="auto"/>
        </w:rPr>
        <w:t>CUSIP NO. G48833118</w:t>
      </w:r>
    </w:p>
    <w:p>
      <w:pPr>
        <w:spacing w:after="0" w:line="235" w:lineRule="exact"/>
        <w:rPr>
          <w:sz w:val="20"/>
          <w:szCs w:val="20"/>
          <w:color w:val="auto"/>
        </w:rPr>
      </w:pPr>
    </w:p>
    <w:p>
      <w:pPr>
        <w:ind w:left="1180" w:hanging="1172"/>
        <w:spacing w:after="0"/>
        <w:tabs>
          <w:tab w:leader="none" w:pos="1180" w:val="left"/>
        </w:tabs>
        <w:numPr>
          <w:ilvl w:val="0"/>
          <w:numId w:val="42"/>
        </w:numPr>
        <w:rPr>
          <w:rFonts w:ascii="Arial" w:cs="Arial" w:eastAsia="Arial" w:hAnsi="Arial"/>
          <w:sz w:val="20"/>
          <w:szCs w:val="20"/>
          <w:b w:val="1"/>
          <w:bCs w:val="1"/>
          <w:color w:val="auto"/>
        </w:rPr>
      </w:pPr>
      <w:r>
        <w:rPr>
          <w:rFonts w:ascii="Arial" w:cs="Arial" w:eastAsia="Arial" w:hAnsi="Arial"/>
          <w:sz w:val="20"/>
          <w:szCs w:val="20"/>
          <w:color w:val="auto"/>
        </w:rPr>
        <w:t>Names of Reporting Persons</w:t>
      </w:r>
    </w:p>
    <w:p>
      <w:pPr>
        <w:spacing w:after="0" w:line="229"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The Värde Skyway Master Fund, L.P.</w:t>
      </w:r>
    </w:p>
    <w:p>
      <w:pPr>
        <w:spacing w:after="0" w:line="229" w:lineRule="exact"/>
        <w:rPr>
          <w:rFonts w:ascii="Arial" w:cs="Arial" w:eastAsia="Arial" w:hAnsi="Arial"/>
          <w:sz w:val="20"/>
          <w:szCs w:val="20"/>
          <w:b w:val="1"/>
          <w:bCs w:val="1"/>
          <w:color w:val="auto"/>
        </w:rPr>
      </w:pPr>
    </w:p>
    <w:p>
      <w:pPr>
        <w:ind w:left="2780" w:right="4500" w:hanging="2772"/>
        <w:spacing w:after="0" w:line="479" w:lineRule="auto"/>
        <w:tabs>
          <w:tab w:leader="none" w:pos="1190" w:val="left"/>
        </w:tabs>
        <w:numPr>
          <w:ilvl w:val="0"/>
          <w:numId w:val="42"/>
        </w:numPr>
        <w:rPr>
          <w:rFonts w:ascii="Arial" w:cs="Arial" w:eastAsia="Arial" w:hAnsi="Arial"/>
          <w:sz w:val="20"/>
          <w:szCs w:val="20"/>
          <w:b w:val="1"/>
          <w:bCs w:val="1"/>
          <w:color w:val="auto"/>
        </w:rPr>
      </w:pPr>
      <w:r>
        <w:rPr>
          <w:rFonts w:ascii="Arial" w:cs="Arial" w:eastAsia="Arial" w:hAnsi="Arial"/>
          <w:sz w:val="20"/>
          <w:szCs w:val="20"/>
          <w:color w:val="auto"/>
        </w:rPr>
        <w:t>Check the Appropriate Box If a Member of a Group (See Instructions) a. [ ]</w:t>
      </w:r>
    </w:p>
    <w:p>
      <w:pPr>
        <w:ind w:left="2800"/>
        <w:spacing w:after="0"/>
        <w:rPr>
          <w:rFonts w:ascii="Arial" w:cs="Arial" w:eastAsia="Arial" w:hAnsi="Arial"/>
          <w:sz w:val="20"/>
          <w:szCs w:val="20"/>
          <w:b w:val="1"/>
          <w:bCs w:val="1"/>
          <w:color w:val="auto"/>
        </w:rPr>
      </w:pPr>
      <w:r>
        <w:rPr>
          <w:rFonts w:ascii="Arial" w:cs="Arial" w:eastAsia="Arial" w:hAnsi="Arial"/>
          <w:sz w:val="20"/>
          <w:szCs w:val="20"/>
          <w:color w:val="auto"/>
        </w:rPr>
        <w:t>b. [X]</w:t>
      </w:r>
    </w:p>
    <w:p>
      <w:pPr>
        <w:spacing w:after="0" w:line="229" w:lineRule="exact"/>
        <w:rPr>
          <w:rFonts w:ascii="Arial" w:cs="Arial" w:eastAsia="Arial" w:hAnsi="Arial"/>
          <w:sz w:val="20"/>
          <w:szCs w:val="20"/>
          <w:b w:val="1"/>
          <w:bCs w:val="1"/>
          <w:color w:val="auto"/>
        </w:rPr>
      </w:pPr>
    </w:p>
    <w:p>
      <w:pPr>
        <w:ind w:left="1180" w:hanging="1172"/>
        <w:spacing w:after="0"/>
        <w:tabs>
          <w:tab w:leader="none" w:pos="1180" w:val="left"/>
        </w:tabs>
        <w:numPr>
          <w:ilvl w:val="0"/>
          <w:numId w:val="42"/>
        </w:numPr>
        <w:rPr>
          <w:rFonts w:ascii="Arial" w:cs="Arial" w:eastAsia="Arial" w:hAnsi="Arial"/>
          <w:sz w:val="20"/>
          <w:szCs w:val="20"/>
          <w:b w:val="1"/>
          <w:bCs w:val="1"/>
          <w:color w:val="auto"/>
        </w:rPr>
      </w:pPr>
      <w:r>
        <w:rPr>
          <w:rFonts w:ascii="Arial" w:cs="Arial" w:eastAsia="Arial" w:hAnsi="Arial"/>
          <w:sz w:val="20"/>
          <w:szCs w:val="20"/>
          <w:color w:val="auto"/>
        </w:rPr>
        <w:t>SEC Use Only</w:t>
      </w:r>
    </w:p>
    <w:p>
      <w:pPr>
        <w:spacing w:after="0" w:line="229" w:lineRule="exact"/>
        <w:rPr>
          <w:rFonts w:ascii="Arial" w:cs="Arial" w:eastAsia="Arial" w:hAnsi="Arial"/>
          <w:sz w:val="20"/>
          <w:szCs w:val="20"/>
          <w:b w:val="1"/>
          <w:bCs w:val="1"/>
          <w:color w:val="auto"/>
        </w:rPr>
      </w:pPr>
    </w:p>
    <w:p>
      <w:pPr>
        <w:ind w:left="1180" w:hanging="1172"/>
        <w:spacing w:after="0"/>
        <w:tabs>
          <w:tab w:leader="none" w:pos="1180" w:val="left"/>
        </w:tabs>
        <w:numPr>
          <w:ilvl w:val="0"/>
          <w:numId w:val="42"/>
        </w:numPr>
        <w:rPr>
          <w:rFonts w:ascii="Arial" w:cs="Arial" w:eastAsia="Arial" w:hAnsi="Arial"/>
          <w:sz w:val="20"/>
          <w:szCs w:val="20"/>
          <w:b w:val="1"/>
          <w:bCs w:val="1"/>
          <w:color w:val="auto"/>
        </w:rPr>
      </w:pPr>
      <w:r>
        <w:rPr>
          <w:rFonts w:ascii="Arial" w:cs="Arial" w:eastAsia="Arial" w:hAnsi="Arial"/>
          <w:sz w:val="20"/>
          <w:szCs w:val="20"/>
          <w:color w:val="auto"/>
        </w:rPr>
        <w:t>Citizenship or Place of Organization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100" w:type="dxa"/>
            <w:vAlign w:val="bottom"/>
          </w:tcPr>
          <w:p>
            <w:pPr>
              <w:spacing w:after="0"/>
              <w:rPr>
                <w:sz w:val="20"/>
                <w:szCs w:val="20"/>
                <w:color w:val="auto"/>
              </w:rPr>
            </w:pPr>
            <w:r>
              <w:rPr>
                <w:rFonts w:ascii="Arial" w:cs="Arial" w:eastAsia="Arial" w:hAnsi="Arial"/>
                <w:sz w:val="20"/>
                <w:szCs w:val="20"/>
                <w:color w:val="auto"/>
              </w:rPr>
              <w:t>Cayman Islands</w:t>
            </w:r>
          </w:p>
        </w:tc>
        <w:tc>
          <w:tcPr>
            <w:tcW w:w="116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8"/>
        </w:trPr>
        <w:tc>
          <w:tcPr>
            <w:tcW w:w="2100" w:type="dxa"/>
            <w:vAlign w:val="bottom"/>
          </w:tcPr>
          <w:p>
            <w:pPr>
              <w:spacing w:after="0"/>
              <w:rPr>
                <w:sz w:val="24"/>
                <w:szCs w:val="24"/>
                <w:color w:val="auto"/>
              </w:rPr>
            </w:pPr>
          </w:p>
        </w:tc>
        <w:tc>
          <w:tcPr>
            <w:tcW w:w="1160" w:type="dxa"/>
            <w:vAlign w:val="bottom"/>
          </w:tcPr>
          <w:p>
            <w:pPr>
              <w:jc w:val="right"/>
              <w:ind w:right="541"/>
              <w:spacing w:after="0"/>
              <w:rPr>
                <w:sz w:val="20"/>
                <w:szCs w:val="20"/>
                <w:color w:val="auto"/>
              </w:rPr>
            </w:pPr>
            <w:r>
              <w:rPr>
                <w:rFonts w:ascii="Arial" w:cs="Arial" w:eastAsia="Arial" w:hAnsi="Arial"/>
                <w:sz w:val="20"/>
                <w:szCs w:val="20"/>
                <w:b w:val="1"/>
                <w:bCs w:val="1"/>
                <w:color w:val="auto"/>
              </w:rPr>
              <w:t>5.</w:t>
            </w:r>
          </w:p>
        </w:tc>
        <w:tc>
          <w:tcPr>
            <w:tcW w:w="2700" w:type="dxa"/>
            <w:vAlign w:val="bottom"/>
          </w:tcPr>
          <w:p>
            <w:pPr>
              <w:ind w:left="660"/>
              <w:spacing w:after="0"/>
              <w:rPr>
                <w:sz w:val="20"/>
                <w:szCs w:val="20"/>
                <w:color w:val="auto"/>
              </w:rPr>
            </w:pPr>
            <w:r>
              <w:rPr>
                <w:rFonts w:ascii="Arial" w:cs="Arial" w:eastAsia="Arial" w:hAnsi="Arial"/>
                <w:sz w:val="20"/>
                <w:szCs w:val="20"/>
                <w:color w:val="auto"/>
              </w:rPr>
              <w:t>Sole Voting Power</w:t>
            </w:r>
          </w:p>
        </w:tc>
        <w:tc>
          <w:tcPr>
            <w:tcW w:w="0" w:type="dxa"/>
            <w:vAlign w:val="bottom"/>
          </w:tcPr>
          <w:p>
            <w:pPr>
              <w:spacing w:after="0"/>
              <w:rPr>
                <w:sz w:val="1"/>
                <w:szCs w:val="1"/>
                <w:color w:val="auto"/>
              </w:rPr>
            </w:pPr>
          </w:p>
        </w:tc>
      </w:tr>
      <w:tr>
        <w:trPr>
          <w:trHeight w:val="230"/>
        </w:trPr>
        <w:tc>
          <w:tcPr>
            <w:tcW w:w="2100" w:type="dxa"/>
            <w:vAlign w:val="bottom"/>
          </w:tcPr>
          <w:p>
            <w:pPr>
              <w:jc w:val="center"/>
              <w:ind w:left="261"/>
              <w:spacing w:after="0"/>
              <w:rPr>
                <w:sz w:val="20"/>
                <w:szCs w:val="20"/>
                <w:color w:val="auto"/>
              </w:rPr>
            </w:pPr>
            <w:r>
              <w:rPr>
                <w:rFonts w:ascii="Arial" w:cs="Arial" w:eastAsia="Arial" w:hAnsi="Arial"/>
                <w:sz w:val="20"/>
                <w:szCs w:val="20"/>
                <w:color w:val="auto"/>
                <w:w w:val="92"/>
              </w:rPr>
              <w:t>Number of</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582,919</w:t>
            </w: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81"/>
              </w:rPr>
              <w:t>Shares</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6.</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4"/>
              </w:rPr>
              <w:t>Beneficially</w:t>
            </w:r>
          </w:p>
        </w:tc>
        <w:tc>
          <w:tcPr>
            <w:tcW w:w="1160" w:type="dxa"/>
            <w:vAlign w:val="bottom"/>
            <w:vMerge w:val="continue"/>
          </w:tcPr>
          <w:p>
            <w:pPr>
              <w:spacing w:after="0"/>
              <w:rPr>
                <w:sz w:val="19"/>
                <w:szCs w:val="19"/>
                <w:color w:val="auto"/>
              </w:rPr>
            </w:pPr>
          </w:p>
        </w:tc>
        <w:tc>
          <w:tcPr>
            <w:tcW w:w="2700" w:type="dxa"/>
            <w:vAlign w:val="bottom"/>
          </w:tcPr>
          <w:p>
            <w:pPr>
              <w:ind w:left="660"/>
              <w:spacing w:after="0"/>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0"/>
              </w:rPr>
              <w:t>Owned By</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87"/>
              </w:rPr>
              <w:t>Each</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7.</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2"/>
              </w:rPr>
              <w:t>Reporting</w:t>
            </w:r>
          </w:p>
        </w:tc>
        <w:tc>
          <w:tcPr>
            <w:tcW w:w="1160" w:type="dxa"/>
            <w:vAlign w:val="bottom"/>
            <w:vMerge w:val="continue"/>
          </w:tcPr>
          <w:p>
            <w:pPr>
              <w:spacing w:after="0"/>
              <w:rPr>
                <w:sz w:val="19"/>
                <w:szCs w:val="19"/>
                <w:color w:val="auto"/>
              </w:rPr>
            </w:pPr>
          </w:p>
        </w:tc>
        <w:tc>
          <w:tcPr>
            <w:tcW w:w="2700" w:type="dxa"/>
            <w:vAlign w:val="bottom"/>
          </w:tcPr>
          <w:p>
            <w:pPr>
              <w:ind w:left="660"/>
              <w:spacing w:after="0"/>
              <w:rPr>
                <w:sz w:val="20"/>
                <w:szCs w:val="20"/>
                <w:color w:val="auto"/>
              </w:rPr>
            </w:pPr>
            <w:r>
              <w:rPr>
                <w:rFonts w:ascii="Arial" w:cs="Arial" w:eastAsia="Arial" w:hAnsi="Arial"/>
                <w:sz w:val="20"/>
                <w:szCs w:val="20"/>
                <w:color w:val="auto"/>
                <w:w w:val="98"/>
              </w:rPr>
              <w:t>Sole Dispositive Power</w:t>
            </w:r>
          </w:p>
        </w:tc>
        <w:tc>
          <w:tcPr>
            <w:tcW w:w="0" w:type="dxa"/>
            <w:vAlign w:val="bottom"/>
          </w:tcPr>
          <w:p>
            <w:pPr>
              <w:spacing w:after="0"/>
              <w:rPr>
                <w:sz w:val="1"/>
                <w:szCs w:val="1"/>
                <w:color w:val="auto"/>
              </w:rPr>
            </w:pPr>
          </w:p>
        </w:tc>
      </w:tr>
      <w:tr>
        <w:trPr>
          <w:trHeight w:val="230"/>
        </w:trPr>
        <w:tc>
          <w:tcPr>
            <w:tcW w:w="2100" w:type="dxa"/>
            <w:vAlign w:val="bottom"/>
          </w:tcPr>
          <w:p>
            <w:pPr>
              <w:jc w:val="center"/>
              <w:ind w:left="261"/>
              <w:spacing w:after="0"/>
              <w:rPr>
                <w:sz w:val="20"/>
                <w:szCs w:val="20"/>
                <w:color w:val="auto"/>
              </w:rPr>
            </w:pPr>
            <w:r>
              <w:rPr>
                <w:rFonts w:ascii="Arial" w:cs="Arial" w:eastAsia="Arial" w:hAnsi="Arial"/>
                <w:sz w:val="20"/>
                <w:szCs w:val="20"/>
                <w:color w:val="auto"/>
                <w:w w:val="85"/>
              </w:rPr>
              <w:t>Person</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582,919</w:t>
            </w:r>
          </w:p>
        </w:tc>
        <w:tc>
          <w:tcPr>
            <w:tcW w:w="0" w:type="dxa"/>
            <w:vAlign w:val="bottom"/>
          </w:tcPr>
          <w:p>
            <w:pPr>
              <w:spacing w:after="0"/>
              <w:rPr>
                <w:sz w:val="1"/>
                <w:szCs w:val="1"/>
                <w:color w:val="auto"/>
              </w:rPr>
            </w:pPr>
          </w:p>
        </w:tc>
      </w:tr>
      <w:tr>
        <w:trPr>
          <w:trHeight w:val="25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9"/>
              </w:rPr>
              <w:t>With</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8.</w:t>
            </w:r>
          </w:p>
        </w:tc>
        <w:tc>
          <w:tcPr>
            <w:tcW w:w="2700" w:type="dxa"/>
            <w:vAlign w:val="bottom"/>
            <w:vMerge w:val="restart"/>
          </w:tcPr>
          <w:p>
            <w:pPr>
              <w:ind w:left="660"/>
              <w:spacing w:after="0"/>
              <w:rPr>
                <w:sz w:val="20"/>
                <w:szCs w:val="20"/>
                <w:color w:val="auto"/>
              </w:rPr>
            </w:pPr>
            <w:r>
              <w:rPr>
                <w:rFonts w:ascii="Arial" w:cs="Arial" w:eastAsia="Arial" w:hAnsi="Arial"/>
                <w:sz w:val="20"/>
                <w:szCs w:val="20"/>
                <w:color w:val="auto"/>
                <w:w w:val="88"/>
              </w:rPr>
              <w:t>Shared Dispositive Power</w:t>
            </w:r>
          </w:p>
        </w:tc>
        <w:tc>
          <w:tcPr>
            <w:tcW w:w="0" w:type="dxa"/>
            <w:vAlign w:val="bottom"/>
          </w:tcPr>
          <w:p>
            <w:pPr>
              <w:spacing w:after="0"/>
              <w:rPr>
                <w:sz w:val="1"/>
                <w:szCs w:val="1"/>
                <w:color w:val="auto"/>
              </w:rPr>
            </w:pPr>
          </w:p>
        </w:tc>
      </w:tr>
      <w:tr>
        <w:trPr>
          <w:trHeight w:val="209"/>
        </w:trPr>
        <w:tc>
          <w:tcPr>
            <w:tcW w:w="2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1040" w:hanging="1032"/>
        <w:spacing w:after="0"/>
        <w:tabs>
          <w:tab w:leader="none" w:pos="1040" w:val="left"/>
        </w:tabs>
        <w:numPr>
          <w:ilvl w:val="0"/>
          <w:numId w:val="43"/>
        </w:numPr>
        <w:rPr>
          <w:rFonts w:ascii="Arial" w:cs="Arial" w:eastAsia="Arial" w:hAnsi="Arial"/>
          <w:sz w:val="20"/>
          <w:szCs w:val="20"/>
          <w:b w:val="1"/>
          <w:bCs w:val="1"/>
          <w:color w:val="auto"/>
        </w:rPr>
      </w:pPr>
      <w:r>
        <w:rPr>
          <w:rFonts w:ascii="Arial" w:cs="Arial" w:eastAsia="Arial" w:hAnsi="Arial"/>
          <w:sz w:val="20"/>
          <w:szCs w:val="20"/>
          <w:color w:val="auto"/>
        </w:rPr>
        <w:t>Aggregate Amount Beneficially Owned by Each Reporting Person</w:t>
      </w:r>
    </w:p>
    <w:p>
      <w:pPr>
        <w:spacing w:after="0" w:line="229"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582,919</w:t>
      </w:r>
    </w:p>
    <w:p>
      <w:pPr>
        <w:spacing w:after="0" w:line="229" w:lineRule="exact"/>
        <w:rPr>
          <w:rFonts w:ascii="Arial" w:cs="Arial" w:eastAsia="Arial" w:hAnsi="Arial"/>
          <w:sz w:val="20"/>
          <w:szCs w:val="20"/>
          <w:b w:val="1"/>
          <w:bCs w:val="1"/>
          <w:color w:val="auto"/>
        </w:rPr>
      </w:pPr>
    </w:p>
    <w:p>
      <w:pPr>
        <w:ind w:left="1040" w:hanging="1032"/>
        <w:spacing w:after="0"/>
        <w:tabs>
          <w:tab w:leader="none" w:pos="1040" w:val="left"/>
        </w:tabs>
        <w:numPr>
          <w:ilvl w:val="0"/>
          <w:numId w:val="43"/>
        </w:numPr>
        <w:rPr>
          <w:rFonts w:ascii="Arial" w:cs="Arial" w:eastAsia="Arial" w:hAnsi="Arial"/>
          <w:sz w:val="20"/>
          <w:szCs w:val="20"/>
          <w:b w:val="1"/>
          <w:bCs w:val="1"/>
          <w:color w:val="auto"/>
        </w:rPr>
      </w:pPr>
      <w:r>
        <w:rPr>
          <w:rFonts w:ascii="Arial" w:cs="Arial" w:eastAsia="Arial" w:hAnsi="Arial"/>
          <w:sz w:val="20"/>
          <w:szCs w:val="20"/>
          <w:color w:val="auto"/>
        </w:rPr>
        <w:t>Check Box If the Aggregate Amount in Row (9) Excludes Certain Shares (See Instructions)</w:t>
      </w:r>
    </w:p>
    <w:p>
      <w:pPr>
        <w:spacing w:after="0" w:line="229"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  ]</w:t>
      </w:r>
    </w:p>
    <w:p>
      <w:pPr>
        <w:spacing w:after="0" w:line="229" w:lineRule="exact"/>
        <w:rPr>
          <w:rFonts w:ascii="Arial" w:cs="Arial" w:eastAsia="Arial" w:hAnsi="Arial"/>
          <w:sz w:val="20"/>
          <w:szCs w:val="20"/>
          <w:b w:val="1"/>
          <w:bCs w:val="1"/>
          <w:color w:val="auto"/>
        </w:rPr>
      </w:pPr>
    </w:p>
    <w:p>
      <w:pPr>
        <w:ind w:left="1040" w:hanging="1032"/>
        <w:spacing w:after="0"/>
        <w:tabs>
          <w:tab w:leader="none" w:pos="1040" w:val="left"/>
        </w:tabs>
        <w:numPr>
          <w:ilvl w:val="0"/>
          <w:numId w:val="43"/>
        </w:numPr>
        <w:rPr>
          <w:rFonts w:ascii="Arial" w:cs="Arial" w:eastAsia="Arial" w:hAnsi="Arial"/>
          <w:sz w:val="20"/>
          <w:szCs w:val="20"/>
          <w:b w:val="1"/>
          <w:bCs w:val="1"/>
          <w:color w:val="auto"/>
        </w:rPr>
      </w:pPr>
      <w:r>
        <w:rPr>
          <w:rFonts w:ascii="Arial" w:cs="Arial" w:eastAsia="Arial" w:hAnsi="Arial"/>
          <w:sz w:val="20"/>
          <w:szCs w:val="20"/>
          <w:color w:val="auto"/>
        </w:rPr>
        <w:t>Percent of Class Represented By Amount in Row (9)</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0.8% (1)</w:t>
      </w:r>
    </w:p>
    <w:p>
      <w:pPr>
        <w:spacing w:after="0" w:line="229" w:lineRule="exact"/>
        <w:rPr>
          <w:sz w:val="20"/>
          <w:szCs w:val="20"/>
          <w:color w:val="auto"/>
        </w:rPr>
      </w:pPr>
    </w:p>
    <w:p>
      <w:pPr>
        <w:ind w:left="1040" w:hanging="1032"/>
        <w:spacing w:after="0"/>
        <w:tabs>
          <w:tab w:leader="none" w:pos="1040" w:val="left"/>
        </w:tabs>
        <w:numPr>
          <w:ilvl w:val="0"/>
          <w:numId w:val="44"/>
        </w:numPr>
        <w:rPr>
          <w:rFonts w:ascii="Arial" w:cs="Arial" w:eastAsia="Arial" w:hAnsi="Arial"/>
          <w:sz w:val="20"/>
          <w:szCs w:val="20"/>
          <w:b w:val="1"/>
          <w:bCs w:val="1"/>
          <w:color w:val="auto"/>
        </w:rPr>
      </w:pPr>
      <w:r>
        <w:rPr>
          <w:rFonts w:ascii="Arial" w:cs="Arial" w:eastAsia="Arial" w:hAnsi="Arial"/>
          <w:sz w:val="20"/>
          <w:szCs w:val="20"/>
          <w:color w:val="auto"/>
        </w:rPr>
        <w:t>Type of Reporting Person (See Instructions)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PN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w:t>
      </w:r>
    </w:p>
    <w:p>
      <w:pPr>
        <w:spacing w:after="0" w:line="213" w:lineRule="exact"/>
        <w:rPr>
          <w:sz w:val="20"/>
          <w:szCs w:val="20"/>
          <w:color w:val="auto"/>
        </w:rPr>
      </w:pPr>
    </w:p>
    <w:p>
      <w:pPr>
        <w:ind w:left="460" w:hanging="452"/>
        <w:spacing w:after="0" w:line="260" w:lineRule="auto"/>
        <w:tabs>
          <w:tab w:leader="none" w:pos="4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Based on 69,999,954 Ordinary Shares of the Issuer outstanding as of December 13, 2019, as reported in the Issuer's Form 8-K filed with the SEC on December 18,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576" w:right="399" w:bottom="1440"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color w:val="auto"/>
        </w:rPr>
        <w:t>CUSIP NO. G48833118</w:t>
      </w:r>
    </w:p>
    <w:p>
      <w:pPr>
        <w:spacing w:after="0" w:line="235" w:lineRule="exact"/>
        <w:rPr>
          <w:sz w:val="20"/>
          <w:szCs w:val="20"/>
          <w:color w:val="auto"/>
        </w:rPr>
      </w:pPr>
    </w:p>
    <w:p>
      <w:pPr>
        <w:ind w:left="1180" w:hanging="1172"/>
        <w:spacing w:after="0"/>
        <w:tabs>
          <w:tab w:leader="none" w:pos="1180" w:val="left"/>
        </w:tabs>
        <w:numPr>
          <w:ilvl w:val="0"/>
          <w:numId w:val="46"/>
        </w:numPr>
        <w:rPr>
          <w:rFonts w:ascii="Arial" w:cs="Arial" w:eastAsia="Arial" w:hAnsi="Arial"/>
          <w:sz w:val="20"/>
          <w:szCs w:val="20"/>
          <w:b w:val="1"/>
          <w:bCs w:val="1"/>
          <w:color w:val="auto"/>
        </w:rPr>
      </w:pPr>
      <w:r>
        <w:rPr>
          <w:rFonts w:ascii="Arial" w:cs="Arial" w:eastAsia="Arial" w:hAnsi="Arial"/>
          <w:sz w:val="20"/>
          <w:szCs w:val="20"/>
          <w:color w:val="auto"/>
        </w:rPr>
        <w:t>Names of Reporting Persons</w:t>
      </w:r>
    </w:p>
    <w:p>
      <w:pPr>
        <w:spacing w:after="0" w:line="229"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The Värde Skyway Fund G.P., L.P.</w:t>
      </w:r>
    </w:p>
    <w:p>
      <w:pPr>
        <w:spacing w:after="0" w:line="229" w:lineRule="exact"/>
        <w:rPr>
          <w:rFonts w:ascii="Arial" w:cs="Arial" w:eastAsia="Arial" w:hAnsi="Arial"/>
          <w:sz w:val="20"/>
          <w:szCs w:val="20"/>
          <w:b w:val="1"/>
          <w:bCs w:val="1"/>
          <w:color w:val="auto"/>
        </w:rPr>
      </w:pPr>
    </w:p>
    <w:p>
      <w:pPr>
        <w:ind w:left="2780" w:right="4500" w:hanging="2772"/>
        <w:spacing w:after="0" w:line="479" w:lineRule="auto"/>
        <w:tabs>
          <w:tab w:leader="none" w:pos="1190" w:val="left"/>
        </w:tabs>
        <w:numPr>
          <w:ilvl w:val="0"/>
          <w:numId w:val="46"/>
        </w:numPr>
        <w:rPr>
          <w:rFonts w:ascii="Arial" w:cs="Arial" w:eastAsia="Arial" w:hAnsi="Arial"/>
          <w:sz w:val="20"/>
          <w:szCs w:val="20"/>
          <w:b w:val="1"/>
          <w:bCs w:val="1"/>
          <w:color w:val="auto"/>
        </w:rPr>
      </w:pPr>
      <w:r>
        <w:rPr>
          <w:rFonts w:ascii="Arial" w:cs="Arial" w:eastAsia="Arial" w:hAnsi="Arial"/>
          <w:sz w:val="20"/>
          <w:szCs w:val="20"/>
          <w:color w:val="auto"/>
        </w:rPr>
        <w:t>Check the Appropriate Box If a Member of a Group (See Instructions) a. [ ]</w:t>
      </w:r>
    </w:p>
    <w:p>
      <w:pPr>
        <w:ind w:left="2800"/>
        <w:spacing w:after="0"/>
        <w:rPr>
          <w:rFonts w:ascii="Arial" w:cs="Arial" w:eastAsia="Arial" w:hAnsi="Arial"/>
          <w:sz w:val="20"/>
          <w:szCs w:val="20"/>
          <w:b w:val="1"/>
          <w:bCs w:val="1"/>
          <w:color w:val="auto"/>
        </w:rPr>
      </w:pPr>
      <w:r>
        <w:rPr>
          <w:rFonts w:ascii="Arial" w:cs="Arial" w:eastAsia="Arial" w:hAnsi="Arial"/>
          <w:sz w:val="20"/>
          <w:szCs w:val="20"/>
          <w:color w:val="auto"/>
        </w:rPr>
        <w:t>b. [X]</w:t>
      </w:r>
    </w:p>
    <w:p>
      <w:pPr>
        <w:spacing w:after="0" w:line="229" w:lineRule="exact"/>
        <w:rPr>
          <w:rFonts w:ascii="Arial" w:cs="Arial" w:eastAsia="Arial" w:hAnsi="Arial"/>
          <w:sz w:val="20"/>
          <w:szCs w:val="20"/>
          <w:b w:val="1"/>
          <w:bCs w:val="1"/>
          <w:color w:val="auto"/>
        </w:rPr>
      </w:pPr>
    </w:p>
    <w:p>
      <w:pPr>
        <w:ind w:left="1180" w:hanging="1172"/>
        <w:spacing w:after="0"/>
        <w:tabs>
          <w:tab w:leader="none" w:pos="1180" w:val="left"/>
        </w:tabs>
        <w:numPr>
          <w:ilvl w:val="0"/>
          <w:numId w:val="46"/>
        </w:numPr>
        <w:rPr>
          <w:rFonts w:ascii="Arial" w:cs="Arial" w:eastAsia="Arial" w:hAnsi="Arial"/>
          <w:sz w:val="20"/>
          <w:szCs w:val="20"/>
          <w:b w:val="1"/>
          <w:bCs w:val="1"/>
          <w:color w:val="auto"/>
        </w:rPr>
      </w:pPr>
      <w:r>
        <w:rPr>
          <w:rFonts w:ascii="Arial" w:cs="Arial" w:eastAsia="Arial" w:hAnsi="Arial"/>
          <w:sz w:val="20"/>
          <w:szCs w:val="20"/>
          <w:color w:val="auto"/>
        </w:rPr>
        <w:t>SEC Use Only</w:t>
      </w:r>
    </w:p>
    <w:p>
      <w:pPr>
        <w:spacing w:after="0" w:line="229" w:lineRule="exact"/>
        <w:rPr>
          <w:rFonts w:ascii="Arial" w:cs="Arial" w:eastAsia="Arial" w:hAnsi="Arial"/>
          <w:sz w:val="20"/>
          <w:szCs w:val="20"/>
          <w:b w:val="1"/>
          <w:bCs w:val="1"/>
          <w:color w:val="auto"/>
        </w:rPr>
      </w:pPr>
    </w:p>
    <w:p>
      <w:pPr>
        <w:ind w:left="1180" w:hanging="1172"/>
        <w:spacing w:after="0"/>
        <w:tabs>
          <w:tab w:leader="none" w:pos="1180" w:val="left"/>
        </w:tabs>
        <w:numPr>
          <w:ilvl w:val="0"/>
          <w:numId w:val="46"/>
        </w:numPr>
        <w:rPr>
          <w:rFonts w:ascii="Arial" w:cs="Arial" w:eastAsia="Arial" w:hAnsi="Arial"/>
          <w:sz w:val="20"/>
          <w:szCs w:val="20"/>
          <w:b w:val="1"/>
          <w:bCs w:val="1"/>
          <w:color w:val="auto"/>
        </w:rPr>
      </w:pPr>
      <w:r>
        <w:rPr>
          <w:rFonts w:ascii="Arial" w:cs="Arial" w:eastAsia="Arial" w:hAnsi="Arial"/>
          <w:sz w:val="20"/>
          <w:szCs w:val="20"/>
          <w:color w:val="auto"/>
        </w:rPr>
        <w:t>Citizenship or Place of Organization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100" w:type="dxa"/>
            <w:vAlign w:val="bottom"/>
          </w:tcPr>
          <w:p>
            <w:pPr>
              <w:spacing w:after="0"/>
              <w:rPr>
                <w:sz w:val="20"/>
                <w:szCs w:val="20"/>
                <w:color w:val="auto"/>
              </w:rPr>
            </w:pPr>
            <w:r>
              <w:rPr>
                <w:rFonts w:ascii="Arial" w:cs="Arial" w:eastAsia="Arial" w:hAnsi="Arial"/>
                <w:sz w:val="20"/>
                <w:szCs w:val="20"/>
                <w:color w:val="auto"/>
              </w:rPr>
              <w:t>Delaware</w:t>
            </w:r>
          </w:p>
        </w:tc>
        <w:tc>
          <w:tcPr>
            <w:tcW w:w="116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8"/>
        </w:trPr>
        <w:tc>
          <w:tcPr>
            <w:tcW w:w="2100" w:type="dxa"/>
            <w:vAlign w:val="bottom"/>
          </w:tcPr>
          <w:p>
            <w:pPr>
              <w:spacing w:after="0"/>
              <w:rPr>
                <w:sz w:val="24"/>
                <w:szCs w:val="24"/>
                <w:color w:val="auto"/>
              </w:rPr>
            </w:pPr>
          </w:p>
        </w:tc>
        <w:tc>
          <w:tcPr>
            <w:tcW w:w="1160" w:type="dxa"/>
            <w:vAlign w:val="bottom"/>
          </w:tcPr>
          <w:p>
            <w:pPr>
              <w:jc w:val="right"/>
              <w:ind w:right="541"/>
              <w:spacing w:after="0"/>
              <w:rPr>
                <w:sz w:val="20"/>
                <w:szCs w:val="20"/>
                <w:color w:val="auto"/>
              </w:rPr>
            </w:pPr>
            <w:r>
              <w:rPr>
                <w:rFonts w:ascii="Arial" w:cs="Arial" w:eastAsia="Arial" w:hAnsi="Arial"/>
                <w:sz w:val="20"/>
                <w:szCs w:val="20"/>
                <w:b w:val="1"/>
                <w:bCs w:val="1"/>
                <w:color w:val="auto"/>
              </w:rPr>
              <w:t>5.</w:t>
            </w:r>
          </w:p>
        </w:tc>
        <w:tc>
          <w:tcPr>
            <w:tcW w:w="2700" w:type="dxa"/>
            <w:vAlign w:val="bottom"/>
          </w:tcPr>
          <w:p>
            <w:pPr>
              <w:ind w:left="660"/>
              <w:spacing w:after="0"/>
              <w:rPr>
                <w:sz w:val="20"/>
                <w:szCs w:val="20"/>
                <w:color w:val="auto"/>
              </w:rPr>
            </w:pPr>
            <w:r>
              <w:rPr>
                <w:rFonts w:ascii="Arial" w:cs="Arial" w:eastAsia="Arial" w:hAnsi="Arial"/>
                <w:sz w:val="20"/>
                <w:szCs w:val="20"/>
                <w:color w:val="auto"/>
              </w:rPr>
              <w:t>Sole Voting Power</w:t>
            </w:r>
          </w:p>
        </w:tc>
        <w:tc>
          <w:tcPr>
            <w:tcW w:w="0" w:type="dxa"/>
            <w:vAlign w:val="bottom"/>
          </w:tcPr>
          <w:p>
            <w:pPr>
              <w:spacing w:after="0"/>
              <w:rPr>
                <w:sz w:val="1"/>
                <w:szCs w:val="1"/>
                <w:color w:val="auto"/>
              </w:rPr>
            </w:pPr>
          </w:p>
        </w:tc>
      </w:tr>
      <w:tr>
        <w:trPr>
          <w:trHeight w:val="230"/>
        </w:trPr>
        <w:tc>
          <w:tcPr>
            <w:tcW w:w="2100" w:type="dxa"/>
            <w:vAlign w:val="bottom"/>
          </w:tcPr>
          <w:p>
            <w:pPr>
              <w:jc w:val="center"/>
              <w:ind w:left="261"/>
              <w:spacing w:after="0"/>
              <w:rPr>
                <w:sz w:val="20"/>
                <w:szCs w:val="20"/>
                <w:color w:val="auto"/>
              </w:rPr>
            </w:pPr>
            <w:r>
              <w:rPr>
                <w:rFonts w:ascii="Arial" w:cs="Arial" w:eastAsia="Arial" w:hAnsi="Arial"/>
                <w:sz w:val="20"/>
                <w:szCs w:val="20"/>
                <w:color w:val="auto"/>
                <w:w w:val="92"/>
              </w:rPr>
              <w:t>Number of</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582,919</w:t>
            </w: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81"/>
              </w:rPr>
              <w:t>Shares</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6.</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4"/>
              </w:rPr>
              <w:t>Beneficially</w:t>
            </w:r>
          </w:p>
        </w:tc>
        <w:tc>
          <w:tcPr>
            <w:tcW w:w="1160" w:type="dxa"/>
            <w:vAlign w:val="bottom"/>
            <w:vMerge w:val="continue"/>
          </w:tcPr>
          <w:p>
            <w:pPr>
              <w:spacing w:after="0"/>
              <w:rPr>
                <w:sz w:val="19"/>
                <w:szCs w:val="19"/>
                <w:color w:val="auto"/>
              </w:rPr>
            </w:pPr>
          </w:p>
        </w:tc>
        <w:tc>
          <w:tcPr>
            <w:tcW w:w="2700" w:type="dxa"/>
            <w:vAlign w:val="bottom"/>
          </w:tcPr>
          <w:p>
            <w:pPr>
              <w:ind w:left="660"/>
              <w:spacing w:after="0"/>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0"/>
              </w:rPr>
              <w:t>Owned By</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87"/>
              </w:rPr>
              <w:t>Each</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7.</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2"/>
              </w:rPr>
              <w:t>Reporting</w:t>
            </w:r>
          </w:p>
        </w:tc>
        <w:tc>
          <w:tcPr>
            <w:tcW w:w="1160" w:type="dxa"/>
            <w:vAlign w:val="bottom"/>
            <w:vMerge w:val="continue"/>
          </w:tcPr>
          <w:p>
            <w:pPr>
              <w:spacing w:after="0"/>
              <w:rPr>
                <w:sz w:val="19"/>
                <w:szCs w:val="19"/>
                <w:color w:val="auto"/>
              </w:rPr>
            </w:pPr>
          </w:p>
        </w:tc>
        <w:tc>
          <w:tcPr>
            <w:tcW w:w="2700" w:type="dxa"/>
            <w:vAlign w:val="bottom"/>
          </w:tcPr>
          <w:p>
            <w:pPr>
              <w:ind w:left="660"/>
              <w:spacing w:after="0"/>
              <w:rPr>
                <w:sz w:val="20"/>
                <w:szCs w:val="20"/>
                <w:color w:val="auto"/>
              </w:rPr>
            </w:pPr>
            <w:r>
              <w:rPr>
                <w:rFonts w:ascii="Arial" w:cs="Arial" w:eastAsia="Arial" w:hAnsi="Arial"/>
                <w:sz w:val="20"/>
                <w:szCs w:val="20"/>
                <w:color w:val="auto"/>
                <w:w w:val="98"/>
              </w:rPr>
              <w:t>Sole Dispositive Power</w:t>
            </w:r>
          </w:p>
        </w:tc>
        <w:tc>
          <w:tcPr>
            <w:tcW w:w="0" w:type="dxa"/>
            <w:vAlign w:val="bottom"/>
          </w:tcPr>
          <w:p>
            <w:pPr>
              <w:spacing w:after="0"/>
              <w:rPr>
                <w:sz w:val="1"/>
                <w:szCs w:val="1"/>
                <w:color w:val="auto"/>
              </w:rPr>
            </w:pPr>
          </w:p>
        </w:tc>
      </w:tr>
      <w:tr>
        <w:trPr>
          <w:trHeight w:val="230"/>
        </w:trPr>
        <w:tc>
          <w:tcPr>
            <w:tcW w:w="2100" w:type="dxa"/>
            <w:vAlign w:val="bottom"/>
          </w:tcPr>
          <w:p>
            <w:pPr>
              <w:jc w:val="center"/>
              <w:ind w:left="261"/>
              <w:spacing w:after="0"/>
              <w:rPr>
                <w:sz w:val="20"/>
                <w:szCs w:val="20"/>
                <w:color w:val="auto"/>
              </w:rPr>
            </w:pPr>
            <w:r>
              <w:rPr>
                <w:rFonts w:ascii="Arial" w:cs="Arial" w:eastAsia="Arial" w:hAnsi="Arial"/>
                <w:sz w:val="20"/>
                <w:szCs w:val="20"/>
                <w:color w:val="auto"/>
                <w:w w:val="85"/>
              </w:rPr>
              <w:t>Person</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582,919</w:t>
            </w:r>
          </w:p>
        </w:tc>
        <w:tc>
          <w:tcPr>
            <w:tcW w:w="0" w:type="dxa"/>
            <w:vAlign w:val="bottom"/>
          </w:tcPr>
          <w:p>
            <w:pPr>
              <w:spacing w:after="0"/>
              <w:rPr>
                <w:sz w:val="1"/>
                <w:szCs w:val="1"/>
                <w:color w:val="auto"/>
              </w:rPr>
            </w:pPr>
          </w:p>
        </w:tc>
      </w:tr>
      <w:tr>
        <w:trPr>
          <w:trHeight w:val="25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9"/>
              </w:rPr>
              <w:t>With</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8.</w:t>
            </w:r>
          </w:p>
        </w:tc>
        <w:tc>
          <w:tcPr>
            <w:tcW w:w="2700" w:type="dxa"/>
            <w:vAlign w:val="bottom"/>
            <w:vMerge w:val="restart"/>
          </w:tcPr>
          <w:p>
            <w:pPr>
              <w:ind w:left="660"/>
              <w:spacing w:after="0"/>
              <w:rPr>
                <w:sz w:val="20"/>
                <w:szCs w:val="20"/>
                <w:color w:val="auto"/>
              </w:rPr>
            </w:pPr>
            <w:r>
              <w:rPr>
                <w:rFonts w:ascii="Arial" w:cs="Arial" w:eastAsia="Arial" w:hAnsi="Arial"/>
                <w:sz w:val="20"/>
                <w:szCs w:val="20"/>
                <w:color w:val="auto"/>
                <w:w w:val="88"/>
              </w:rPr>
              <w:t>Shared Dispositive Power</w:t>
            </w:r>
          </w:p>
        </w:tc>
        <w:tc>
          <w:tcPr>
            <w:tcW w:w="0" w:type="dxa"/>
            <w:vAlign w:val="bottom"/>
          </w:tcPr>
          <w:p>
            <w:pPr>
              <w:spacing w:after="0"/>
              <w:rPr>
                <w:sz w:val="1"/>
                <w:szCs w:val="1"/>
                <w:color w:val="auto"/>
              </w:rPr>
            </w:pPr>
          </w:p>
        </w:tc>
      </w:tr>
      <w:tr>
        <w:trPr>
          <w:trHeight w:val="209"/>
        </w:trPr>
        <w:tc>
          <w:tcPr>
            <w:tcW w:w="2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1040" w:hanging="1032"/>
        <w:spacing w:after="0"/>
        <w:tabs>
          <w:tab w:leader="none" w:pos="1040" w:val="left"/>
        </w:tabs>
        <w:numPr>
          <w:ilvl w:val="0"/>
          <w:numId w:val="47"/>
        </w:numPr>
        <w:rPr>
          <w:rFonts w:ascii="Arial" w:cs="Arial" w:eastAsia="Arial" w:hAnsi="Arial"/>
          <w:sz w:val="20"/>
          <w:szCs w:val="20"/>
          <w:b w:val="1"/>
          <w:bCs w:val="1"/>
          <w:color w:val="auto"/>
        </w:rPr>
      </w:pPr>
      <w:r>
        <w:rPr>
          <w:rFonts w:ascii="Arial" w:cs="Arial" w:eastAsia="Arial" w:hAnsi="Arial"/>
          <w:sz w:val="20"/>
          <w:szCs w:val="20"/>
          <w:color w:val="auto"/>
        </w:rPr>
        <w:t>Aggregate Amount Beneficially Owned by Each Reporting Person</w:t>
      </w:r>
    </w:p>
    <w:p>
      <w:pPr>
        <w:spacing w:after="0" w:line="229"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582,919</w:t>
      </w:r>
    </w:p>
    <w:p>
      <w:pPr>
        <w:spacing w:after="0" w:line="229" w:lineRule="exact"/>
        <w:rPr>
          <w:rFonts w:ascii="Arial" w:cs="Arial" w:eastAsia="Arial" w:hAnsi="Arial"/>
          <w:sz w:val="20"/>
          <w:szCs w:val="20"/>
          <w:b w:val="1"/>
          <w:bCs w:val="1"/>
          <w:color w:val="auto"/>
        </w:rPr>
      </w:pPr>
    </w:p>
    <w:p>
      <w:pPr>
        <w:ind w:left="1040" w:hanging="1032"/>
        <w:spacing w:after="0"/>
        <w:tabs>
          <w:tab w:leader="none" w:pos="1040" w:val="left"/>
        </w:tabs>
        <w:numPr>
          <w:ilvl w:val="0"/>
          <w:numId w:val="47"/>
        </w:numPr>
        <w:rPr>
          <w:rFonts w:ascii="Arial" w:cs="Arial" w:eastAsia="Arial" w:hAnsi="Arial"/>
          <w:sz w:val="20"/>
          <w:szCs w:val="20"/>
          <w:b w:val="1"/>
          <w:bCs w:val="1"/>
          <w:color w:val="auto"/>
        </w:rPr>
      </w:pPr>
      <w:r>
        <w:rPr>
          <w:rFonts w:ascii="Arial" w:cs="Arial" w:eastAsia="Arial" w:hAnsi="Arial"/>
          <w:sz w:val="20"/>
          <w:szCs w:val="20"/>
          <w:color w:val="auto"/>
        </w:rPr>
        <w:t>Check Box If the Aggregate Amount in Row (9) Excludes Certain Shares (See Instructions)</w:t>
      </w:r>
    </w:p>
    <w:p>
      <w:pPr>
        <w:spacing w:after="0" w:line="229"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  ]</w:t>
      </w:r>
    </w:p>
    <w:p>
      <w:pPr>
        <w:spacing w:after="0" w:line="229" w:lineRule="exact"/>
        <w:rPr>
          <w:rFonts w:ascii="Arial" w:cs="Arial" w:eastAsia="Arial" w:hAnsi="Arial"/>
          <w:sz w:val="20"/>
          <w:szCs w:val="20"/>
          <w:b w:val="1"/>
          <w:bCs w:val="1"/>
          <w:color w:val="auto"/>
        </w:rPr>
      </w:pPr>
    </w:p>
    <w:p>
      <w:pPr>
        <w:ind w:left="1040" w:hanging="1032"/>
        <w:spacing w:after="0"/>
        <w:tabs>
          <w:tab w:leader="none" w:pos="1040" w:val="left"/>
        </w:tabs>
        <w:numPr>
          <w:ilvl w:val="0"/>
          <w:numId w:val="47"/>
        </w:numPr>
        <w:rPr>
          <w:rFonts w:ascii="Arial" w:cs="Arial" w:eastAsia="Arial" w:hAnsi="Arial"/>
          <w:sz w:val="20"/>
          <w:szCs w:val="20"/>
          <w:b w:val="1"/>
          <w:bCs w:val="1"/>
          <w:color w:val="auto"/>
        </w:rPr>
      </w:pPr>
      <w:r>
        <w:rPr>
          <w:rFonts w:ascii="Arial" w:cs="Arial" w:eastAsia="Arial" w:hAnsi="Arial"/>
          <w:sz w:val="20"/>
          <w:szCs w:val="20"/>
          <w:color w:val="auto"/>
        </w:rPr>
        <w:t>Percent of Class Represented By Amount in Row (9)</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0.8% (1)</w:t>
      </w:r>
    </w:p>
    <w:p>
      <w:pPr>
        <w:spacing w:after="0" w:line="229" w:lineRule="exact"/>
        <w:rPr>
          <w:sz w:val="20"/>
          <w:szCs w:val="20"/>
          <w:color w:val="auto"/>
        </w:rPr>
      </w:pPr>
    </w:p>
    <w:p>
      <w:pPr>
        <w:ind w:left="1040" w:hanging="1032"/>
        <w:spacing w:after="0"/>
        <w:tabs>
          <w:tab w:leader="none" w:pos="1040" w:val="left"/>
        </w:tabs>
        <w:numPr>
          <w:ilvl w:val="0"/>
          <w:numId w:val="48"/>
        </w:numPr>
        <w:rPr>
          <w:rFonts w:ascii="Arial" w:cs="Arial" w:eastAsia="Arial" w:hAnsi="Arial"/>
          <w:sz w:val="20"/>
          <w:szCs w:val="20"/>
          <w:b w:val="1"/>
          <w:bCs w:val="1"/>
          <w:color w:val="auto"/>
        </w:rPr>
      </w:pPr>
      <w:r>
        <w:rPr>
          <w:rFonts w:ascii="Arial" w:cs="Arial" w:eastAsia="Arial" w:hAnsi="Arial"/>
          <w:sz w:val="20"/>
          <w:szCs w:val="20"/>
          <w:color w:val="auto"/>
        </w:rPr>
        <w:t>Type of Reporting Person (See Instructions)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PN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w:t>
      </w:r>
    </w:p>
    <w:p>
      <w:pPr>
        <w:spacing w:after="0" w:line="213" w:lineRule="exact"/>
        <w:rPr>
          <w:sz w:val="20"/>
          <w:szCs w:val="20"/>
          <w:color w:val="auto"/>
        </w:rPr>
      </w:pPr>
    </w:p>
    <w:p>
      <w:pPr>
        <w:ind w:left="460" w:hanging="452"/>
        <w:spacing w:after="0" w:line="260" w:lineRule="auto"/>
        <w:tabs>
          <w:tab w:leader="none" w:pos="460" w:val="left"/>
        </w:tabs>
        <w:numPr>
          <w:ilvl w:val="0"/>
          <w:numId w:val="49"/>
        </w:numPr>
        <w:rPr>
          <w:rFonts w:ascii="Arial" w:cs="Arial" w:eastAsia="Arial" w:hAnsi="Arial"/>
          <w:sz w:val="20"/>
          <w:szCs w:val="20"/>
          <w:color w:val="auto"/>
        </w:rPr>
      </w:pPr>
      <w:r>
        <w:rPr>
          <w:rFonts w:ascii="Arial" w:cs="Arial" w:eastAsia="Arial" w:hAnsi="Arial"/>
          <w:sz w:val="20"/>
          <w:szCs w:val="20"/>
          <w:color w:val="auto"/>
        </w:rPr>
        <w:t>Based on 69,999,954 Ordinary Shares of the Issuer outstanding as of December 13, 2019, as reported in the Issuer's Form 8-K filed with the SEC on December 18,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346" w:right="399" w:bottom="1440" w:gutter="0" w:footer="0" w:header="0"/>
        </w:sectPr>
      </w:pPr>
    </w:p>
    <w:bookmarkStart w:id="13" w:name="page14"/>
    <w:bookmarkEnd w:id="13"/>
    <w:p>
      <w:pPr>
        <w:spacing w:after="0"/>
        <w:rPr>
          <w:sz w:val="20"/>
          <w:szCs w:val="20"/>
          <w:color w:val="auto"/>
        </w:rPr>
      </w:pPr>
      <w:r>
        <w:rPr>
          <w:rFonts w:ascii="Arial" w:cs="Arial" w:eastAsia="Arial" w:hAnsi="Arial"/>
          <w:sz w:val="20"/>
          <w:szCs w:val="20"/>
          <w:b w:val="1"/>
          <w:bCs w:val="1"/>
          <w:color w:val="auto"/>
        </w:rPr>
        <w:t>CUSIP NO. G48833118</w:t>
      </w:r>
    </w:p>
    <w:p>
      <w:pPr>
        <w:spacing w:after="0" w:line="235" w:lineRule="exact"/>
        <w:rPr>
          <w:sz w:val="20"/>
          <w:szCs w:val="20"/>
          <w:color w:val="auto"/>
        </w:rPr>
      </w:pPr>
    </w:p>
    <w:p>
      <w:pPr>
        <w:ind w:left="1180" w:hanging="1172"/>
        <w:spacing w:after="0"/>
        <w:tabs>
          <w:tab w:leader="none" w:pos="1180" w:val="left"/>
        </w:tabs>
        <w:numPr>
          <w:ilvl w:val="0"/>
          <w:numId w:val="50"/>
        </w:numPr>
        <w:rPr>
          <w:rFonts w:ascii="Arial" w:cs="Arial" w:eastAsia="Arial" w:hAnsi="Arial"/>
          <w:sz w:val="20"/>
          <w:szCs w:val="20"/>
          <w:b w:val="1"/>
          <w:bCs w:val="1"/>
          <w:color w:val="auto"/>
        </w:rPr>
      </w:pPr>
      <w:r>
        <w:rPr>
          <w:rFonts w:ascii="Arial" w:cs="Arial" w:eastAsia="Arial" w:hAnsi="Arial"/>
          <w:sz w:val="20"/>
          <w:szCs w:val="20"/>
          <w:color w:val="auto"/>
        </w:rPr>
        <w:t>Names of Reporting Persons</w:t>
      </w:r>
    </w:p>
    <w:p>
      <w:pPr>
        <w:spacing w:after="0" w:line="229"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The Värde Skyway Fund UGP, LLC</w:t>
      </w:r>
    </w:p>
    <w:p>
      <w:pPr>
        <w:spacing w:after="0" w:line="229" w:lineRule="exact"/>
        <w:rPr>
          <w:rFonts w:ascii="Arial" w:cs="Arial" w:eastAsia="Arial" w:hAnsi="Arial"/>
          <w:sz w:val="20"/>
          <w:szCs w:val="20"/>
          <w:b w:val="1"/>
          <w:bCs w:val="1"/>
          <w:color w:val="auto"/>
        </w:rPr>
      </w:pPr>
    </w:p>
    <w:p>
      <w:pPr>
        <w:ind w:left="2780" w:right="4500" w:hanging="2772"/>
        <w:spacing w:after="0" w:line="479" w:lineRule="auto"/>
        <w:tabs>
          <w:tab w:leader="none" w:pos="1190" w:val="left"/>
        </w:tabs>
        <w:numPr>
          <w:ilvl w:val="0"/>
          <w:numId w:val="50"/>
        </w:numPr>
        <w:rPr>
          <w:rFonts w:ascii="Arial" w:cs="Arial" w:eastAsia="Arial" w:hAnsi="Arial"/>
          <w:sz w:val="20"/>
          <w:szCs w:val="20"/>
          <w:b w:val="1"/>
          <w:bCs w:val="1"/>
          <w:color w:val="auto"/>
        </w:rPr>
      </w:pPr>
      <w:r>
        <w:rPr>
          <w:rFonts w:ascii="Arial" w:cs="Arial" w:eastAsia="Arial" w:hAnsi="Arial"/>
          <w:sz w:val="20"/>
          <w:szCs w:val="20"/>
          <w:color w:val="auto"/>
        </w:rPr>
        <w:t>Check the Appropriate Box If a Member of a Group (See Instructions) a. [ ]</w:t>
      </w:r>
    </w:p>
    <w:p>
      <w:pPr>
        <w:ind w:left="2800"/>
        <w:spacing w:after="0"/>
        <w:rPr>
          <w:rFonts w:ascii="Arial" w:cs="Arial" w:eastAsia="Arial" w:hAnsi="Arial"/>
          <w:sz w:val="20"/>
          <w:szCs w:val="20"/>
          <w:b w:val="1"/>
          <w:bCs w:val="1"/>
          <w:color w:val="auto"/>
        </w:rPr>
      </w:pPr>
      <w:r>
        <w:rPr>
          <w:rFonts w:ascii="Arial" w:cs="Arial" w:eastAsia="Arial" w:hAnsi="Arial"/>
          <w:sz w:val="20"/>
          <w:szCs w:val="20"/>
          <w:color w:val="auto"/>
        </w:rPr>
        <w:t>b. [X]</w:t>
      </w:r>
    </w:p>
    <w:p>
      <w:pPr>
        <w:spacing w:after="0" w:line="229" w:lineRule="exact"/>
        <w:rPr>
          <w:rFonts w:ascii="Arial" w:cs="Arial" w:eastAsia="Arial" w:hAnsi="Arial"/>
          <w:sz w:val="20"/>
          <w:szCs w:val="20"/>
          <w:b w:val="1"/>
          <w:bCs w:val="1"/>
          <w:color w:val="auto"/>
        </w:rPr>
      </w:pPr>
    </w:p>
    <w:p>
      <w:pPr>
        <w:ind w:left="1180" w:hanging="1172"/>
        <w:spacing w:after="0"/>
        <w:tabs>
          <w:tab w:leader="none" w:pos="1180" w:val="left"/>
        </w:tabs>
        <w:numPr>
          <w:ilvl w:val="0"/>
          <w:numId w:val="50"/>
        </w:numPr>
        <w:rPr>
          <w:rFonts w:ascii="Arial" w:cs="Arial" w:eastAsia="Arial" w:hAnsi="Arial"/>
          <w:sz w:val="20"/>
          <w:szCs w:val="20"/>
          <w:b w:val="1"/>
          <w:bCs w:val="1"/>
          <w:color w:val="auto"/>
        </w:rPr>
      </w:pPr>
      <w:r>
        <w:rPr>
          <w:rFonts w:ascii="Arial" w:cs="Arial" w:eastAsia="Arial" w:hAnsi="Arial"/>
          <w:sz w:val="20"/>
          <w:szCs w:val="20"/>
          <w:color w:val="auto"/>
        </w:rPr>
        <w:t>SEC Use Only</w:t>
      </w:r>
    </w:p>
    <w:p>
      <w:pPr>
        <w:spacing w:after="0" w:line="229" w:lineRule="exact"/>
        <w:rPr>
          <w:rFonts w:ascii="Arial" w:cs="Arial" w:eastAsia="Arial" w:hAnsi="Arial"/>
          <w:sz w:val="20"/>
          <w:szCs w:val="20"/>
          <w:b w:val="1"/>
          <w:bCs w:val="1"/>
          <w:color w:val="auto"/>
        </w:rPr>
      </w:pPr>
    </w:p>
    <w:p>
      <w:pPr>
        <w:ind w:left="1180" w:hanging="1172"/>
        <w:spacing w:after="0"/>
        <w:tabs>
          <w:tab w:leader="none" w:pos="1180" w:val="left"/>
        </w:tabs>
        <w:numPr>
          <w:ilvl w:val="0"/>
          <w:numId w:val="50"/>
        </w:numPr>
        <w:rPr>
          <w:rFonts w:ascii="Arial" w:cs="Arial" w:eastAsia="Arial" w:hAnsi="Arial"/>
          <w:sz w:val="20"/>
          <w:szCs w:val="20"/>
          <w:b w:val="1"/>
          <w:bCs w:val="1"/>
          <w:color w:val="auto"/>
        </w:rPr>
      </w:pPr>
      <w:r>
        <w:rPr>
          <w:rFonts w:ascii="Arial" w:cs="Arial" w:eastAsia="Arial" w:hAnsi="Arial"/>
          <w:sz w:val="20"/>
          <w:szCs w:val="20"/>
          <w:color w:val="auto"/>
        </w:rPr>
        <w:t>Citizenship or Place of Organization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100" w:type="dxa"/>
            <w:vAlign w:val="bottom"/>
          </w:tcPr>
          <w:p>
            <w:pPr>
              <w:spacing w:after="0"/>
              <w:rPr>
                <w:sz w:val="20"/>
                <w:szCs w:val="20"/>
                <w:color w:val="auto"/>
              </w:rPr>
            </w:pPr>
            <w:r>
              <w:rPr>
                <w:rFonts w:ascii="Arial" w:cs="Arial" w:eastAsia="Arial" w:hAnsi="Arial"/>
                <w:sz w:val="20"/>
                <w:szCs w:val="20"/>
                <w:color w:val="auto"/>
              </w:rPr>
              <w:t>Delaware</w:t>
            </w:r>
          </w:p>
        </w:tc>
        <w:tc>
          <w:tcPr>
            <w:tcW w:w="116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8"/>
        </w:trPr>
        <w:tc>
          <w:tcPr>
            <w:tcW w:w="2100" w:type="dxa"/>
            <w:vAlign w:val="bottom"/>
          </w:tcPr>
          <w:p>
            <w:pPr>
              <w:spacing w:after="0"/>
              <w:rPr>
                <w:sz w:val="24"/>
                <w:szCs w:val="24"/>
                <w:color w:val="auto"/>
              </w:rPr>
            </w:pPr>
          </w:p>
        </w:tc>
        <w:tc>
          <w:tcPr>
            <w:tcW w:w="1160" w:type="dxa"/>
            <w:vAlign w:val="bottom"/>
          </w:tcPr>
          <w:p>
            <w:pPr>
              <w:jc w:val="right"/>
              <w:ind w:right="541"/>
              <w:spacing w:after="0"/>
              <w:rPr>
                <w:sz w:val="20"/>
                <w:szCs w:val="20"/>
                <w:color w:val="auto"/>
              </w:rPr>
            </w:pPr>
            <w:r>
              <w:rPr>
                <w:rFonts w:ascii="Arial" w:cs="Arial" w:eastAsia="Arial" w:hAnsi="Arial"/>
                <w:sz w:val="20"/>
                <w:szCs w:val="20"/>
                <w:b w:val="1"/>
                <w:bCs w:val="1"/>
                <w:color w:val="auto"/>
              </w:rPr>
              <w:t>5.</w:t>
            </w:r>
          </w:p>
        </w:tc>
        <w:tc>
          <w:tcPr>
            <w:tcW w:w="2700" w:type="dxa"/>
            <w:vAlign w:val="bottom"/>
          </w:tcPr>
          <w:p>
            <w:pPr>
              <w:ind w:left="660"/>
              <w:spacing w:after="0"/>
              <w:rPr>
                <w:sz w:val="20"/>
                <w:szCs w:val="20"/>
                <w:color w:val="auto"/>
              </w:rPr>
            </w:pPr>
            <w:r>
              <w:rPr>
                <w:rFonts w:ascii="Arial" w:cs="Arial" w:eastAsia="Arial" w:hAnsi="Arial"/>
                <w:sz w:val="20"/>
                <w:szCs w:val="20"/>
                <w:color w:val="auto"/>
              </w:rPr>
              <w:t>Sole Voting Power</w:t>
            </w:r>
          </w:p>
        </w:tc>
        <w:tc>
          <w:tcPr>
            <w:tcW w:w="0" w:type="dxa"/>
            <w:vAlign w:val="bottom"/>
          </w:tcPr>
          <w:p>
            <w:pPr>
              <w:spacing w:after="0"/>
              <w:rPr>
                <w:sz w:val="1"/>
                <w:szCs w:val="1"/>
                <w:color w:val="auto"/>
              </w:rPr>
            </w:pPr>
          </w:p>
        </w:tc>
      </w:tr>
      <w:tr>
        <w:trPr>
          <w:trHeight w:val="230"/>
        </w:trPr>
        <w:tc>
          <w:tcPr>
            <w:tcW w:w="2100" w:type="dxa"/>
            <w:vAlign w:val="bottom"/>
          </w:tcPr>
          <w:p>
            <w:pPr>
              <w:jc w:val="center"/>
              <w:ind w:left="261"/>
              <w:spacing w:after="0"/>
              <w:rPr>
                <w:sz w:val="20"/>
                <w:szCs w:val="20"/>
                <w:color w:val="auto"/>
              </w:rPr>
            </w:pPr>
            <w:r>
              <w:rPr>
                <w:rFonts w:ascii="Arial" w:cs="Arial" w:eastAsia="Arial" w:hAnsi="Arial"/>
                <w:sz w:val="20"/>
                <w:szCs w:val="20"/>
                <w:color w:val="auto"/>
                <w:w w:val="92"/>
              </w:rPr>
              <w:t>Number of</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582,919</w:t>
            </w: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81"/>
              </w:rPr>
              <w:t>Shares</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6.</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4"/>
              </w:rPr>
              <w:t>Beneficially</w:t>
            </w:r>
          </w:p>
        </w:tc>
        <w:tc>
          <w:tcPr>
            <w:tcW w:w="1160" w:type="dxa"/>
            <w:vAlign w:val="bottom"/>
            <w:vMerge w:val="continue"/>
          </w:tcPr>
          <w:p>
            <w:pPr>
              <w:spacing w:after="0"/>
              <w:rPr>
                <w:sz w:val="19"/>
                <w:szCs w:val="19"/>
                <w:color w:val="auto"/>
              </w:rPr>
            </w:pPr>
          </w:p>
        </w:tc>
        <w:tc>
          <w:tcPr>
            <w:tcW w:w="2700" w:type="dxa"/>
            <w:vAlign w:val="bottom"/>
          </w:tcPr>
          <w:p>
            <w:pPr>
              <w:ind w:left="660"/>
              <w:spacing w:after="0"/>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0"/>
              </w:rPr>
              <w:t>Owned By</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87"/>
              </w:rPr>
              <w:t>Each</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7.</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2"/>
              </w:rPr>
              <w:t>Reporting</w:t>
            </w:r>
          </w:p>
        </w:tc>
        <w:tc>
          <w:tcPr>
            <w:tcW w:w="1160" w:type="dxa"/>
            <w:vAlign w:val="bottom"/>
            <w:vMerge w:val="continue"/>
          </w:tcPr>
          <w:p>
            <w:pPr>
              <w:spacing w:after="0"/>
              <w:rPr>
                <w:sz w:val="19"/>
                <w:szCs w:val="19"/>
                <w:color w:val="auto"/>
              </w:rPr>
            </w:pPr>
          </w:p>
        </w:tc>
        <w:tc>
          <w:tcPr>
            <w:tcW w:w="2700" w:type="dxa"/>
            <w:vAlign w:val="bottom"/>
          </w:tcPr>
          <w:p>
            <w:pPr>
              <w:ind w:left="660"/>
              <w:spacing w:after="0"/>
              <w:rPr>
                <w:sz w:val="20"/>
                <w:szCs w:val="20"/>
                <w:color w:val="auto"/>
              </w:rPr>
            </w:pPr>
            <w:r>
              <w:rPr>
                <w:rFonts w:ascii="Arial" w:cs="Arial" w:eastAsia="Arial" w:hAnsi="Arial"/>
                <w:sz w:val="20"/>
                <w:szCs w:val="20"/>
                <w:color w:val="auto"/>
                <w:w w:val="98"/>
              </w:rPr>
              <w:t>Sole Dispositive Power</w:t>
            </w:r>
          </w:p>
        </w:tc>
        <w:tc>
          <w:tcPr>
            <w:tcW w:w="0" w:type="dxa"/>
            <w:vAlign w:val="bottom"/>
          </w:tcPr>
          <w:p>
            <w:pPr>
              <w:spacing w:after="0"/>
              <w:rPr>
                <w:sz w:val="1"/>
                <w:szCs w:val="1"/>
                <w:color w:val="auto"/>
              </w:rPr>
            </w:pPr>
          </w:p>
        </w:tc>
      </w:tr>
      <w:tr>
        <w:trPr>
          <w:trHeight w:val="230"/>
        </w:trPr>
        <w:tc>
          <w:tcPr>
            <w:tcW w:w="2100" w:type="dxa"/>
            <w:vAlign w:val="bottom"/>
          </w:tcPr>
          <w:p>
            <w:pPr>
              <w:jc w:val="center"/>
              <w:ind w:left="261"/>
              <w:spacing w:after="0"/>
              <w:rPr>
                <w:sz w:val="20"/>
                <w:szCs w:val="20"/>
                <w:color w:val="auto"/>
              </w:rPr>
            </w:pPr>
            <w:r>
              <w:rPr>
                <w:rFonts w:ascii="Arial" w:cs="Arial" w:eastAsia="Arial" w:hAnsi="Arial"/>
                <w:sz w:val="20"/>
                <w:szCs w:val="20"/>
                <w:color w:val="auto"/>
                <w:w w:val="85"/>
              </w:rPr>
              <w:t>Person</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582,919</w:t>
            </w:r>
          </w:p>
        </w:tc>
        <w:tc>
          <w:tcPr>
            <w:tcW w:w="0" w:type="dxa"/>
            <w:vAlign w:val="bottom"/>
          </w:tcPr>
          <w:p>
            <w:pPr>
              <w:spacing w:after="0"/>
              <w:rPr>
                <w:sz w:val="1"/>
                <w:szCs w:val="1"/>
                <w:color w:val="auto"/>
              </w:rPr>
            </w:pPr>
          </w:p>
        </w:tc>
      </w:tr>
      <w:tr>
        <w:trPr>
          <w:trHeight w:val="25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9"/>
              </w:rPr>
              <w:t>With</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8.</w:t>
            </w:r>
          </w:p>
        </w:tc>
        <w:tc>
          <w:tcPr>
            <w:tcW w:w="2700" w:type="dxa"/>
            <w:vAlign w:val="bottom"/>
            <w:vMerge w:val="restart"/>
          </w:tcPr>
          <w:p>
            <w:pPr>
              <w:ind w:left="660"/>
              <w:spacing w:after="0"/>
              <w:rPr>
                <w:sz w:val="20"/>
                <w:szCs w:val="20"/>
                <w:color w:val="auto"/>
              </w:rPr>
            </w:pPr>
            <w:r>
              <w:rPr>
                <w:rFonts w:ascii="Arial" w:cs="Arial" w:eastAsia="Arial" w:hAnsi="Arial"/>
                <w:sz w:val="20"/>
                <w:szCs w:val="20"/>
                <w:color w:val="auto"/>
                <w:w w:val="88"/>
              </w:rPr>
              <w:t>Shared Dispositive Power</w:t>
            </w:r>
          </w:p>
        </w:tc>
        <w:tc>
          <w:tcPr>
            <w:tcW w:w="0" w:type="dxa"/>
            <w:vAlign w:val="bottom"/>
          </w:tcPr>
          <w:p>
            <w:pPr>
              <w:spacing w:after="0"/>
              <w:rPr>
                <w:sz w:val="1"/>
                <w:szCs w:val="1"/>
                <w:color w:val="auto"/>
              </w:rPr>
            </w:pPr>
          </w:p>
        </w:tc>
      </w:tr>
      <w:tr>
        <w:trPr>
          <w:trHeight w:val="209"/>
        </w:trPr>
        <w:tc>
          <w:tcPr>
            <w:tcW w:w="2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1040" w:hanging="1032"/>
        <w:spacing w:after="0"/>
        <w:tabs>
          <w:tab w:leader="none" w:pos="1040" w:val="left"/>
        </w:tabs>
        <w:numPr>
          <w:ilvl w:val="0"/>
          <w:numId w:val="51"/>
        </w:numPr>
        <w:rPr>
          <w:rFonts w:ascii="Arial" w:cs="Arial" w:eastAsia="Arial" w:hAnsi="Arial"/>
          <w:sz w:val="20"/>
          <w:szCs w:val="20"/>
          <w:b w:val="1"/>
          <w:bCs w:val="1"/>
          <w:color w:val="auto"/>
        </w:rPr>
      </w:pPr>
      <w:r>
        <w:rPr>
          <w:rFonts w:ascii="Arial" w:cs="Arial" w:eastAsia="Arial" w:hAnsi="Arial"/>
          <w:sz w:val="20"/>
          <w:szCs w:val="20"/>
          <w:color w:val="auto"/>
        </w:rPr>
        <w:t>Aggregate Amount Beneficially Owned by Each Reporting Person</w:t>
      </w:r>
    </w:p>
    <w:p>
      <w:pPr>
        <w:spacing w:after="0" w:line="229"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582,919</w:t>
      </w:r>
    </w:p>
    <w:p>
      <w:pPr>
        <w:spacing w:after="0" w:line="229" w:lineRule="exact"/>
        <w:rPr>
          <w:rFonts w:ascii="Arial" w:cs="Arial" w:eastAsia="Arial" w:hAnsi="Arial"/>
          <w:sz w:val="20"/>
          <w:szCs w:val="20"/>
          <w:b w:val="1"/>
          <w:bCs w:val="1"/>
          <w:color w:val="auto"/>
        </w:rPr>
      </w:pPr>
    </w:p>
    <w:p>
      <w:pPr>
        <w:ind w:left="1040" w:hanging="1032"/>
        <w:spacing w:after="0"/>
        <w:tabs>
          <w:tab w:leader="none" w:pos="1040" w:val="left"/>
        </w:tabs>
        <w:numPr>
          <w:ilvl w:val="0"/>
          <w:numId w:val="51"/>
        </w:numPr>
        <w:rPr>
          <w:rFonts w:ascii="Arial" w:cs="Arial" w:eastAsia="Arial" w:hAnsi="Arial"/>
          <w:sz w:val="20"/>
          <w:szCs w:val="20"/>
          <w:b w:val="1"/>
          <w:bCs w:val="1"/>
          <w:color w:val="auto"/>
        </w:rPr>
      </w:pPr>
      <w:r>
        <w:rPr>
          <w:rFonts w:ascii="Arial" w:cs="Arial" w:eastAsia="Arial" w:hAnsi="Arial"/>
          <w:sz w:val="20"/>
          <w:szCs w:val="20"/>
          <w:color w:val="auto"/>
        </w:rPr>
        <w:t>Check Box If the Aggregate Amount in Row (9) Excludes Certain Shares (See Instructions)</w:t>
      </w:r>
    </w:p>
    <w:p>
      <w:pPr>
        <w:spacing w:after="0" w:line="229"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  ]</w:t>
      </w:r>
    </w:p>
    <w:p>
      <w:pPr>
        <w:spacing w:after="0" w:line="229" w:lineRule="exact"/>
        <w:rPr>
          <w:rFonts w:ascii="Arial" w:cs="Arial" w:eastAsia="Arial" w:hAnsi="Arial"/>
          <w:sz w:val="20"/>
          <w:szCs w:val="20"/>
          <w:b w:val="1"/>
          <w:bCs w:val="1"/>
          <w:color w:val="auto"/>
        </w:rPr>
      </w:pPr>
    </w:p>
    <w:p>
      <w:pPr>
        <w:ind w:left="1040" w:hanging="1032"/>
        <w:spacing w:after="0"/>
        <w:tabs>
          <w:tab w:leader="none" w:pos="1040" w:val="left"/>
        </w:tabs>
        <w:numPr>
          <w:ilvl w:val="0"/>
          <w:numId w:val="51"/>
        </w:numPr>
        <w:rPr>
          <w:rFonts w:ascii="Arial" w:cs="Arial" w:eastAsia="Arial" w:hAnsi="Arial"/>
          <w:sz w:val="20"/>
          <w:szCs w:val="20"/>
          <w:b w:val="1"/>
          <w:bCs w:val="1"/>
          <w:color w:val="auto"/>
        </w:rPr>
      </w:pPr>
      <w:r>
        <w:rPr>
          <w:rFonts w:ascii="Arial" w:cs="Arial" w:eastAsia="Arial" w:hAnsi="Arial"/>
          <w:sz w:val="20"/>
          <w:szCs w:val="20"/>
          <w:color w:val="auto"/>
        </w:rPr>
        <w:t>Percent of Class Represented By Amount in Row (9)</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0.8% (1)</w:t>
      </w:r>
    </w:p>
    <w:p>
      <w:pPr>
        <w:spacing w:after="0" w:line="229" w:lineRule="exact"/>
        <w:rPr>
          <w:sz w:val="20"/>
          <w:szCs w:val="20"/>
          <w:color w:val="auto"/>
        </w:rPr>
      </w:pPr>
    </w:p>
    <w:p>
      <w:pPr>
        <w:ind w:left="1040" w:hanging="1032"/>
        <w:spacing w:after="0"/>
        <w:tabs>
          <w:tab w:leader="none" w:pos="1040" w:val="left"/>
        </w:tabs>
        <w:numPr>
          <w:ilvl w:val="0"/>
          <w:numId w:val="52"/>
        </w:numPr>
        <w:rPr>
          <w:rFonts w:ascii="Arial" w:cs="Arial" w:eastAsia="Arial" w:hAnsi="Arial"/>
          <w:sz w:val="20"/>
          <w:szCs w:val="20"/>
          <w:b w:val="1"/>
          <w:bCs w:val="1"/>
          <w:color w:val="auto"/>
        </w:rPr>
      </w:pPr>
      <w:r>
        <w:rPr>
          <w:rFonts w:ascii="Arial" w:cs="Arial" w:eastAsia="Arial" w:hAnsi="Arial"/>
          <w:sz w:val="20"/>
          <w:szCs w:val="20"/>
          <w:color w:val="auto"/>
        </w:rPr>
        <w:t>Type of Reporting Person (See Instructions)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OO</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w:t>
      </w:r>
    </w:p>
    <w:p>
      <w:pPr>
        <w:spacing w:after="0" w:line="213" w:lineRule="exact"/>
        <w:rPr>
          <w:sz w:val="20"/>
          <w:szCs w:val="20"/>
          <w:color w:val="auto"/>
        </w:rPr>
      </w:pPr>
    </w:p>
    <w:p>
      <w:pPr>
        <w:ind w:left="460" w:hanging="452"/>
        <w:spacing w:after="0" w:line="260" w:lineRule="auto"/>
        <w:tabs>
          <w:tab w:leader="none" w:pos="4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Based on 69,999,954 Ordinary Shares of the Issuer outstanding as of December 13, 2019, as reported in the Issuer's Form 8-K filed with the SEC on December 18,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346" w:right="39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t>CUSIP NO. G48833118</w:t>
      </w:r>
    </w:p>
    <w:p>
      <w:pPr>
        <w:spacing w:after="0" w:line="235" w:lineRule="exact"/>
        <w:rPr>
          <w:sz w:val="20"/>
          <w:szCs w:val="20"/>
          <w:color w:val="auto"/>
        </w:rPr>
      </w:pPr>
    </w:p>
    <w:p>
      <w:pPr>
        <w:ind w:left="1180" w:hanging="1172"/>
        <w:spacing w:after="0"/>
        <w:tabs>
          <w:tab w:leader="none" w:pos="1180" w:val="left"/>
        </w:tabs>
        <w:numPr>
          <w:ilvl w:val="0"/>
          <w:numId w:val="54"/>
        </w:numPr>
        <w:rPr>
          <w:rFonts w:ascii="Arial" w:cs="Arial" w:eastAsia="Arial" w:hAnsi="Arial"/>
          <w:sz w:val="20"/>
          <w:szCs w:val="20"/>
          <w:b w:val="1"/>
          <w:bCs w:val="1"/>
          <w:color w:val="auto"/>
        </w:rPr>
      </w:pPr>
      <w:r>
        <w:rPr>
          <w:rFonts w:ascii="Arial" w:cs="Arial" w:eastAsia="Arial" w:hAnsi="Arial"/>
          <w:sz w:val="20"/>
          <w:szCs w:val="20"/>
          <w:color w:val="auto"/>
        </w:rPr>
        <w:t>Names of Reporting Persons</w:t>
      </w:r>
    </w:p>
    <w:p>
      <w:pPr>
        <w:spacing w:after="0" w:line="229"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Värde Credit Partners Master, L.P.</w:t>
      </w:r>
    </w:p>
    <w:p>
      <w:pPr>
        <w:spacing w:after="0" w:line="229" w:lineRule="exact"/>
        <w:rPr>
          <w:rFonts w:ascii="Arial" w:cs="Arial" w:eastAsia="Arial" w:hAnsi="Arial"/>
          <w:sz w:val="20"/>
          <w:szCs w:val="20"/>
          <w:b w:val="1"/>
          <w:bCs w:val="1"/>
          <w:color w:val="auto"/>
        </w:rPr>
      </w:pPr>
    </w:p>
    <w:p>
      <w:pPr>
        <w:ind w:left="2780" w:right="4500" w:hanging="2772"/>
        <w:spacing w:after="0" w:line="479" w:lineRule="auto"/>
        <w:tabs>
          <w:tab w:leader="none" w:pos="1190" w:val="left"/>
        </w:tabs>
        <w:numPr>
          <w:ilvl w:val="0"/>
          <w:numId w:val="54"/>
        </w:numPr>
        <w:rPr>
          <w:rFonts w:ascii="Arial" w:cs="Arial" w:eastAsia="Arial" w:hAnsi="Arial"/>
          <w:sz w:val="20"/>
          <w:szCs w:val="20"/>
          <w:b w:val="1"/>
          <w:bCs w:val="1"/>
          <w:color w:val="auto"/>
        </w:rPr>
      </w:pPr>
      <w:r>
        <w:rPr>
          <w:rFonts w:ascii="Arial" w:cs="Arial" w:eastAsia="Arial" w:hAnsi="Arial"/>
          <w:sz w:val="20"/>
          <w:szCs w:val="20"/>
          <w:color w:val="auto"/>
        </w:rPr>
        <w:t>Check the Appropriate Box If a Member of a Group (See Instructions) a. [ ]</w:t>
      </w:r>
    </w:p>
    <w:p>
      <w:pPr>
        <w:ind w:left="2800"/>
        <w:spacing w:after="0"/>
        <w:rPr>
          <w:rFonts w:ascii="Arial" w:cs="Arial" w:eastAsia="Arial" w:hAnsi="Arial"/>
          <w:sz w:val="20"/>
          <w:szCs w:val="20"/>
          <w:b w:val="1"/>
          <w:bCs w:val="1"/>
          <w:color w:val="auto"/>
        </w:rPr>
      </w:pPr>
      <w:r>
        <w:rPr>
          <w:rFonts w:ascii="Arial" w:cs="Arial" w:eastAsia="Arial" w:hAnsi="Arial"/>
          <w:sz w:val="20"/>
          <w:szCs w:val="20"/>
          <w:color w:val="auto"/>
        </w:rPr>
        <w:t>b. [X]</w:t>
      </w:r>
    </w:p>
    <w:p>
      <w:pPr>
        <w:spacing w:after="0" w:line="229" w:lineRule="exact"/>
        <w:rPr>
          <w:rFonts w:ascii="Arial" w:cs="Arial" w:eastAsia="Arial" w:hAnsi="Arial"/>
          <w:sz w:val="20"/>
          <w:szCs w:val="20"/>
          <w:b w:val="1"/>
          <w:bCs w:val="1"/>
          <w:color w:val="auto"/>
        </w:rPr>
      </w:pPr>
    </w:p>
    <w:p>
      <w:pPr>
        <w:ind w:left="1180" w:hanging="1172"/>
        <w:spacing w:after="0"/>
        <w:tabs>
          <w:tab w:leader="none" w:pos="1180" w:val="left"/>
        </w:tabs>
        <w:numPr>
          <w:ilvl w:val="0"/>
          <w:numId w:val="54"/>
        </w:numPr>
        <w:rPr>
          <w:rFonts w:ascii="Arial" w:cs="Arial" w:eastAsia="Arial" w:hAnsi="Arial"/>
          <w:sz w:val="20"/>
          <w:szCs w:val="20"/>
          <w:b w:val="1"/>
          <w:bCs w:val="1"/>
          <w:color w:val="auto"/>
        </w:rPr>
      </w:pPr>
      <w:r>
        <w:rPr>
          <w:rFonts w:ascii="Arial" w:cs="Arial" w:eastAsia="Arial" w:hAnsi="Arial"/>
          <w:sz w:val="20"/>
          <w:szCs w:val="20"/>
          <w:color w:val="auto"/>
        </w:rPr>
        <w:t>SEC Use Only</w:t>
      </w:r>
    </w:p>
    <w:p>
      <w:pPr>
        <w:spacing w:after="0" w:line="229" w:lineRule="exact"/>
        <w:rPr>
          <w:rFonts w:ascii="Arial" w:cs="Arial" w:eastAsia="Arial" w:hAnsi="Arial"/>
          <w:sz w:val="20"/>
          <w:szCs w:val="20"/>
          <w:b w:val="1"/>
          <w:bCs w:val="1"/>
          <w:color w:val="auto"/>
        </w:rPr>
      </w:pPr>
    </w:p>
    <w:p>
      <w:pPr>
        <w:ind w:left="1180" w:hanging="1172"/>
        <w:spacing w:after="0"/>
        <w:tabs>
          <w:tab w:leader="none" w:pos="1180" w:val="left"/>
        </w:tabs>
        <w:numPr>
          <w:ilvl w:val="0"/>
          <w:numId w:val="54"/>
        </w:numPr>
        <w:rPr>
          <w:rFonts w:ascii="Arial" w:cs="Arial" w:eastAsia="Arial" w:hAnsi="Arial"/>
          <w:sz w:val="20"/>
          <w:szCs w:val="20"/>
          <w:b w:val="1"/>
          <w:bCs w:val="1"/>
          <w:color w:val="auto"/>
        </w:rPr>
      </w:pPr>
      <w:r>
        <w:rPr>
          <w:rFonts w:ascii="Arial" w:cs="Arial" w:eastAsia="Arial" w:hAnsi="Arial"/>
          <w:sz w:val="20"/>
          <w:szCs w:val="20"/>
          <w:color w:val="auto"/>
        </w:rPr>
        <w:t>Citizenship or Place of Organization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100" w:type="dxa"/>
            <w:vAlign w:val="bottom"/>
          </w:tcPr>
          <w:p>
            <w:pPr>
              <w:spacing w:after="0"/>
              <w:rPr>
                <w:sz w:val="20"/>
                <w:szCs w:val="20"/>
                <w:color w:val="auto"/>
              </w:rPr>
            </w:pPr>
            <w:r>
              <w:rPr>
                <w:rFonts w:ascii="Arial" w:cs="Arial" w:eastAsia="Arial" w:hAnsi="Arial"/>
                <w:sz w:val="20"/>
                <w:szCs w:val="20"/>
                <w:color w:val="auto"/>
              </w:rPr>
              <w:t>Cayman Islands</w:t>
            </w:r>
          </w:p>
        </w:tc>
        <w:tc>
          <w:tcPr>
            <w:tcW w:w="116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8"/>
        </w:trPr>
        <w:tc>
          <w:tcPr>
            <w:tcW w:w="2100" w:type="dxa"/>
            <w:vAlign w:val="bottom"/>
          </w:tcPr>
          <w:p>
            <w:pPr>
              <w:spacing w:after="0"/>
              <w:rPr>
                <w:sz w:val="24"/>
                <w:szCs w:val="24"/>
                <w:color w:val="auto"/>
              </w:rPr>
            </w:pPr>
          </w:p>
        </w:tc>
        <w:tc>
          <w:tcPr>
            <w:tcW w:w="1160" w:type="dxa"/>
            <w:vAlign w:val="bottom"/>
          </w:tcPr>
          <w:p>
            <w:pPr>
              <w:jc w:val="right"/>
              <w:ind w:right="541"/>
              <w:spacing w:after="0"/>
              <w:rPr>
                <w:sz w:val="20"/>
                <w:szCs w:val="20"/>
                <w:color w:val="auto"/>
              </w:rPr>
            </w:pPr>
            <w:r>
              <w:rPr>
                <w:rFonts w:ascii="Arial" w:cs="Arial" w:eastAsia="Arial" w:hAnsi="Arial"/>
                <w:sz w:val="20"/>
                <w:szCs w:val="20"/>
                <w:b w:val="1"/>
                <w:bCs w:val="1"/>
                <w:color w:val="auto"/>
              </w:rPr>
              <w:t>5.</w:t>
            </w:r>
          </w:p>
        </w:tc>
        <w:tc>
          <w:tcPr>
            <w:tcW w:w="2700" w:type="dxa"/>
            <w:vAlign w:val="bottom"/>
          </w:tcPr>
          <w:p>
            <w:pPr>
              <w:ind w:left="660"/>
              <w:spacing w:after="0"/>
              <w:rPr>
                <w:sz w:val="20"/>
                <w:szCs w:val="20"/>
                <w:color w:val="auto"/>
              </w:rPr>
            </w:pPr>
            <w:r>
              <w:rPr>
                <w:rFonts w:ascii="Arial" w:cs="Arial" w:eastAsia="Arial" w:hAnsi="Arial"/>
                <w:sz w:val="20"/>
                <w:szCs w:val="20"/>
                <w:color w:val="auto"/>
              </w:rPr>
              <w:t>Sole Voting Power</w:t>
            </w:r>
          </w:p>
        </w:tc>
        <w:tc>
          <w:tcPr>
            <w:tcW w:w="0" w:type="dxa"/>
            <w:vAlign w:val="bottom"/>
          </w:tcPr>
          <w:p>
            <w:pPr>
              <w:spacing w:after="0"/>
              <w:rPr>
                <w:sz w:val="1"/>
                <w:szCs w:val="1"/>
                <w:color w:val="auto"/>
              </w:rPr>
            </w:pPr>
          </w:p>
        </w:tc>
      </w:tr>
      <w:tr>
        <w:trPr>
          <w:trHeight w:val="230"/>
        </w:trPr>
        <w:tc>
          <w:tcPr>
            <w:tcW w:w="2100" w:type="dxa"/>
            <w:vAlign w:val="bottom"/>
          </w:tcPr>
          <w:p>
            <w:pPr>
              <w:jc w:val="center"/>
              <w:ind w:left="261"/>
              <w:spacing w:after="0"/>
              <w:rPr>
                <w:sz w:val="20"/>
                <w:szCs w:val="20"/>
                <w:color w:val="auto"/>
              </w:rPr>
            </w:pPr>
            <w:r>
              <w:rPr>
                <w:rFonts w:ascii="Arial" w:cs="Arial" w:eastAsia="Arial" w:hAnsi="Arial"/>
                <w:sz w:val="20"/>
                <w:szCs w:val="20"/>
                <w:color w:val="auto"/>
                <w:w w:val="92"/>
              </w:rPr>
              <w:t>Number of</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874,431</w:t>
            </w: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81"/>
              </w:rPr>
              <w:t>Shares</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6.</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4"/>
              </w:rPr>
              <w:t>Beneficially</w:t>
            </w:r>
          </w:p>
        </w:tc>
        <w:tc>
          <w:tcPr>
            <w:tcW w:w="1160" w:type="dxa"/>
            <w:vAlign w:val="bottom"/>
            <w:vMerge w:val="continue"/>
          </w:tcPr>
          <w:p>
            <w:pPr>
              <w:spacing w:after="0"/>
              <w:rPr>
                <w:sz w:val="19"/>
                <w:szCs w:val="19"/>
                <w:color w:val="auto"/>
              </w:rPr>
            </w:pPr>
          </w:p>
        </w:tc>
        <w:tc>
          <w:tcPr>
            <w:tcW w:w="2700" w:type="dxa"/>
            <w:vAlign w:val="bottom"/>
          </w:tcPr>
          <w:p>
            <w:pPr>
              <w:ind w:left="660"/>
              <w:spacing w:after="0"/>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0"/>
              </w:rPr>
              <w:t>Owned By</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87"/>
              </w:rPr>
              <w:t>Each</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7.</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2"/>
              </w:rPr>
              <w:t>Reporting</w:t>
            </w:r>
          </w:p>
        </w:tc>
        <w:tc>
          <w:tcPr>
            <w:tcW w:w="1160" w:type="dxa"/>
            <w:vAlign w:val="bottom"/>
            <w:vMerge w:val="continue"/>
          </w:tcPr>
          <w:p>
            <w:pPr>
              <w:spacing w:after="0"/>
              <w:rPr>
                <w:sz w:val="19"/>
                <w:szCs w:val="19"/>
                <w:color w:val="auto"/>
              </w:rPr>
            </w:pPr>
          </w:p>
        </w:tc>
        <w:tc>
          <w:tcPr>
            <w:tcW w:w="2700" w:type="dxa"/>
            <w:vAlign w:val="bottom"/>
          </w:tcPr>
          <w:p>
            <w:pPr>
              <w:ind w:left="660"/>
              <w:spacing w:after="0"/>
              <w:rPr>
                <w:sz w:val="20"/>
                <w:szCs w:val="20"/>
                <w:color w:val="auto"/>
              </w:rPr>
            </w:pPr>
            <w:r>
              <w:rPr>
                <w:rFonts w:ascii="Arial" w:cs="Arial" w:eastAsia="Arial" w:hAnsi="Arial"/>
                <w:sz w:val="20"/>
                <w:szCs w:val="20"/>
                <w:color w:val="auto"/>
                <w:w w:val="98"/>
              </w:rPr>
              <w:t>Sole Dispositive Power</w:t>
            </w:r>
          </w:p>
        </w:tc>
        <w:tc>
          <w:tcPr>
            <w:tcW w:w="0" w:type="dxa"/>
            <w:vAlign w:val="bottom"/>
          </w:tcPr>
          <w:p>
            <w:pPr>
              <w:spacing w:after="0"/>
              <w:rPr>
                <w:sz w:val="1"/>
                <w:szCs w:val="1"/>
                <w:color w:val="auto"/>
              </w:rPr>
            </w:pPr>
          </w:p>
        </w:tc>
      </w:tr>
      <w:tr>
        <w:trPr>
          <w:trHeight w:val="230"/>
        </w:trPr>
        <w:tc>
          <w:tcPr>
            <w:tcW w:w="2100" w:type="dxa"/>
            <w:vAlign w:val="bottom"/>
          </w:tcPr>
          <w:p>
            <w:pPr>
              <w:jc w:val="center"/>
              <w:ind w:left="261"/>
              <w:spacing w:after="0"/>
              <w:rPr>
                <w:sz w:val="20"/>
                <w:szCs w:val="20"/>
                <w:color w:val="auto"/>
              </w:rPr>
            </w:pPr>
            <w:r>
              <w:rPr>
                <w:rFonts w:ascii="Arial" w:cs="Arial" w:eastAsia="Arial" w:hAnsi="Arial"/>
                <w:sz w:val="20"/>
                <w:szCs w:val="20"/>
                <w:color w:val="auto"/>
                <w:w w:val="85"/>
              </w:rPr>
              <w:t>Person</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874,431</w:t>
            </w:r>
          </w:p>
        </w:tc>
        <w:tc>
          <w:tcPr>
            <w:tcW w:w="0" w:type="dxa"/>
            <w:vAlign w:val="bottom"/>
          </w:tcPr>
          <w:p>
            <w:pPr>
              <w:spacing w:after="0"/>
              <w:rPr>
                <w:sz w:val="1"/>
                <w:szCs w:val="1"/>
                <w:color w:val="auto"/>
              </w:rPr>
            </w:pPr>
          </w:p>
        </w:tc>
      </w:tr>
      <w:tr>
        <w:trPr>
          <w:trHeight w:val="25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9"/>
              </w:rPr>
              <w:t>With</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8.</w:t>
            </w:r>
          </w:p>
        </w:tc>
        <w:tc>
          <w:tcPr>
            <w:tcW w:w="2700" w:type="dxa"/>
            <w:vAlign w:val="bottom"/>
            <w:vMerge w:val="restart"/>
          </w:tcPr>
          <w:p>
            <w:pPr>
              <w:ind w:left="660"/>
              <w:spacing w:after="0"/>
              <w:rPr>
                <w:sz w:val="20"/>
                <w:szCs w:val="20"/>
                <w:color w:val="auto"/>
              </w:rPr>
            </w:pPr>
            <w:r>
              <w:rPr>
                <w:rFonts w:ascii="Arial" w:cs="Arial" w:eastAsia="Arial" w:hAnsi="Arial"/>
                <w:sz w:val="20"/>
                <w:szCs w:val="20"/>
                <w:color w:val="auto"/>
                <w:w w:val="88"/>
              </w:rPr>
              <w:t>Shared Dispositive Power</w:t>
            </w:r>
          </w:p>
        </w:tc>
        <w:tc>
          <w:tcPr>
            <w:tcW w:w="0" w:type="dxa"/>
            <w:vAlign w:val="bottom"/>
          </w:tcPr>
          <w:p>
            <w:pPr>
              <w:spacing w:after="0"/>
              <w:rPr>
                <w:sz w:val="1"/>
                <w:szCs w:val="1"/>
                <w:color w:val="auto"/>
              </w:rPr>
            </w:pPr>
          </w:p>
        </w:tc>
      </w:tr>
      <w:tr>
        <w:trPr>
          <w:trHeight w:val="209"/>
        </w:trPr>
        <w:tc>
          <w:tcPr>
            <w:tcW w:w="2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1040" w:hanging="1032"/>
        <w:spacing w:after="0"/>
        <w:tabs>
          <w:tab w:leader="none" w:pos="1040" w:val="left"/>
        </w:tabs>
        <w:numPr>
          <w:ilvl w:val="0"/>
          <w:numId w:val="55"/>
        </w:numPr>
        <w:rPr>
          <w:rFonts w:ascii="Arial" w:cs="Arial" w:eastAsia="Arial" w:hAnsi="Arial"/>
          <w:sz w:val="20"/>
          <w:szCs w:val="20"/>
          <w:b w:val="1"/>
          <w:bCs w:val="1"/>
          <w:color w:val="auto"/>
        </w:rPr>
      </w:pPr>
      <w:r>
        <w:rPr>
          <w:rFonts w:ascii="Arial" w:cs="Arial" w:eastAsia="Arial" w:hAnsi="Arial"/>
          <w:sz w:val="20"/>
          <w:szCs w:val="20"/>
          <w:color w:val="auto"/>
        </w:rPr>
        <w:t>Aggregate Amount Beneficially Owned by Each Reporting Person</w:t>
      </w:r>
    </w:p>
    <w:p>
      <w:pPr>
        <w:spacing w:after="0" w:line="229"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874,431</w:t>
      </w:r>
    </w:p>
    <w:p>
      <w:pPr>
        <w:spacing w:after="0" w:line="229" w:lineRule="exact"/>
        <w:rPr>
          <w:rFonts w:ascii="Arial" w:cs="Arial" w:eastAsia="Arial" w:hAnsi="Arial"/>
          <w:sz w:val="20"/>
          <w:szCs w:val="20"/>
          <w:b w:val="1"/>
          <w:bCs w:val="1"/>
          <w:color w:val="auto"/>
        </w:rPr>
      </w:pPr>
    </w:p>
    <w:p>
      <w:pPr>
        <w:ind w:left="1040" w:hanging="1032"/>
        <w:spacing w:after="0"/>
        <w:tabs>
          <w:tab w:leader="none" w:pos="1040" w:val="left"/>
        </w:tabs>
        <w:numPr>
          <w:ilvl w:val="0"/>
          <w:numId w:val="55"/>
        </w:numPr>
        <w:rPr>
          <w:rFonts w:ascii="Arial" w:cs="Arial" w:eastAsia="Arial" w:hAnsi="Arial"/>
          <w:sz w:val="20"/>
          <w:szCs w:val="20"/>
          <w:b w:val="1"/>
          <w:bCs w:val="1"/>
          <w:color w:val="auto"/>
        </w:rPr>
      </w:pPr>
      <w:r>
        <w:rPr>
          <w:rFonts w:ascii="Arial" w:cs="Arial" w:eastAsia="Arial" w:hAnsi="Arial"/>
          <w:sz w:val="20"/>
          <w:szCs w:val="20"/>
          <w:color w:val="auto"/>
        </w:rPr>
        <w:t>Check Box If the Aggregate Amount in Row (9) Excludes Certain Shares (See Instructions)</w:t>
      </w:r>
    </w:p>
    <w:p>
      <w:pPr>
        <w:spacing w:after="0" w:line="229"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  ]</w:t>
      </w:r>
    </w:p>
    <w:p>
      <w:pPr>
        <w:spacing w:after="0" w:line="229" w:lineRule="exact"/>
        <w:rPr>
          <w:rFonts w:ascii="Arial" w:cs="Arial" w:eastAsia="Arial" w:hAnsi="Arial"/>
          <w:sz w:val="20"/>
          <w:szCs w:val="20"/>
          <w:b w:val="1"/>
          <w:bCs w:val="1"/>
          <w:color w:val="auto"/>
        </w:rPr>
      </w:pPr>
    </w:p>
    <w:p>
      <w:pPr>
        <w:ind w:left="1040" w:hanging="1032"/>
        <w:spacing w:after="0"/>
        <w:tabs>
          <w:tab w:leader="none" w:pos="1040" w:val="left"/>
        </w:tabs>
        <w:numPr>
          <w:ilvl w:val="0"/>
          <w:numId w:val="55"/>
        </w:numPr>
        <w:rPr>
          <w:rFonts w:ascii="Arial" w:cs="Arial" w:eastAsia="Arial" w:hAnsi="Arial"/>
          <w:sz w:val="20"/>
          <w:szCs w:val="20"/>
          <w:b w:val="1"/>
          <w:bCs w:val="1"/>
          <w:color w:val="auto"/>
        </w:rPr>
      </w:pPr>
      <w:r>
        <w:rPr>
          <w:rFonts w:ascii="Arial" w:cs="Arial" w:eastAsia="Arial" w:hAnsi="Arial"/>
          <w:sz w:val="20"/>
          <w:szCs w:val="20"/>
          <w:color w:val="auto"/>
        </w:rPr>
        <w:t>Percent of Class Represented By Amount in Row (9)</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1.3% (1)</w:t>
      </w:r>
    </w:p>
    <w:p>
      <w:pPr>
        <w:spacing w:after="0" w:line="229" w:lineRule="exact"/>
        <w:rPr>
          <w:sz w:val="20"/>
          <w:szCs w:val="20"/>
          <w:color w:val="auto"/>
        </w:rPr>
      </w:pPr>
    </w:p>
    <w:p>
      <w:pPr>
        <w:ind w:left="1040" w:hanging="1032"/>
        <w:spacing w:after="0"/>
        <w:tabs>
          <w:tab w:leader="none" w:pos="1040" w:val="left"/>
        </w:tabs>
        <w:numPr>
          <w:ilvl w:val="0"/>
          <w:numId w:val="56"/>
        </w:numPr>
        <w:rPr>
          <w:rFonts w:ascii="Arial" w:cs="Arial" w:eastAsia="Arial" w:hAnsi="Arial"/>
          <w:sz w:val="20"/>
          <w:szCs w:val="20"/>
          <w:b w:val="1"/>
          <w:bCs w:val="1"/>
          <w:color w:val="auto"/>
        </w:rPr>
      </w:pPr>
      <w:r>
        <w:rPr>
          <w:rFonts w:ascii="Arial" w:cs="Arial" w:eastAsia="Arial" w:hAnsi="Arial"/>
          <w:sz w:val="20"/>
          <w:szCs w:val="20"/>
          <w:color w:val="auto"/>
        </w:rPr>
        <w:t>Type of Reporting Person (See Instructions)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PN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w:t>
      </w:r>
    </w:p>
    <w:p>
      <w:pPr>
        <w:spacing w:after="0" w:line="213" w:lineRule="exact"/>
        <w:rPr>
          <w:sz w:val="20"/>
          <w:szCs w:val="20"/>
          <w:color w:val="auto"/>
        </w:rPr>
      </w:pPr>
    </w:p>
    <w:p>
      <w:pPr>
        <w:ind w:left="460" w:hanging="452"/>
        <w:spacing w:after="0" w:line="260" w:lineRule="auto"/>
        <w:tabs>
          <w:tab w:leader="none" w:pos="4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Based on 69,999,954 Ordinary Shares of the Issuer outstanding as of December 13, 2019, as reported in the Issuer's Form 8-K filed with the SEC on December 18,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346" w:right="39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color w:val="auto"/>
        </w:rPr>
        <w:t>CUSIP NO. G48833118</w:t>
      </w:r>
    </w:p>
    <w:p>
      <w:pPr>
        <w:spacing w:after="0" w:line="235" w:lineRule="exact"/>
        <w:rPr>
          <w:sz w:val="20"/>
          <w:szCs w:val="20"/>
          <w:color w:val="auto"/>
        </w:rPr>
      </w:pPr>
    </w:p>
    <w:p>
      <w:pPr>
        <w:ind w:left="1180" w:hanging="1172"/>
        <w:spacing w:after="0"/>
        <w:tabs>
          <w:tab w:leader="none" w:pos="1180" w:val="left"/>
        </w:tabs>
        <w:numPr>
          <w:ilvl w:val="0"/>
          <w:numId w:val="58"/>
        </w:numPr>
        <w:rPr>
          <w:rFonts w:ascii="Arial" w:cs="Arial" w:eastAsia="Arial" w:hAnsi="Arial"/>
          <w:sz w:val="20"/>
          <w:szCs w:val="20"/>
          <w:b w:val="1"/>
          <w:bCs w:val="1"/>
          <w:color w:val="auto"/>
        </w:rPr>
      </w:pPr>
      <w:r>
        <w:rPr>
          <w:rFonts w:ascii="Arial" w:cs="Arial" w:eastAsia="Arial" w:hAnsi="Arial"/>
          <w:sz w:val="20"/>
          <w:szCs w:val="20"/>
          <w:color w:val="auto"/>
        </w:rPr>
        <w:t>Names of Reporting Persons</w:t>
      </w:r>
    </w:p>
    <w:p>
      <w:pPr>
        <w:spacing w:after="0" w:line="229"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Värde Credit Partners G.P., L.P.</w:t>
      </w:r>
    </w:p>
    <w:p>
      <w:pPr>
        <w:spacing w:after="0" w:line="229" w:lineRule="exact"/>
        <w:rPr>
          <w:rFonts w:ascii="Arial" w:cs="Arial" w:eastAsia="Arial" w:hAnsi="Arial"/>
          <w:sz w:val="20"/>
          <w:szCs w:val="20"/>
          <w:b w:val="1"/>
          <w:bCs w:val="1"/>
          <w:color w:val="auto"/>
        </w:rPr>
      </w:pPr>
    </w:p>
    <w:p>
      <w:pPr>
        <w:ind w:left="2780" w:right="4500" w:hanging="2772"/>
        <w:spacing w:after="0" w:line="479" w:lineRule="auto"/>
        <w:tabs>
          <w:tab w:leader="none" w:pos="1190" w:val="left"/>
        </w:tabs>
        <w:numPr>
          <w:ilvl w:val="0"/>
          <w:numId w:val="58"/>
        </w:numPr>
        <w:rPr>
          <w:rFonts w:ascii="Arial" w:cs="Arial" w:eastAsia="Arial" w:hAnsi="Arial"/>
          <w:sz w:val="20"/>
          <w:szCs w:val="20"/>
          <w:b w:val="1"/>
          <w:bCs w:val="1"/>
          <w:color w:val="auto"/>
        </w:rPr>
      </w:pPr>
      <w:r>
        <w:rPr>
          <w:rFonts w:ascii="Arial" w:cs="Arial" w:eastAsia="Arial" w:hAnsi="Arial"/>
          <w:sz w:val="20"/>
          <w:szCs w:val="20"/>
          <w:color w:val="auto"/>
        </w:rPr>
        <w:t>Check the Appropriate Box If a Member of a Group (See Instructions) a. [ ]</w:t>
      </w:r>
    </w:p>
    <w:p>
      <w:pPr>
        <w:ind w:left="2800"/>
        <w:spacing w:after="0"/>
        <w:rPr>
          <w:rFonts w:ascii="Arial" w:cs="Arial" w:eastAsia="Arial" w:hAnsi="Arial"/>
          <w:sz w:val="20"/>
          <w:szCs w:val="20"/>
          <w:b w:val="1"/>
          <w:bCs w:val="1"/>
          <w:color w:val="auto"/>
        </w:rPr>
      </w:pPr>
      <w:r>
        <w:rPr>
          <w:rFonts w:ascii="Arial" w:cs="Arial" w:eastAsia="Arial" w:hAnsi="Arial"/>
          <w:sz w:val="20"/>
          <w:szCs w:val="20"/>
          <w:color w:val="auto"/>
        </w:rPr>
        <w:t>b. [X]</w:t>
      </w:r>
    </w:p>
    <w:p>
      <w:pPr>
        <w:spacing w:after="0" w:line="229" w:lineRule="exact"/>
        <w:rPr>
          <w:rFonts w:ascii="Arial" w:cs="Arial" w:eastAsia="Arial" w:hAnsi="Arial"/>
          <w:sz w:val="20"/>
          <w:szCs w:val="20"/>
          <w:b w:val="1"/>
          <w:bCs w:val="1"/>
          <w:color w:val="auto"/>
        </w:rPr>
      </w:pPr>
    </w:p>
    <w:p>
      <w:pPr>
        <w:ind w:left="1180" w:hanging="1172"/>
        <w:spacing w:after="0"/>
        <w:tabs>
          <w:tab w:leader="none" w:pos="1180" w:val="left"/>
        </w:tabs>
        <w:numPr>
          <w:ilvl w:val="0"/>
          <w:numId w:val="58"/>
        </w:numPr>
        <w:rPr>
          <w:rFonts w:ascii="Arial" w:cs="Arial" w:eastAsia="Arial" w:hAnsi="Arial"/>
          <w:sz w:val="20"/>
          <w:szCs w:val="20"/>
          <w:b w:val="1"/>
          <w:bCs w:val="1"/>
          <w:color w:val="auto"/>
        </w:rPr>
      </w:pPr>
      <w:r>
        <w:rPr>
          <w:rFonts w:ascii="Arial" w:cs="Arial" w:eastAsia="Arial" w:hAnsi="Arial"/>
          <w:sz w:val="20"/>
          <w:szCs w:val="20"/>
          <w:color w:val="auto"/>
        </w:rPr>
        <w:t>SEC Use Only</w:t>
      </w:r>
    </w:p>
    <w:p>
      <w:pPr>
        <w:spacing w:after="0" w:line="229" w:lineRule="exact"/>
        <w:rPr>
          <w:rFonts w:ascii="Arial" w:cs="Arial" w:eastAsia="Arial" w:hAnsi="Arial"/>
          <w:sz w:val="20"/>
          <w:szCs w:val="20"/>
          <w:b w:val="1"/>
          <w:bCs w:val="1"/>
          <w:color w:val="auto"/>
        </w:rPr>
      </w:pPr>
    </w:p>
    <w:p>
      <w:pPr>
        <w:ind w:left="1180" w:hanging="1172"/>
        <w:spacing w:after="0"/>
        <w:tabs>
          <w:tab w:leader="none" w:pos="1180" w:val="left"/>
        </w:tabs>
        <w:numPr>
          <w:ilvl w:val="0"/>
          <w:numId w:val="58"/>
        </w:numPr>
        <w:rPr>
          <w:rFonts w:ascii="Arial" w:cs="Arial" w:eastAsia="Arial" w:hAnsi="Arial"/>
          <w:sz w:val="20"/>
          <w:szCs w:val="20"/>
          <w:b w:val="1"/>
          <w:bCs w:val="1"/>
          <w:color w:val="auto"/>
        </w:rPr>
      </w:pPr>
      <w:r>
        <w:rPr>
          <w:rFonts w:ascii="Arial" w:cs="Arial" w:eastAsia="Arial" w:hAnsi="Arial"/>
          <w:sz w:val="20"/>
          <w:szCs w:val="20"/>
          <w:color w:val="auto"/>
        </w:rPr>
        <w:t>Citizenship or Place of Organization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100" w:type="dxa"/>
            <w:vAlign w:val="bottom"/>
          </w:tcPr>
          <w:p>
            <w:pPr>
              <w:spacing w:after="0"/>
              <w:rPr>
                <w:sz w:val="20"/>
                <w:szCs w:val="20"/>
                <w:color w:val="auto"/>
              </w:rPr>
            </w:pPr>
            <w:r>
              <w:rPr>
                <w:rFonts w:ascii="Arial" w:cs="Arial" w:eastAsia="Arial" w:hAnsi="Arial"/>
                <w:sz w:val="20"/>
                <w:szCs w:val="20"/>
                <w:color w:val="auto"/>
              </w:rPr>
              <w:t>Delaware</w:t>
            </w:r>
          </w:p>
        </w:tc>
        <w:tc>
          <w:tcPr>
            <w:tcW w:w="116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8"/>
        </w:trPr>
        <w:tc>
          <w:tcPr>
            <w:tcW w:w="2100" w:type="dxa"/>
            <w:vAlign w:val="bottom"/>
          </w:tcPr>
          <w:p>
            <w:pPr>
              <w:spacing w:after="0"/>
              <w:rPr>
                <w:sz w:val="24"/>
                <w:szCs w:val="24"/>
                <w:color w:val="auto"/>
              </w:rPr>
            </w:pPr>
          </w:p>
        </w:tc>
        <w:tc>
          <w:tcPr>
            <w:tcW w:w="1160" w:type="dxa"/>
            <w:vAlign w:val="bottom"/>
          </w:tcPr>
          <w:p>
            <w:pPr>
              <w:jc w:val="right"/>
              <w:ind w:right="541"/>
              <w:spacing w:after="0"/>
              <w:rPr>
                <w:sz w:val="20"/>
                <w:szCs w:val="20"/>
                <w:color w:val="auto"/>
              </w:rPr>
            </w:pPr>
            <w:r>
              <w:rPr>
                <w:rFonts w:ascii="Arial" w:cs="Arial" w:eastAsia="Arial" w:hAnsi="Arial"/>
                <w:sz w:val="20"/>
                <w:szCs w:val="20"/>
                <w:b w:val="1"/>
                <w:bCs w:val="1"/>
                <w:color w:val="auto"/>
              </w:rPr>
              <w:t>5.</w:t>
            </w:r>
          </w:p>
        </w:tc>
        <w:tc>
          <w:tcPr>
            <w:tcW w:w="2700" w:type="dxa"/>
            <w:vAlign w:val="bottom"/>
          </w:tcPr>
          <w:p>
            <w:pPr>
              <w:ind w:left="660"/>
              <w:spacing w:after="0"/>
              <w:rPr>
                <w:sz w:val="20"/>
                <w:szCs w:val="20"/>
                <w:color w:val="auto"/>
              </w:rPr>
            </w:pPr>
            <w:r>
              <w:rPr>
                <w:rFonts w:ascii="Arial" w:cs="Arial" w:eastAsia="Arial" w:hAnsi="Arial"/>
                <w:sz w:val="20"/>
                <w:szCs w:val="20"/>
                <w:color w:val="auto"/>
              </w:rPr>
              <w:t>Sole Voting Power</w:t>
            </w:r>
          </w:p>
        </w:tc>
        <w:tc>
          <w:tcPr>
            <w:tcW w:w="0" w:type="dxa"/>
            <w:vAlign w:val="bottom"/>
          </w:tcPr>
          <w:p>
            <w:pPr>
              <w:spacing w:after="0"/>
              <w:rPr>
                <w:sz w:val="1"/>
                <w:szCs w:val="1"/>
                <w:color w:val="auto"/>
              </w:rPr>
            </w:pPr>
          </w:p>
        </w:tc>
      </w:tr>
      <w:tr>
        <w:trPr>
          <w:trHeight w:val="230"/>
        </w:trPr>
        <w:tc>
          <w:tcPr>
            <w:tcW w:w="2100" w:type="dxa"/>
            <w:vAlign w:val="bottom"/>
          </w:tcPr>
          <w:p>
            <w:pPr>
              <w:jc w:val="center"/>
              <w:ind w:left="261"/>
              <w:spacing w:after="0"/>
              <w:rPr>
                <w:sz w:val="20"/>
                <w:szCs w:val="20"/>
                <w:color w:val="auto"/>
              </w:rPr>
            </w:pPr>
            <w:r>
              <w:rPr>
                <w:rFonts w:ascii="Arial" w:cs="Arial" w:eastAsia="Arial" w:hAnsi="Arial"/>
                <w:sz w:val="20"/>
                <w:szCs w:val="20"/>
                <w:color w:val="auto"/>
                <w:w w:val="92"/>
              </w:rPr>
              <w:t>Number of</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874,431</w:t>
            </w: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81"/>
              </w:rPr>
              <w:t>Shares</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6.</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4"/>
              </w:rPr>
              <w:t>Beneficially</w:t>
            </w:r>
          </w:p>
        </w:tc>
        <w:tc>
          <w:tcPr>
            <w:tcW w:w="1160" w:type="dxa"/>
            <w:vAlign w:val="bottom"/>
            <w:vMerge w:val="continue"/>
          </w:tcPr>
          <w:p>
            <w:pPr>
              <w:spacing w:after="0"/>
              <w:rPr>
                <w:sz w:val="19"/>
                <w:szCs w:val="19"/>
                <w:color w:val="auto"/>
              </w:rPr>
            </w:pPr>
          </w:p>
        </w:tc>
        <w:tc>
          <w:tcPr>
            <w:tcW w:w="2700" w:type="dxa"/>
            <w:vAlign w:val="bottom"/>
          </w:tcPr>
          <w:p>
            <w:pPr>
              <w:ind w:left="660"/>
              <w:spacing w:after="0"/>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0"/>
              </w:rPr>
              <w:t>Owned By</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87"/>
              </w:rPr>
              <w:t>Each</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7.</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2"/>
              </w:rPr>
              <w:t>Reporting</w:t>
            </w:r>
          </w:p>
        </w:tc>
        <w:tc>
          <w:tcPr>
            <w:tcW w:w="1160" w:type="dxa"/>
            <w:vAlign w:val="bottom"/>
            <w:vMerge w:val="continue"/>
          </w:tcPr>
          <w:p>
            <w:pPr>
              <w:spacing w:after="0"/>
              <w:rPr>
                <w:sz w:val="19"/>
                <w:szCs w:val="19"/>
                <w:color w:val="auto"/>
              </w:rPr>
            </w:pPr>
          </w:p>
        </w:tc>
        <w:tc>
          <w:tcPr>
            <w:tcW w:w="2700" w:type="dxa"/>
            <w:vAlign w:val="bottom"/>
          </w:tcPr>
          <w:p>
            <w:pPr>
              <w:ind w:left="660"/>
              <w:spacing w:after="0"/>
              <w:rPr>
                <w:sz w:val="20"/>
                <w:szCs w:val="20"/>
                <w:color w:val="auto"/>
              </w:rPr>
            </w:pPr>
            <w:r>
              <w:rPr>
                <w:rFonts w:ascii="Arial" w:cs="Arial" w:eastAsia="Arial" w:hAnsi="Arial"/>
                <w:sz w:val="20"/>
                <w:szCs w:val="20"/>
                <w:color w:val="auto"/>
                <w:w w:val="98"/>
              </w:rPr>
              <w:t>Sole Dispositive Power</w:t>
            </w:r>
          </w:p>
        </w:tc>
        <w:tc>
          <w:tcPr>
            <w:tcW w:w="0" w:type="dxa"/>
            <w:vAlign w:val="bottom"/>
          </w:tcPr>
          <w:p>
            <w:pPr>
              <w:spacing w:after="0"/>
              <w:rPr>
                <w:sz w:val="1"/>
                <w:szCs w:val="1"/>
                <w:color w:val="auto"/>
              </w:rPr>
            </w:pPr>
          </w:p>
        </w:tc>
      </w:tr>
      <w:tr>
        <w:trPr>
          <w:trHeight w:val="230"/>
        </w:trPr>
        <w:tc>
          <w:tcPr>
            <w:tcW w:w="2100" w:type="dxa"/>
            <w:vAlign w:val="bottom"/>
          </w:tcPr>
          <w:p>
            <w:pPr>
              <w:jc w:val="center"/>
              <w:ind w:left="261"/>
              <w:spacing w:after="0"/>
              <w:rPr>
                <w:sz w:val="20"/>
                <w:szCs w:val="20"/>
                <w:color w:val="auto"/>
              </w:rPr>
            </w:pPr>
            <w:r>
              <w:rPr>
                <w:rFonts w:ascii="Arial" w:cs="Arial" w:eastAsia="Arial" w:hAnsi="Arial"/>
                <w:sz w:val="20"/>
                <w:szCs w:val="20"/>
                <w:color w:val="auto"/>
                <w:w w:val="85"/>
              </w:rPr>
              <w:t>Person</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874,431</w:t>
            </w:r>
          </w:p>
        </w:tc>
        <w:tc>
          <w:tcPr>
            <w:tcW w:w="0" w:type="dxa"/>
            <w:vAlign w:val="bottom"/>
          </w:tcPr>
          <w:p>
            <w:pPr>
              <w:spacing w:after="0"/>
              <w:rPr>
                <w:sz w:val="1"/>
                <w:szCs w:val="1"/>
                <w:color w:val="auto"/>
              </w:rPr>
            </w:pPr>
          </w:p>
        </w:tc>
      </w:tr>
      <w:tr>
        <w:trPr>
          <w:trHeight w:val="25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9"/>
              </w:rPr>
              <w:t>With</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8.</w:t>
            </w:r>
          </w:p>
        </w:tc>
        <w:tc>
          <w:tcPr>
            <w:tcW w:w="2700" w:type="dxa"/>
            <w:vAlign w:val="bottom"/>
            <w:vMerge w:val="restart"/>
          </w:tcPr>
          <w:p>
            <w:pPr>
              <w:ind w:left="660"/>
              <w:spacing w:after="0"/>
              <w:rPr>
                <w:sz w:val="20"/>
                <w:szCs w:val="20"/>
                <w:color w:val="auto"/>
              </w:rPr>
            </w:pPr>
            <w:r>
              <w:rPr>
                <w:rFonts w:ascii="Arial" w:cs="Arial" w:eastAsia="Arial" w:hAnsi="Arial"/>
                <w:sz w:val="20"/>
                <w:szCs w:val="20"/>
                <w:color w:val="auto"/>
                <w:w w:val="88"/>
              </w:rPr>
              <w:t>Shared Dispositive Power</w:t>
            </w:r>
          </w:p>
        </w:tc>
        <w:tc>
          <w:tcPr>
            <w:tcW w:w="0" w:type="dxa"/>
            <w:vAlign w:val="bottom"/>
          </w:tcPr>
          <w:p>
            <w:pPr>
              <w:spacing w:after="0"/>
              <w:rPr>
                <w:sz w:val="1"/>
                <w:szCs w:val="1"/>
                <w:color w:val="auto"/>
              </w:rPr>
            </w:pPr>
          </w:p>
        </w:tc>
      </w:tr>
      <w:tr>
        <w:trPr>
          <w:trHeight w:val="209"/>
        </w:trPr>
        <w:tc>
          <w:tcPr>
            <w:tcW w:w="2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1040" w:hanging="1032"/>
        <w:spacing w:after="0"/>
        <w:tabs>
          <w:tab w:leader="none" w:pos="1040" w:val="left"/>
        </w:tabs>
        <w:numPr>
          <w:ilvl w:val="0"/>
          <w:numId w:val="59"/>
        </w:numPr>
        <w:rPr>
          <w:rFonts w:ascii="Arial" w:cs="Arial" w:eastAsia="Arial" w:hAnsi="Arial"/>
          <w:sz w:val="20"/>
          <w:szCs w:val="20"/>
          <w:b w:val="1"/>
          <w:bCs w:val="1"/>
          <w:color w:val="auto"/>
        </w:rPr>
      </w:pPr>
      <w:r>
        <w:rPr>
          <w:rFonts w:ascii="Arial" w:cs="Arial" w:eastAsia="Arial" w:hAnsi="Arial"/>
          <w:sz w:val="20"/>
          <w:szCs w:val="20"/>
          <w:color w:val="auto"/>
        </w:rPr>
        <w:t>Aggregate Amount Beneficially Owned by Each Reporting Person</w:t>
      </w:r>
    </w:p>
    <w:p>
      <w:pPr>
        <w:spacing w:after="0" w:line="229"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874,431</w:t>
      </w:r>
    </w:p>
    <w:p>
      <w:pPr>
        <w:spacing w:after="0" w:line="229" w:lineRule="exact"/>
        <w:rPr>
          <w:rFonts w:ascii="Arial" w:cs="Arial" w:eastAsia="Arial" w:hAnsi="Arial"/>
          <w:sz w:val="20"/>
          <w:szCs w:val="20"/>
          <w:b w:val="1"/>
          <w:bCs w:val="1"/>
          <w:color w:val="auto"/>
        </w:rPr>
      </w:pPr>
    </w:p>
    <w:p>
      <w:pPr>
        <w:ind w:left="1040" w:hanging="1032"/>
        <w:spacing w:after="0"/>
        <w:tabs>
          <w:tab w:leader="none" w:pos="1040" w:val="left"/>
        </w:tabs>
        <w:numPr>
          <w:ilvl w:val="0"/>
          <w:numId w:val="59"/>
        </w:numPr>
        <w:rPr>
          <w:rFonts w:ascii="Arial" w:cs="Arial" w:eastAsia="Arial" w:hAnsi="Arial"/>
          <w:sz w:val="20"/>
          <w:szCs w:val="20"/>
          <w:b w:val="1"/>
          <w:bCs w:val="1"/>
          <w:color w:val="auto"/>
        </w:rPr>
      </w:pPr>
      <w:r>
        <w:rPr>
          <w:rFonts w:ascii="Arial" w:cs="Arial" w:eastAsia="Arial" w:hAnsi="Arial"/>
          <w:sz w:val="20"/>
          <w:szCs w:val="20"/>
          <w:color w:val="auto"/>
        </w:rPr>
        <w:t>Check Box If the Aggregate Amount in Row (9) Excludes Certain Shares (See Instructions)</w:t>
      </w:r>
    </w:p>
    <w:p>
      <w:pPr>
        <w:spacing w:after="0" w:line="229"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  ]</w:t>
      </w:r>
    </w:p>
    <w:p>
      <w:pPr>
        <w:spacing w:after="0" w:line="229" w:lineRule="exact"/>
        <w:rPr>
          <w:rFonts w:ascii="Arial" w:cs="Arial" w:eastAsia="Arial" w:hAnsi="Arial"/>
          <w:sz w:val="20"/>
          <w:szCs w:val="20"/>
          <w:b w:val="1"/>
          <w:bCs w:val="1"/>
          <w:color w:val="auto"/>
        </w:rPr>
      </w:pPr>
    </w:p>
    <w:p>
      <w:pPr>
        <w:ind w:left="1040" w:hanging="1032"/>
        <w:spacing w:after="0"/>
        <w:tabs>
          <w:tab w:leader="none" w:pos="1040" w:val="left"/>
        </w:tabs>
        <w:numPr>
          <w:ilvl w:val="0"/>
          <w:numId w:val="59"/>
        </w:numPr>
        <w:rPr>
          <w:rFonts w:ascii="Arial" w:cs="Arial" w:eastAsia="Arial" w:hAnsi="Arial"/>
          <w:sz w:val="20"/>
          <w:szCs w:val="20"/>
          <w:b w:val="1"/>
          <w:bCs w:val="1"/>
          <w:color w:val="auto"/>
        </w:rPr>
      </w:pPr>
      <w:r>
        <w:rPr>
          <w:rFonts w:ascii="Arial" w:cs="Arial" w:eastAsia="Arial" w:hAnsi="Arial"/>
          <w:sz w:val="20"/>
          <w:szCs w:val="20"/>
          <w:color w:val="auto"/>
        </w:rPr>
        <w:t>Percent of Class Represented By Amount in Row (9)</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1.3% (1)</w:t>
      </w:r>
    </w:p>
    <w:p>
      <w:pPr>
        <w:spacing w:after="0" w:line="229" w:lineRule="exact"/>
        <w:rPr>
          <w:sz w:val="20"/>
          <w:szCs w:val="20"/>
          <w:color w:val="auto"/>
        </w:rPr>
      </w:pPr>
    </w:p>
    <w:p>
      <w:pPr>
        <w:ind w:left="1040" w:hanging="1032"/>
        <w:spacing w:after="0"/>
        <w:tabs>
          <w:tab w:leader="none" w:pos="1040" w:val="left"/>
        </w:tabs>
        <w:numPr>
          <w:ilvl w:val="0"/>
          <w:numId w:val="60"/>
        </w:numPr>
        <w:rPr>
          <w:rFonts w:ascii="Arial" w:cs="Arial" w:eastAsia="Arial" w:hAnsi="Arial"/>
          <w:sz w:val="20"/>
          <w:szCs w:val="20"/>
          <w:b w:val="1"/>
          <w:bCs w:val="1"/>
          <w:color w:val="auto"/>
        </w:rPr>
      </w:pPr>
      <w:r>
        <w:rPr>
          <w:rFonts w:ascii="Arial" w:cs="Arial" w:eastAsia="Arial" w:hAnsi="Arial"/>
          <w:sz w:val="20"/>
          <w:szCs w:val="20"/>
          <w:color w:val="auto"/>
        </w:rPr>
        <w:t>Type of Reporting Person (See Instructions)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PN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w:t>
      </w:r>
    </w:p>
    <w:p>
      <w:pPr>
        <w:spacing w:after="0" w:line="213" w:lineRule="exact"/>
        <w:rPr>
          <w:sz w:val="20"/>
          <w:szCs w:val="20"/>
          <w:color w:val="auto"/>
        </w:rPr>
      </w:pPr>
    </w:p>
    <w:p>
      <w:pPr>
        <w:ind w:left="460" w:hanging="452"/>
        <w:spacing w:after="0" w:line="260" w:lineRule="auto"/>
        <w:tabs>
          <w:tab w:leader="none" w:pos="460" w:val="left"/>
        </w:tabs>
        <w:numPr>
          <w:ilvl w:val="0"/>
          <w:numId w:val="61"/>
        </w:numPr>
        <w:rPr>
          <w:rFonts w:ascii="Arial" w:cs="Arial" w:eastAsia="Arial" w:hAnsi="Arial"/>
          <w:sz w:val="20"/>
          <w:szCs w:val="20"/>
          <w:color w:val="auto"/>
        </w:rPr>
      </w:pPr>
      <w:r>
        <w:rPr>
          <w:rFonts w:ascii="Arial" w:cs="Arial" w:eastAsia="Arial" w:hAnsi="Arial"/>
          <w:sz w:val="20"/>
          <w:szCs w:val="20"/>
          <w:color w:val="auto"/>
        </w:rPr>
        <w:t>Based on 69,999,954 Ordinary Shares of the Issuer outstanding as of December 13, 2019, as reported in the Issuer's Form 8-K filed with the SEC on December 18,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346" w:right="399" w:bottom="1440" w:gutter="0" w:footer="0" w:header="0"/>
        </w:sectPr>
      </w:pPr>
    </w:p>
    <w:bookmarkStart w:id="16" w:name="page17"/>
    <w:bookmarkEnd w:id="16"/>
    <w:p>
      <w:pPr>
        <w:spacing w:after="0"/>
        <w:rPr>
          <w:sz w:val="20"/>
          <w:szCs w:val="20"/>
          <w:color w:val="auto"/>
        </w:rPr>
      </w:pPr>
      <w:r>
        <w:rPr>
          <w:rFonts w:ascii="Arial" w:cs="Arial" w:eastAsia="Arial" w:hAnsi="Arial"/>
          <w:sz w:val="20"/>
          <w:szCs w:val="20"/>
          <w:b w:val="1"/>
          <w:bCs w:val="1"/>
          <w:color w:val="auto"/>
        </w:rPr>
        <w:t>CUSIP NO. G48833118</w:t>
      </w:r>
    </w:p>
    <w:p>
      <w:pPr>
        <w:spacing w:after="0" w:line="235" w:lineRule="exact"/>
        <w:rPr>
          <w:sz w:val="20"/>
          <w:szCs w:val="20"/>
          <w:color w:val="auto"/>
        </w:rPr>
      </w:pPr>
    </w:p>
    <w:p>
      <w:pPr>
        <w:ind w:left="1180" w:hanging="1172"/>
        <w:spacing w:after="0"/>
        <w:tabs>
          <w:tab w:leader="none" w:pos="1180" w:val="left"/>
        </w:tabs>
        <w:numPr>
          <w:ilvl w:val="0"/>
          <w:numId w:val="62"/>
        </w:numPr>
        <w:rPr>
          <w:rFonts w:ascii="Arial" w:cs="Arial" w:eastAsia="Arial" w:hAnsi="Arial"/>
          <w:sz w:val="20"/>
          <w:szCs w:val="20"/>
          <w:b w:val="1"/>
          <w:bCs w:val="1"/>
          <w:color w:val="auto"/>
        </w:rPr>
      </w:pPr>
      <w:r>
        <w:rPr>
          <w:rFonts w:ascii="Arial" w:cs="Arial" w:eastAsia="Arial" w:hAnsi="Arial"/>
          <w:sz w:val="20"/>
          <w:szCs w:val="20"/>
          <w:color w:val="auto"/>
        </w:rPr>
        <w:t>Names of Reporting Persons</w:t>
      </w:r>
    </w:p>
    <w:p>
      <w:pPr>
        <w:spacing w:after="0" w:line="229"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Värde Credit Partners UGP, LLC</w:t>
      </w:r>
    </w:p>
    <w:p>
      <w:pPr>
        <w:spacing w:after="0" w:line="229" w:lineRule="exact"/>
        <w:rPr>
          <w:rFonts w:ascii="Arial" w:cs="Arial" w:eastAsia="Arial" w:hAnsi="Arial"/>
          <w:sz w:val="20"/>
          <w:szCs w:val="20"/>
          <w:b w:val="1"/>
          <w:bCs w:val="1"/>
          <w:color w:val="auto"/>
        </w:rPr>
      </w:pPr>
    </w:p>
    <w:p>
      <w:pPr>
        <w:ind w:left="2780" w:right="4500" w:hanging="2772"/>
        <w:spacing w:after="0" w:line="479" w:lineRule="auto"/>
        <w:tabs>
          <w:tab w:leader="none" w:pos="1190" w:val="left"/>
        </w:tabs>
        <w:numPr>
          <w:ilvl w:val="0"/>
          <w:numId w:val="62"/>
        </w:numPr>
        <w:rPr>
          <w:rFonts w:ascii="Arial" w:cs="Arial" w:eastAsia="Arial" w:hAnsi="Arial"/>
          <w:sz w:val="20"/>
          <w:szCs w:val="20"/>
          <w:b w:val="1"/>
          <w:bCs w:val="1"/>
          <w:color w:val="auto"/>
        </w:rPr>
      </w:pPr>
      <w:r>
        <w:rPr>
          <w:rFonts w:ascii="Arial" w:cs="Arial" w:eastAsia="Arial" w:hAnsi="Arial"/>
          <w:sz w:val="20"/>
          <w:szCs w:val="20"/>
          <w:color w:val="auto"/>
        </w:rPr>
        <w:t>Check the Appropriate Box If a Member of a Group (See Instructions) a. [ ]</w:t>
      </w:r>
    </w:p>
    <w:p>
      <w:pPr>
        <w:ind w:left="2800"/>
        <w:spacing w:after="0"/>
        <w:rPr>
          <w:rFonts w:ascii="Arial" w:cs="Arial" w:eastAsia="Arial" w:hAnsi="Arial"/>
          <w:sz w:val="20"/>
          <w:szCs w:val="20"/>
          <w:b w:val="1"/>
          <w:bCs w:val="1"/>
          <w:color w:val="auto"/>
        </w:rPr>
      </w:pPr>
      <w:r>
        <w:rPr>
          <w:rFonts w:ascii="Arial" w:cs="Arial" w:eastAsia="Arial" w:hAnsi="Arial"/>
          <w:sz w:val="20"/>
          <w:szCs w:val="20"/>
          <w:color w:val="auto"/>
        </w:rPr>
        <w:t>b. [X]</w:t>
      </w:r>
    </w:p>
    <w:p>
      <w:pPr>
        <w:spacing w:after="0" w:line="229" w:lineRule="exact"/>
        <w:rPr>
          <w:rFonts w:ascii="Arial" w:cs="Arial" w:eastAsia="Arial" w:hAnsi="Arial"/>
          <w:sz w:val="20"/>
          <w:szCs w:val="20"/>
          <w:b w:val="1"/>
          <w:bCs w:val="1"/>
          <w:color w:val="auto"/>
        </w:rPr>
      </w:pPr>
    </w:p>
    <w:p>
      <w:pPr>
        <w:ind w:left="1180" w:hanging="1172"/>
        <w:spacing w:after="0"/>
        <w:tabs>
          <w:tab w:leader="none" w:pos="1180" w:val="left"/>
        </w:tabs>
        <w:numPr>
          <w:ilvl w:val="0"/>
          <w:numId w:val="62"/>
        </w:numPr>
        <w:rPr>
          <w:rFonts w:ascii="Arial" w:cs="Arial" w:eastAsia="Arial" w:hAnsi="Arial"/>
          <w:sz w:val="20"/>
          <w:szCs w:val="20"/>
          <w:b w:val="1"/>
          <w:bCs w:val="1"/>
          <w:color w:val="auto"/>
        </w:rPr>
      </w:pPr>
      <w:r>
        <w:rPr>
          <w:rFonts w:ascii="Arial" w:cs="Arial" w:eastAsia="Arial" w:hAnsi="Arial"/>
          <w:sz w:val="20"/>
          <w:szCs w:val="20"/>
          <w:color w:val="auto"/>
        </w:rPr>
        <w:t>SEC Use Only</w:t>
      </w:r>
    </w:p>
    <w:p>
      <w:pPr>
        <w:spacing w:after="0" w:line="229" w:lineRule="exact"/>
        <w:rPr>
          <w:rFonts w:ascii="Arial" w:cs="Arial" w:eastAsia="Arial" w:hAnsi="Arial"/>
          <w:sz w:val="20"/>
          <w:szCs w:val="20"/>
          <w:b w:val="1"/>
          <w:bCs w:val="1"/>
          <w:color w:val="auto"/>
        </w:rPr>
      </w:pPr>
    </w:p>
    <w:p>
      <w:pPr>
        <w:ind w:left="1180" w:hanging="1172"/>
        <w:spacing w:after="0"/>
        <w:tabs>
          <w:tab w:leader="none" w:pos="1180" w:val="left"/>
        </w:tabs>
        <w:numPr>
          <w:ilvl w:val="0"/>
          <w:numId w:val="62"/>
        </w:numPr>
        <w:rPr>
          <w:rFonts w:ascii="Arial" w:cs="Arial" w:eastAsia="Arial" w:hAnsi="Arial"/>
          <w:sz w:val="20"/>
          <w:szCs w:val="20"/>
          <w:b w:val="1"/>
          <w:bCs w:val="1"/>
          <w:color w:val="auto"/>
        </w:rPr>
      </w:pPr>
      <w:r>
        <w:rPr>
          <w:rFonts w:ascii="Arial" w:cs="Arial" w:eastAsia="Arial" w:hAnsi="Arial"/>
          <w:sz w:val="20"/>
          <w:szCs w:val="20"/>
          <w:color w:val="auto"/>
        </w:rPr>
        <w:t>Citizenship or Place of Organization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100" w:type="dxa"/>
            <w:vAlign w:val="bottom"/>
          </w:tcPr>
          <w:p>
            <w:pPr>
              <w:spacing w:after="0"/>
              <w:rPr>
                <w:sz w:val="20"/>
                <w:szCs w:val="20"/>
                <w:color w:val="auto"/>
              </w:rPr>
            </w:pPr>
            <w:r>
              <w:rPr>
                <w:rFonts w:ascii="Arial" w:cs="Arial" w:eastAsia="Arial" w:hAnsi="Arial"/>
                <w:sz w:val="20"/>
                <w:szCs w:val="20"/>
                <w:color w:val="auto"/>
              </w:rPr>
              <w:t>Delaware</w:t>
            </w:r>
          </w:p>
        </w:tc>
        <w:tc>
          <w:tcPr>
            <w:tcW w:w="116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8"/>
        </w:trPr>
        <w:tc>
          <w:tcPr>
            <w:tcW w:w="2100" w:type="dxa"/>
            <w:vAlign w:val="bottom"/>
          </w:tcPr>
          <w:p>
            <w:pPr>
              <w:spacing w:after="0"/>
              <w:rPr>
                <w:sz w:val="24"/>
                <w:szCs w:val="24"/>
                <w:color w:val="auto"/>
              </w:rPr>
            </w:pPr>
          </w:p>
        </w:tc>
        <w:tc>
          <w:tcPr>
            <w:tcW w:w="1160" w:type="dxa"/>
            <w:vAlign w:val="bottom"/>
          </w:tcPr>
          <w:p>
            <w:pPr>
              <w:jc w:val="right"/>
              <w:ind w:right="541"/>
              <w:spacing w:after="0"/>
              <w:rPr>
                <w:sz w:val="20"/>
                <w:szCs w:val="20"/>
                <w:color w:val="auto"/>
              </w:rPr>
            </w:pPr>
            <w:r>
              <w:rPr>
                <w:rFonts w:ascii="Arial" w:cs="Arial" w:eastAsia="Arial" w:hAnsi="Arial"/>
                <w:sz w:val="20"/>
                <w:szCs w:val="20"/>
                <w:b w:val="1"/>
                <w:bCs w:val="1"/>
                <w:color w:val="auto"/>
              </w:rPr>
              <w:t>5.</w:t>
            </w:r>
          </w:p>
        </w:tc>
        <w:tc>
          <w:tcPr>
            <w:tcW w:w="2700" w:type="dxa"/>
            <w:vAlign w:val="bottom"/>
          </w:tcPr>
          <w:p>
            <w:pPr>
              <w:ind w:left="660"/>
              <w:spacing w:after="0"/>
              <w:rPr>
                <w:sz w:val="20"/>
                <w:szCs w:val="20"/>
                <w:color w:val="auto"/>
              </w:rPr>
            </w:pPr>
            <w:r>
              <w:rPr>
                <w:rFonts w:ascii="Arial" w:cs="Arial" w:eastAsia="Arial" w:hAnsi="Arial"/>
                <w:sz w:val="20"/>
                <w:szCs w:val="20"/>
                <w:color w:val="auto"/>
              </w:rPr>
              <w:t>Sole Voting Power</w:t>
            </w:r>
          </w:p>
        </w:tc>
        <w:tc>
          <w:tcPr>
            <w:tcW w:w="0" w:type="dxa"/>
            <w:vAlign w:val="bottom"/>
          </w:tcPr>
          <w:p>
            <w:pPr>
              <w:spacing w:after="0"/>
              <w:rPr>
                <w:sz w:val="1"/>
                <w:szCs w:val="1"/>
                <w:color w:val="auto"/>
              </w:rPr>
            </w:pPr>
          </w:p>
        </w:tc>
      </w:tr>
      <w:tr>
        <w:trPr>
          <w:trHeight w:val="230"/>
        </w:trPr>
        <w:tc>
          <w:tcPr>
            <w:tcW w:w="2100" w:type="dxa"/>
            <w:vAlign w:val="bottom"/>
          </w:tcPr>
          <w:p>
            <w:pPr>
              <w:jc w:val="center"/>
              <w:ind w:left="261"/>
              <w:spacing w:after="0"/>
              <w:rPr>
                <w:sz w:val="20"/>
                <w:szCs w:val="20"/>
                <w:color w:val="auto"/>
              </w:rPr>
            </w:pPr>
            <w:r>
              <w:rPr>
                <w:rFonts w:ascii="Arial" w:cs="Arial" w:eastAsia="Arial" w:hAnsi="Arial"/>
                <w:sz w:val="20"/>
                <w:szCs w:val="20"/>
                <w:color w:val="auto"/>
                <w:w w:val="92"/>
              </w:rPr>
              <w:t>Number of</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874,431</w:t>
            </w: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81"/>
              </w:rPr>
              <w:t>Shares</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6.</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4"/>
              </w:rPr>
              <w:t>Beneficially</w:t>
            </w:r>
          </w:p>
        </w:tc>
        <w:tc>
          <w:tcPr>
            <w:tcW w:w="1160" w:type="dxa"/>
            <w:vAlign w:val="bottom"/>
            <w:vMerge w:val="continue"/>
          </w:tcPr>
          <w:p>
            <w:pPr>
              <w:spacing w:after="0"/>
              <w:rPr>
                <w:sz w:val="19"/>
                <w:szCs w:val="19"/>
                <w:color w:val="auto"/>
              </w:rPr>
            </w:pPr>
          </w:p>
        </w:tc>
        <w:tc>
          <w:tcPr>
            <w:tcW w:w="2700" w:type="dxa"/>
            <w:vAlign w:val="bottom"/>
          </w:tcPr>
          <w:p>
            <w:pPr>
              <w:ind w:left="660"/>
              <w:spacing w:after="0"/>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0"/>
              </w:rPr>
              <w:t>Owned By</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87"/>
              </w:rPr>
              <w:t>Each</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7.</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2"/>
              </w:rPr>
              <w:t>Reporting</w:t>
            </w:r>
          </w:p>
        </w:tc>
        <w:tc>
          <w:tcPr>
            <w:tcW w:w="1160" w:type="dxa"/>
            <w:vAlign w:val="bottom"/>
            <w:vMerge w:val="continue"/>
          </w:tcPr>
          <w:p>
            <w:pPr>
              <w:spacing w:after="0"/>
              <w:rPr>
                <w:sz w:val="19"/>
                <w:szCs w:val="19"/>
                <w:color w:val="auto"/>
              </w:rPr>
            </w:pPr>
          </w:p>
        </w:tc>
        <w:tc>
          <w:tcPr>
            <w:tcW w:w="2700" w:type="dxa"/>
            <w:vAlign w:val="bottom"/>
          </w:tcPr>
          <w:p>
            <w:pPr>
              <w:ind w:left="660"/>
              <w:spacing w:after="0"/>
              <w:rPr>
                <w:sz w:val="20"/>
                <w:szCs w:val="20"/>
                <w:color w:val="auto"/>
              </w:rPr>
            </w:pPr>
            <w:r>
              <w:rPr>
                <w:rFonts w:ascii="Arial" w:cs="Arial" w:eastAsia="Arial" w:hAnsi="Arial"/>
                <w:sz w:val="20"/>
                <w:szCs w:val="20"/>
                <w:color w:val="auto"/>
                <w:w w:val="98"/>
              </w:rPr>
              <w:t>Sole Dispositive Power</w:t>
            </w:r>
          </w:p>
        </w:tc>
        <w:tc>
          <w:tcPr>
            <w:tcW w:w="0" w:type="dxa"/>
            <w:vAlign w:val="bottom"/>
          </w:tcPr>
          <w:p>
            <w:pPr>
              <w:spacing w:after="0"/>
              <w:rPr>
                <w:sz w:val="1"/>
                <w:szCs w:val="1"/>
                <w:color w:val="auto"/>
              </w:rPr>
            </w:pPr>
          </w:p>
        </w:tc>
      </w:tr>
      <w:tr>
        <w:trPr>
          <w:trHeight w:val="230"/>
        </w:trPr>
        <w:tc>
          <w:tcPr>
            <w:tcW w:w="2100" w:type="dxa"/>
            <w:vAlign w:val="bottom"/>
          </w:tcPr>
          <w:p>
            <w:pPr>
              <w:jc w:val="center"/>
              <w:ind w:left="261"/>
              <w:spacing w:after="0"/>
              <w:rPr>
                <w:sz w:val="20"/>
                <w:szCs w:val="20"/>
                <w:color w:val="auto"/>
              </w:rPr>
            </w:pPr>
            <w:r>
              <w:rPr>
                <w:rFonts w:ascii="Arial" w:cs="Arial" w:eastAsia="Arial" w:hAnsi="Arial"/>
                <w:sz w:val="20"/>
                <w:szCs w:val="20"/>
                <w:color w:val="auto"/>
                <w:w w:val="85"/>
              </w:rPr>
              <w:t>Person</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874,431</w:t>
            </w:r>
          </w:p>
        </w:tc>
        <w:tc>
          <w:tcPr>
            <w:tcW w:w="0" w:type="dxa"/>
            <w:vAlign w:val="bottom"/>
          </w:tcPr>
          <w:p>
            <w:pPr>
              <w:spacing w:after="0"/>
              <w:rPr>
                <w:sz w:val="1"/>
                <w:szCs w:val="1"/>
                <w:color w:val="auto"/>
              </w:rPr>
            </w:pPr>
          </w:p>
        </w:tc>
      </w:tr>
      <w:tr>
        <w:trPr>
          <w:trHeight w:val="25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9"/>
              </w:rPr>
              <w:t>With</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8.</w:t>
            </w:r>
          </w:p>
        </w:tc>
        <w:tc>
          <w:tcPr>
            <w:tcW w:w="2700" w:type="dxa"/>
            <w:vAlign w:val="bottom"/>
            <w:vMerge w:val="restart"/>
          </w:tcPr>
          <w:p>
            <w:pPr>
              <w:ind w:left="660"/>
              <w:spacing w:after="0"/>
              <w:rPr>
                <w:sz w:val="20"/>
                <w:szCs w:val="20"/>
                <w:color w:val="auto"/>
              </w:rPr>
            </w:pPr>
            <w:r>
              <w:rPr>
                <w:rFonts w:ascii="Arial" w:cs="Arial" w:eastAsia="Arial" w:hAnsi="Arial"/>
                <w:sz w:val="20"/>
                <w:szCs w:val="20"/>
                <w:color w:val="auto"/>
                <w:w w:val="88"/>
              </w:rPr>
              <w:t>Shared Dispositive Power</w:t>
            </w:r>
          </w:p>
        </w:tc>
        <w:tc>
          <w:tcPr>
            <w:tcW w:w="0" w:type="dxa"/>
            <w:vAlign w:val="bottom"/>
          </w:tcPr>
          <w:p>
            <w:pPr>
              <w:spacing w:after="0"/>
              <w:rPr>
                <w:sz w:val="1"/>
                <w:szCs w:val="1"/>
                <w:color w:val="auto"/>
              </w:rPr>
            </w:pPr>
          </w:p>
        </w:tc>
      </w:tr>
      <w:tr>
        <w:trPr>
          <w:trHeight w:val="209"/>
        </w:trPr>
        <w:tc>
          <w:tcPr>
            <w:tcW w:w="2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1040" w:hanging="1032"/>
        <w:spacing w:after="0"/>
        <w:tabs>
          <w:tab w:leader="none" w:pos="1040" w:val="left"/>
        </w:tabs>
        <w:numPr>
          <w:ilvl w:val="0"/>
          <w:numId w:val="63"/>
        </w:numPr>
        <w:rPr>
          <w:rFonts w:ascii="Arial" w:cs="Arial" w:eastAsia="Arial" w:hAnsi="Arial"/>
          <w:sz w:val="20"/>
          <w:szCs w:val="20"/>
          <w:b w:val="1"/>
          <w:bCs w:val="1"/>
          <w:color w:val="auto"/>
        </w:rPr>
      </w:pPr>
      <w:r>
        <w:rPr>
          <w:rFonts w:ascii="Arial" w:cs="Arial" w:eastAsia="Arial" w:hAnsi="Arial"/>
          <w:sz w:val="20"/>
          <w:szCs w:val="20"/>
          <w:color w:val="auto"/>
        </w:rPr>
        <w:t>Aggregate Amount Beneficially Owned by Each Reporting Person</w:t>
      </w:r>
    </w:p>
    <w:p>
      <w:pPr>
        <w:spacing w:after="0" w:line="229"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874,431</w:t>
      </w:r>
    </w:p>
    <w:p>
      <w:pPr>
        <w:spacing w:after="0" w:line="229" w:lineRule="exact"/>
        <w:rPr>
          <w:rFonts w:ascii="Arial" w:cs="Arial" w:eastAsia="Arial" w:hAnsi="Arial"/>
          <w:sz w:val="20"/>
          <w:szCs w:val="20"/>
          <w:b w:val="1"/>
          <w:bCs w:val="1"/>
          <w:color w:val="auto"/>
        </w:rPr>
      </w:pPr>
    </w:p>
    <w:p>
      <w:pPr>
        <w:ind w:left="1040" w:hanging="1032"/>
        <w:spacing w:after="0"/>
        <w:tabs>
          <w:tab w:leader="none" w:pos="1040" w:val="left"/>
        </w:tabs>
        <w:numPr>
          <w:ilvl w:val="0"/>
          <w:numId w:val="63"/>
        </w:numPr>
        <w:rPr>
          <w:rFonts w:ascii="Arial" w:cs="Arial" w:eastAsia="Arial" w:hAnsi="Arial"/>
          <w:sz w:val="20"/>
          <w:szCs w:val="20"/>
          <w:b w:val="1"/>
          <w:bCs w:val="1"/>
          <w:color w:val="auto"/>
        </w:rPr>
      </w:pPr>
      <w:r>
        <w:rPr>
          <w:rFonts w:ascii="Arial" w:cs="Arial" w:eastAsia="Arial" w:hAnsi="Arial"/>
          <w:sz w:val="20"/>
          <w:szCs w:val="20"/>
          <w:color w:val="auto"/>
        </w:rPr>
        <w:t>Check Box If the Aggregate Amount in Row (9) Excludes Certain Shares (See Instructions)</w:t>
      </w:r>
    </w:p>
    <w:p>
      <w:pPr>
        <w:spacing w:after="0" w:line="229"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  ]</w:t>
      </w:r>
    </w:p>
    <w:p>
      <w:pPr>
        <w:spacing w:after="0" w:line="229" w:lineRule="exact"/>
        <w:rPr>
          <w:rFonts w:ascii="Arial" w:cs="Arial" w:eastAsia="Arial" w:hAnsi="Arial"/>
          <w:sz w:val="20"/>
          <w:szCs w:val="20"/>
          <w:b w:val="1"/>
          <w:bCs w:val="1"/>
          <w:color w:val="auto"/>
        </w:rPr>
      </w:pPr>
    </w:p>
    <w:p>
      <w:pPr>
        <w:ind w:left="1040" w:hanging="1032"/>
        <w:spacing w:after="0"/>
        <w:tabs>
          <w:tab w:leader="none" w:pos="1040" w:val="left"/>
        </w:tabs>
        <w:numPr>
          <w:ilvl w:val="0"/>
          <w:numId w:val="63"/>
        </w:numPr>
        <w:rPr>
          <w:rFonts w:ascii="Arial" w:cs="Arial" w:eastAsia="Arial" w:hAnsi="Arial"/>
          <w:sz w:val="20"/>
          <w:szCs w:val="20"/>
          <w:b w:val="1"/>
          <w:bCs w:val="1"/>
          <w:color w:val="auto"/>
        </w:rPr>
      </w:pPr>
      <w:r>
        <w:rPr>
          <w:rFonts w:ascii="Arial" w:cs="Arial" w:eastAsia="Arial" w:hAnsi="Arial"/>
          <w:sz w:val="20"/>
          <w:szCs w:val="20"/>
          <w:color w:val="auto"/>
        </w:rPr>
        <w:t>Percent of Class Represented By Amount in Row (9)</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1.3% (1)</w:t>
      </w:r>
    </w:p>
    <w:p>
      <w:pPr>
        <w:spacing w:after="0" w:line="229" w:lineRule="exact"/>
        <w:rPr>
          <w:sz w:val="20"/>
          <w:szCs w:val="20"/>
          <w:color w:val="auto"/>
        </w:rPr>
      </w:pPr>
    </w:p>
    <w:p>
      <w:pPr>
        <w:ind w:left="1040" w:hanging="1032"/>
        <w:spacing w:after="0"/>
        <w:tabs>
          <w:tab w:leader="none" w:pos="1040" w:val="left"/>
        </w:tabs>
        <w:numPr>
          <w:ilvl w:val="0"/>
          <w:numId w:val="64"/>
        </w:numPr>
        <w:rPr>
          <w:rFonts w:ascii="Arial" w:cs="Arial" w:eastAsia="Arial" w:hAnsi="Arial"/>
          <w:sz w:val="20"/>
          <w:szCs w:val="20"/>
          <w:b w:val="1"/>
          <w:bCs w:val="1"/>
          <w:color w:val="auto"/>
        </w:rPr>
      </w:pPr>
      <w:r>
        <w:rPr>
          <w:rFonts w:ascii="Arial" w:cs="Arial" w:eastAsia="Arial" w:hAnsi="Arial"/>
          <w:sz w:val="20"/>
          <w:szCs w:val="20"/>
          <w:color w:val="auto"/>
        </w:rPr>
        <w:t>Type of Reporting Person (See Instructions)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OO</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w:t>
      </w:r>
    </w:p>
    <w:p>
      <w:pPr>
        <w:spacing w:after="0" w:line="213" w:lineRule="exact"/>
        <w:rPr>
          <w:sz w:val="20"/>
          <w:szCs w:val="20"/>
          <w:color w:val="auto"/>
        </w:rPr>
      </w:pPr>
    </w:p>
    <w:p>
      <w:pPr>
        <w:ind w:left="460" w:hanging="452"/>
        <w:spacing w:after="0" w:line="260" w:lineRule="auto"/>
        <w:tabs>
          <w:tab w:leader="none" w:pos="460" w:val="left"/>
        </w:tabs>
        <w:numPr>
          <w:ilvl w:val="0"/>
          <w:numId w:val="65"/>
        </w:numPr>
        <w:rPr>
          <w:rFonts w:ascii="Arial" w:cs="Arial" w:eastAsia="Arial" w:hAnsi="Arial"/>
          <w:sz w:val="20"/>
          <w:szCs w:val="20"/>
          <w:color w:val="auto"/>
        </w:rPr>
      </w:pPr>
      <w:r>
        <w:rPr>
          <w:rFonts w:ascii="Arial" w:cs="Arial" w:eastAsia="Arial" w:hAnsi="Arial"/>
          <w:sz w:val="20"/>
          <w:szCs w:val="20"/>
          <w:color w:val="auto"/>
        </w:rPr>
        <w:t>Based on 69,999,954 Ordinary Shares of the Issuer outstanding as of December 13, 2019, as reported in the Issuer's Form 8-K filed with the SEC on December 18,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346" w:right="399" w:bottom="1440" w:gutter="0" w:footer="0" w:header="0"/>
        </w:sectPr>
      </w:pPr>
    </w:p>
    <w:bookmarkStart w:id="17" w:name="page18"/>
    <w:bookmarkEnd w:id="17"/>
    <w:p>
      <w:pPr>
        <w:spacing w:after="0"/>
        <w:rPr>
          <w:sz w:val="20"/>
          <w:szCs w:val="20"/>
          <w:color w:val="auto"/>
        </w:rPr>
      </w:pPr>
      <w:r>
        <w:rPr>
          <w:rFonts w:ascii="Arial" w:cs="Arial" w:eastAsia="Arial" w:hAnsi="Arial"/>
          <w:sz w:val="20"/>
          <w:szCs w:val="20"/>
          <w:b w:val="1"/>
          <w:bCs w:val="1"/>
          <w:color w:val="auto"/>
        </w:rPr>
        <w:t>CUSIP NO. G48833118</w:t>
      </w:r>
    </w:p>
    <w:p>
      <w:pPr>
        <w:spacing w:after="0" w:line="235" w:lineRule="exact"/>
        <w:rPr>
          <w:sz w:val="20"/>
          <w:szCs w:val="20"/>
          <w:color w:val="auto"/>
        </w:rPr>
      </w:pPr>
    </w:p>
    <w:p>
      <w:pPr>
        <w:ind w:left="1180" w:hanging="1172"/>
        <w:spacing w:after="0"/>
        <w:tabs>
          <w:tab w:leader="none" w:pos="1180" w:val="left"/>
        </w:tabs>
        <w:numPr>
          <w:ilvl w:val="0"/>
          <w:numId w:val="66"/>
        </w:numPr>
        <w:rPr>
          <w:rFonts w:ascii="Arial" w:cs="Arial" w:eastAsia="Arial" w:hAnsi="Arial"/>
          <w:sz w:val="20"/>
          <w:szCs w:val="20"/>
          <w:b w:val="1"/>
          <w:bCs w:val="1"/>
          <w:color w:val="auto"/>
        </w:rPr>
      </w:pPr>
      <w:r>
        <w:rPr>
          <w:rFonts w:ascii="Arial" w:cs="Arial" w:eastAsia="Arial" w:hAnsi="Arial"/>
          <w:sz w:val="20"/>
          <w:szCs w:val="20"/>
          <w:color w:val="auto"/>
        </w:rPr>
        <w:t>Names of Reporting Persons</w:t>
      </w:r>
    </w:p>
    <w:p>
      <w:pPr>
        <w:spacing w:after="0" w:line="229"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Värde Investment Partners, L.P.</w:t>
      </w:r>
    </w:p>
    <w:p>
      <w:pPr>
        <w:spacing w:after="0" w:line="229" w:lineRule="exact"/>
        <w:rPr>
          <w:rFonts w:ascii="Arial" w:cs="Arial" w:eastAsia="Arial" w:hAnsi="Arial"/>
          <w:sz w:val="20"/>
          <w:szCs w:val="20"/>
          <w:b w:val="1"/>
          <w:bCs w:val="1"/>
          <w:color w:val="auto"/>
        </w:rPr>
      </w:pPr>
    </w:p>
    <w:p>
      <w:pPr>
        <w:ind w:left="2780" w:right="4500" w:hanging="2772"/>
        <w:spacing w:after="0" w:line="479" w:lineRule="auto"/>
        <w:tabs>
          <w:tab w:leader="none" w:pos="1190" w:val="left"/>
        </w:tabs>
        <w:numPr>
          <w:ilvl w:val="0"/>
          <w:numId w:val="66"/>
        </w:numPr>
        <w:rPr>
          <w:rFonts w:ascii="Arial" w:cs="Arial" w:eastAsia="Arial" w:hAnsi="Arial"/>
          <w:sz w:val="20"/>
          <w:szCs w:val="20"/>
          <w:b w:val="1"/>
          <w:bCs w:val="1"/>
          <w:color w:val="auto"/>
        </w:rPr>
      </w:pPr>
      <w:r>
        <w:rPr>
          <w:rFonts w:ascii="Arial" w:cs="Arial" w:eastAsia="Arial" w:hAnsi="Arial"/>
          <w:sz w:val="20"/>
          <w:szCs w:val="20"/>
          <w:color w:val="auto"/>
        </w:rPr>
        <w:t>Check the Appropriate Box If a Member of a Group (See Instructions) a. [ ]</w:t>
      </w:r>
    </w:p>
    <w:p>
      <w:pPr>
        <w:ind w:left="2800"/>
        <w:spacing w:after="0"/>
        <w:rPr>
          <w:rFonts w:ascii="Arial" w:cs="Arial" w:eastAsia="Arial" w:hAnsi="Arial"/>
          <w:sz w:val="20"/>
          <w:szCs w:val="20"/>
          <w:b w:val="1"/>
          <w:bCs w:val="1"/>
          <w:color w:val="auto"/>
        </w:rPr>
      </w:pPr>
      <w:r>
        <w:rPr>
          <w:rFonts w:ascii="Arial" w:cs="Arial" w:eastAsia="Arial" w:hAnsi="Arial"/>
          <w:sz w:val="20"/>
          <w:szCs w:val="20"/>
          <w:color w:val="auto"/>
        </w:rPr>
        <w:t>b. [X]</w:t>
      </w:r>
    </w:p>
    <w:p>
      <w:pPr>
        <w:spacing w:after="0" w:line="229" w:lineRule="exact"/>
        <w:rPr>
          <w:rFonts w:ascii="Arial" w:cs="Arial" w:eastAsia="Arial" w:hAnsi="Arial"/>
          <w:sz w:val="20"/>
          <w:szCs w:val="20"/>
          <w:b w:val="1"/>
          <w:bCs w:val="1"/>
          <w:color w:val="auto"/>
        </w:rPr>
      </w:pPr>
    </w:p>
    <w:p>
      <w:pPr>
        <w:ind w:left="1180" w:hanging="1172"/>
        <w:spacing w:after="0"/>
        <w:tabs>
          <w:tab w:leader="none" w:pos="1180" w:val="left"/>
        </w:tabs>
        <w:numPr>
          <w:ilvl w:val="0"/>
          <w:numId w:val="66"/>
        </w:numPr>
        <w:rPr>
          <w:rFonts w:ascii="Arial" w:cs="Arial" w:eastAsia="Arial" w:hAnsi="Arial"/>
          <w:sz w:val="20"/>
          <w:szCs w:val="20"/>
          <w:b w:val="1"/>
          <w:bCs w:val="1"/>
          <w:color w:val="auto"/>
        </w:rPr>
      </w:pPr>
      <w:r>
        <w:rPr>
          <w:rFonts w:ascii="Arial" w:cs="Arial" w:eastAsia="Arial" w:hAnsi="Arial"/>
          <w:sz w:val="20"/>
          <w:szCs w:val="20"/>
          <w:color w:val="auto"/>
        </w:rPr>
        <w:t>SEC Use Only</w:t>
      </w:r>
    </w:p>
    <w:p>
      <w:pPr>
        <w:spacing w:after="0" w:line="229" w:lineRule="exact"/>
        <w:rPr>
          <w:rFonts w:ascii="Arial" w:cs="Arial" w:eastAsia="Arial" w:hAnsi="Arial"/>
          <w:sz w:val="20"/>
          <w:szCs w:val="20"/>
          <w:b w:val="1"/>
          <w:bCs w:val="1"/>
          <w:color w:val="auto"/>
        </w:rPr>
      </w:pPr>
    </w:p>
    <w:p>
      <w:pPr>
        <w:ind w:left="1180" w:hanging="1172"/>
        <w:spacing w:after="0"/>
        <w:tabs>
          <w:tab w:leader="none" w:pos="1180" w:val="left"/>
        </w:tabs>
        <w:numPr>
          <w:ilvl w:val="0"/>
          <w:numId w:val="66"/>
        </w:numPr>
        <w:rPr>
          <w:rFonts w:ascii="Arial" w:cs="Arial" w:eastAsia="Arial" w:hAnsi="Arial"/>
          <w:sz w:val="20"/>
          <w:szCs w:val="20"/>
          <w:b w:val="1"/>
          <w:bCs w:val="1"/>
          <w:color w:val="auto"/>
        </w:rPr>
      </w:pPr>
      <w:r>
        <w:rPr>
          <w:rFonts w:ascii="Arial" w:cs="Arial" w:eastAsia="Arial" w:hAnsi="Arial"/>
          <w:sz w:val="20"/>
          <w:szCs w:val="20"/>
          <w:color w:val="auto"/>
        </w:rPr>
        <w:t>Citizenship or Place of Organization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100" w:type="dxa"/>
            <w:vAlign w:val="bottom"/>
          </w:tcPr>
          <w:p>
            <w:pPr>
              <w:spacing w:after="0"/>
              <w:rPr>
                <w:sz w:val="20"/>
                <w:szCs w:val="20"/>
                <w:color w:val="auto"/>
              </w:rPr>
            </w:pPr>
            <w:r>
              <w:rPr>
                <w:rFonts w:ascii="Arial" w:cs="Arial" w:eastAsia="Arial" w:hAnsi="Arial"/>
                <w:sz w:val="20"/>
                <w:szCs w:val="20"/>
                <w:color w:val="auto"/>
              </w:rPr>
              <w:t>Delaware</w:t>
            </w:r>
          </w:p>
        </w:tc>
        <w:tc>
          <w:tcPr>
            <w:tcW w:w="116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8"/>
        </w:trPr>
        <w:tc>
          <w:tcPr>
            <w:tcW w:w="2100" w:type="dxa"/>
            <w:vAlign w:val="bottom"/>
          </w:tcPr>
          <w:p>
            <w:pPr>
              <w:spacing w:after="0"/>
              <w:rPr>
                <w:sz w:val="24"/>
                <w:szCs w:val="24"/>
                <w:color w:val="auto"/>
              </w:rPr>
            </w:pPr>
          </w:p>
        </w:tc>
        <w:tc>
          <w:tcPr>
            <w:tcW w:w="1160" w:type="dxa"/>
            <w:vAlign w:val="bottom"/>
          </w:tcPr>
          <w:p>
            <w:pPr>
              <w:jc w:val="right"/>
              <w:ind w:right="541"/>
              <w:spacing w:after="0"/>
              <w:rPr>
                <w:sz w:val="20"/>
                <w:szCs w:val="20"/>
                <w:color w:val="auto"/>
              </w:rPr>
            </w:pPr>
            <w:r>
              <w:rPr>
                <w:rFonts w:ascii="Arial" w:cs="Arial" w:eastAsia="Arial" w:hAnsi="Arial"/>
                <w:sz w:val="20"/>
                <w:szCs w:val="20"/>
                <w:b w:val="1"/>
                <w:bCs w:val="1"/>
                <w:color w:val="auto"/>
              </w:rPr>
              <w:t>5.</w:t>
            </w:r>
          </w:p>
        </w:tc>
        <w:tc>
          <w:tcPr>
            <w:tcW w:w="2700" w:type="dxa"/>
            <w:vAlign w:val="bottom"/>
          </w:tcPr>
          <w:p>
            <w:pPr>
              <w:ind w:left="660"/>
              <w:spacing w:after="0"/>
              <w:rPr>
                <w:sz w:val="20"/>
                <w:szCs w:val="20"/>
                <w:color w:val="auto"/>
              </w:rPr>
            </w:pPr>
            <w:r>
              <w:rPr>
                <w:rFonts w:ascii="Arial" w:cs="Arial" w:eastAsia="Arial" w:hAnsi="Arial"/>
                <w:sz w:val="20"/>
                <w:szCs w:val="20"/>
                <w:color w:val="auto"/>
              </w:rPr>
              <w:t>Sole Voting Power</w:t>
            </w:r>
          </w:p>
        </w:tc>
        <w:tc>
          <w:tcPr>
            <w:tcW w:w="0" w:type="dxa"/>
            <w:vAlign w:val="bottom"/>
          </w:tcPr>
          <w:p>
            <w:pPr>
              <w:spacing w:after="0"/>
              <w:rPr>
                <w:sz w:val="1"/>
                <w:szCs w:val="1"/>
                <w:color w:val="auto"/>
              </w:rPr>
            </w:pPr>
          </w:p>
        </w:tc>
      </w:tr>
      <w:tr>
        <w:trPr>
          <w:trHeight w:val="230"/>
        </w:trPr>
        <w:tc>
          <w:tcPr>
            <w:tcW w:w="2100" w:type="dxa"/>
            <w:vAlign w:val="bottom"/>
          </w:tcPr>
          <w:p>
            <w:pPr>
              <w:jc w:val="center"/>
              <w:ind w:left="261"/>
              <w:spacing w:after="0"/>
              <w:rPr>
                <w:sz w:val="20"/>
                <w:szCs w:val="20"/>
                <w:color w:val="auto"/>
              </w:rPr>
            </w:pPr>
            <w:r>
              <w:rPr>
                <w:rFonts w:ascii="Arial" w:cs="Arial" w:eastAsia="Arial" w:hAnsi="Arial"/>
                <w:sz w:val="20"/>
                <w:szCs w:val="20"/>
                <w:color w:val="auto"/>
                <w:w w:val="92"/>
              </w:rPr>
              <w:t>Number of</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989,554</w:t>
            </w: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81"/>
              </w:rPr>
              <w:t>Shares</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6.</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4"/>
              </w:rPr>
              <w:t>Beneficially</w:t>
            </w:r>
          </w:p>
        </w:tc>
        <w:tc>
          <w:tcPr>
            <w:tcW w:w="1160" w:type="dxa"/>
            <w:vAlign w:val="bottom"/>
            <w:vMerge w:val="continue"/>
          </w:tcPr>
          <w:p>
            <w:pPr>
              <w:spacing w:after="0"/>
              <w:rPr>
                <w:sz w:val="19"/>
                <w:szCs w:val="19"/>
                <w:color w:val="auto"/>
              </w:rPr>
            </w:pPr>
          </w:p>
        </w:tc>
        <w:tc>
          <w:tcPr>
            <w:tcW w:w="2700" w:type="dxa"/>
            <w:vAlign w:val="bottom"/>
          </w:tcPr>
          <w:p>
            <w:pPr>
              <w:ind w:left="660"/>
              <w:spacing w:after="0"/>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0"/>
              </w:rPr>
              <w:t>Owned By</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87"/>
              </w:rPr>
              <w:t>Each</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7.</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2"/>
              </w:rPr>
              <w:t>Reporting</w:t>
            </w:r>
          </w:p>
        </w:tc>
        <w:tc>
          <w:tcPr>
            <w:tcW w:w="1160" w:type="dxa"/>
            <w:vAlign w:val="bottom"/>
            <w:vMerge w:val="continue"/>
          </w:tcPr>
          <w:p>
            <w:pPr>
              <w:spacing w:after="0"/>
              <w:rPr>
                <w:sz w:val="19"/>
                <w:szCs w:val="19"/>
                <w:color w:val="auto"/>
              </w:rPr>
            </w:pPr>
          </w:p>
        </w:tc>
        <w:tc>
          <w:tcPr>
            <w:tcW w:w="2700" w:type="dxa"/>
            <w:vAlign w:val="bottom"/>
          </w:tcPr>
          <w:p>
            <w:pPr>
              <w:ind w:left="660"/>
              <w:spacing w:after="0"/>
              <w:rPr>
                <w:sz w:val="20"/>
                <w:szCs w:val="20"/>
                <w:color w:val="auto"/>
              </w:rPr>
            </w:pPr>
            <w:r>
              <w:rPr>
                <w:rFonts w:ascii="Arial" w:cs="Arial" w:eastAsia="Arial" w:hAnsi="Arial"/>
                <w:sz w:val="20"/>
                <w:szCs w:val="20"/>
                <w:color w:val="auto"/>
                <w:w w:val="98"/>
              </w:rPr>
              <w:t>Sole Dispositive Power</w:t>
            </w:r>
          </w:p>
        </w:tc>
        <w:tc>
          <w:tcPr>
            <w:tcW w:w="0" w:type="dxa"/>
            <w:vAlign w:val="bottom"/>
          </w:tcPr>
          <w:p>
            <w:pPr>
              <w:spacing w:after="0"/>
              <w:rPr>
                <w:sz w:val="1"/>
                <w:szCs w:val="1"/>
                <w:color w:val="auto"/>
              </w:rPr>
            </w:pPr>
          </w:p>
        </w:tc>
      </w:tr>
      <w:tr>
        <w:trPr>
          <w:trHeight w:val="230"/>
        </w:trPr>
        <w:tc>
          <w:tcPr>
            <w:tcW w:w="2100" w:type="dxa"/>
            <w:vAlign w:val="bottom"/>
          </w:tcPr>
          <w:p>
            <w:pPr>
              <w:jc w:val="center"/>
              <w:ind w:left="261"/>
              <w:spacing w:after="0"/>
              <w:rPr>
                <w:sz w:val="20"/>
                <w:szCs w:val="20"/>
                <w:color w:val="auto"/>
              </w:rPr>
            </w:pPr>
            <w:r>
              <w:rPr>
                <w:rFonts w:ascii="Arial" w:cs="Arial" w:eastAsia="Arial" w:hAnsi="Arial"/>
                <w:sz w:val="20"/>
                <w:szCs w:val="20"/>
                <w:color w:val="auto"/>
                <w:w w:val="85"/>
              </w:rPr>
              <w:t>Person</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989,554</w:t>
            </w:r>
          </w:p>
        </w:tc>
        <w:tc>
          <w:tcPr>
            <w:tcW w:w="0" w:type="dxa"/>
            <w:vAlign w:val="bottom"/>
          </w:tcPr>
          <w:p>
            <w:pPr>
              <w:spacing w:after="0"/>
              <w:rPr>
                <w:sz w:val="1"/>
                <w:szCs w:val="1"/>
                <w:color w:val="auto"/>
              </w:rPr>
            </w:pPr>
          </w:p>
        </w:tc>
      </w:tr>
      <w:tr>
        <w:trPr>
          <w:trHeight w:val="25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9"/>
              </w:rPr>
              <w:t>With</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8.</w:t>
            </w:r>
          </w:p>
        </w:tc>
        <w:tc>
          <w:tcPr>
            <w:tcW w:w="2700" w:type="dxa"/>
            <w:vAlign w:val="bottom"/>
            <w:vMerge w:val="restart"/>
          </w:tcPr>
          <w:p>
            <w:pPr>
              <w:ind w:left="660"/>
              <w:spacing w:after="0"/>
              <w:rPr>
                <w:sz w:val="20"/>
                <w:szCs w:val="20"/>
                <w:color w:val="auto"/>
              </w:rPr>
            </w:pPr>
            <w:r>
              <w:rPr>
                <w:rFonts w:ascii="Arial" w:cs="Arial" w:eastAsia="Arial" w:hAnsi="Arial"/>
                <w:sz w:val="20"/>
                <w:szCs w:val="20"/>
                <w:color w:val="auto"/>
                <w:w w:val="88"/>
              </w:rPr>
              <w:t>Shared Dispositive Power</w:t>
            </w:r>
          </w:p>
        </w:tc>
        <w:tc>
          <w:tcPr>
            <w:tcW w:w="0" w:type="dxa"/>
            <w:vAlign w:val="bottom"/>
          </w:tcPr>
          <w:p>
            <w:pPr>
              <w:spacing w:after="0"/>
              <w:rPr>
                <w:sz w:val="1"/>
                <w:szCs w:val="1"/>
                <w:color w:val="auto"/>
              </w:rPr>
            </w:pPr>
          </w:p>
        </w:tc>
      </w:tr>
      <w:tr>
        <w:trPr>
          <w:trHeight w:val="209"/>
        </w:trPr>
        <w:tc>
          <w:tcPr>
            <w:tcW w:w="2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1040" w:hanging="1032"/>
        <w:spacing w:after="0"/>
        <w:tabs>
          <w:tab w:leader="none" w:pos="1040" w:val="left"/>
        </w:tabs>
        <w:numPr>
          <w:ilvl w:val="0"/>
          <w:numId w:val="67"/>
        </w:numPr>
        <w:rPr>
          <w:rFonts w:ascii="Arial" w:cs="Arial" w:eastAsia="Arial" w:hAnsi="Arial"/>
          <w:sz w:val="20"/>
          <w:szCs w:val="20"/>
          <w:b w:val="1"/>
          <w:bCs w:val="1"/>
          <w:color w:val="auto"/>
        </w:rPr>
      </w:pPr>
      <w:r>
        <w:rPr>
          <w:rFonts w:ascii="Arial" w:cs="Arial" w:eastAsia="Arial" w:hAnsi="Arial"/>
          <w:sz w:val="20"/>
          <w:szCs w:val="20"/>
          <w:color w:val="auto"/>
        </w:rPr>
        <w:t>Aggregate Amount Beneficially Owned by Each Reporting Person</w:t>
      </w:r>
    </w:p>
    <w:p>
      <w:pPr>
        <w:spacing w:after="0" w:line="229"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989,554</w:t>
      </w:r>
    </w:p>
    <w:p>
      <w:pPr>
        <w:spacing w:after="0" w:line="229" w:lineRule="exact"/>
        <w:rPr>
          <w:rFonts w:ascii="Arial" w:cs="Arial" w:eastAsia="Arial" w:hAnsi="Arial"/>
          <w:sz w:val="20"/>
          <w:szCs w:val="20"/>
          <w:b w:val="1"/>
          <w:bCs w:val="1"/>
          <w:color w:val="auto"/>
        </w:rPr>
      </w:pPr>
    </w:p>
    <w:p>
      <w:pPr>
        <w:ind w:left="1040" w:hanging="1032"/>
        <w:spacing w:after="0"/>
        <w:tabs>
          <w:tab w:leader="none" w:pos="1040" w:val="left"/>
        </w:tabs>
        <w:numPr>
          <w:ilvl w:val="0"/>
          <w:numId w:val="67"/>
        </w:numPr>
        <w:rPr>
          <w:rFonts w:ascii="Arial" w:cs="Arial" w:eastAsia="Arial" w:hAnsi="Arial"/>
          <w:sz w:val="20"/>
          <w:szCs w:val="20"/>
          <w:b w:val="1"/>
          <w:bCs w:val="1"/>
          <w:color w:val="auto"/>
        </w:rPr>
      </w:pPr>
      <w:r>
        <w:rPr>
          <w:rFonts w:ascii="Arial" w:cs="Arial" w:eastAsia="Arial" w:hAnsi="Arial"/>
          <w:sz w:val="20"/>
          <w:szCs w:val="20"/>
          <w:color w:val="auto"/>
        </w:rPr>
        <w:t>Check Box If the Aggregate Amount in Row (9) Excludes Certain Shares (See Instructions)</w:t>
      </w:r>
    </w:p>
    <w:p>
      <w:pPr>
        <w:spacing w:after="0" w:line="229"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  ]</w:t>
      </w:r>
    </w:p>
    <w:p>
      <w:pPr>
        <w:spacing w:after="0" w:line="229" w:lineRule="exact"/>
        <w:rPr>
          <w:rFonts w:ascii="Arial" w:cs="Arial" w:eastAsia="Arial" w:hAnsi="Arial"/>
          <w:sz w:val="20"/>
          <w:szCs w:val="20"/>
          <w:b w:val="1"/>
          <w:bCs w:val="1"/>
          <w:color w:val="auto"/>
        </w:rPr>
      </w:pPr>
    </w:p>
    <w:p>
      <w:pPr>
        <w:ind w:left="1040" w:hanging="1032"/>
        <w:spacing w:after="0"/>
        <w:tabs>
          <w:tab w:leader="none" w:pos="1040" w:val="left"/>
        </w:tabs>
        <w:numPr>
          <w:ilvl w:val="0"/>
          <w:numId w:val="67"/>
        </w:numPr>
        <w:rPr>
          <w:rFonts w:ascii="Arial" w:cs="Arial" w:eastAsia="Arial" w:hAnsi="Arial"/>
          <w:sz w:val="20"/>
          <w:szCs w:val="20"/>
          <w:b w:val="1"/>
          <w:bCs w:val="1"/>
          <w:color w:val="auto"/>
        </w:rPr>
      </w:pPr>
      <w:r>
        <w:rPr>
          <w:rFonts w:ascii="Arial" w:cs="Arial" w:eastAsia="Arial" w:hAnsi="Arial"/>
          <w:sz w:val="20"/>
          <w:szCs w:val="20"/>
          <w:color w:val="auto"/>
        </w:rPr>
        <w:t>Percent of Class Represented By Amount in Row (9)</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1.4% (1)</w:t>
      </w:r>
    </w:p>
    <w:p>
      <w:pPr>
        <w:spacing w:after="0" w:line="229" w:lineRule="exact"/>
        <w:rPr>
          <w:sz w:val="20"/>
          <w:szCs w:val="20"/>
          <w:color w:val="auto"/>
        </w:rPr>
      </w:pPr>
    </w:p>
    <w:p>
      <w:pPr>
        <w:ind w:left="1040" w:hanging="1032"/>
        <w:spacing w:after="0"/>
        <w:tabs>
          <w:tab w:leader="none" w:pos="1040" w:val="left"/>
        </w:tabs>
        <w:numPr>
          <w:ilvl w:val="0"/>
          <w:numId w:val="68"/>
        </w:numPr>
        <w:rPr>
          <w:rFonts w:ascii="Arial" w:cs="Arial" w:eastAsia="Arial" w:hAnsi="Arial"/>
          <w:sz w:val="20"/>
          <w:szCs w:val="20"/>
          <w:b w:val="1"/>
          <w:bCs w:val="1"/>
          <w:color w:val="auto"/>
        </w:rPr>
      </w:pPr>
      <w:r>
        <w:rPr>
          <w:rFonts w:ascii="Arial" w:cs="Arial" w:eastAsia="Arial" w:hAnsi="Arial"/>
          <w:sz w:val="20"/>
          <w:szCs w:val="20"/>
          <w:color w:val="auto"/>
        </w:rPr>
        <w:t>Type of Reporting Person (See Instructions)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PN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w:t>
      </w:r>
    </w:p>
    <w:p>
      <w:pPr>
        <w:spacing w:after="0" w:line="213" w:lineRule="exact"/>
        <w:rPr>
          <w:sz w:val="20"/>
          <w:szCs w:val="20"/>
          <w:color w:val="auto"/>
        </w:rPr>
      </w:pPr>
    </w:p>
    <w:p>
      <w:pPr>
        <w:ind w:left="460" w:hanging="452"/>
        <w:spacing w:after="0" w:line="260" w:lineRule="auto"/>
        <w:tabs>
          <w:tab w:leader="none" w:pos="460" w:val="left"/>
        </w:tabs>
        <w:numPr>
          <w:ilvl w:val="0"/>
          <w:numId w:val="69"/>
        </w:numPr>
        <w:rPr>
          <w:rFonts w:ascii="Arial" w:cs="Arial" w:eastAsia="Arial" w:hAnsi="Arial"/>
          <w:sz w:val="20"/>
          <w:szCs w:val="20"/>
          <w:color w:val="auto"/>
        </w:rPr>
      </w:pPr>
      <w:r>
        <w:rPr>
          <w:rFonts w:ascii="Arial" w:cs="Arial" w:eastAsia="Arial" w:hAnsi="Arial"/>
          <w:sz w:val="20"/>
          <w:szCs w:val="20"/>
          <w:color w:val="auto"/>
        </w:rPr>
        <w:t>Based on 69,999,954 Ordinary Shares of the Issuer outstanding as of December 13, 2019, as reported in the Issuer's Form 8-K filed with the SEC on December 18,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346" w:right="399" w:bottom="1440" w:gutter="0" w:footer="0" w:header="0"/>
        </w:sectPr>
      </w:pPr>
    </w:p>
    <w:bookmarkStart w:id="18" w:name="page19"/>
    <w:bookmarkEnd w:id="18"/>
    <w:p>
      <w:pPr>
        <w:spacing w:after="0"/>
        <w:rPr>
          <w:sz w:val="20"/>
          <w:szCs w:val="20"/>
          <w:color w:val="auto"/>
        </w:rPr>
      </w:pPr>
      <w:r>
        <w:rPr>
          <w:rFonts w:ascii="Arial" w:cs="Arial" w:eastAsia="Arial" w:hAnsi="Arial"/>
          <w:sz w:val="20"/>
          <w:szCs w:val="20"/>
          <w:b w:val="1"/>
          <w:bCs w:val="1"/>
          <w:color w:val="auto"/>
        </w:rPr>
        <w:t>CUSIP NO. G48833118</w:t>
      </w:r>
    </w:p>
    <w:p>
      <w:pPr>
        <w:spacing w:after="0" w:line="235" w:lineRule="exact"/>
        <w:rPr>
          <w:sz w:val="20"/>
          <w:szCs w:val="20"/>
          <w:color w:val="auto"/>
        </w:rPr>
      </w:pPr>
    </w:p>
    <w:p>
      <w:pPr>
        <w:ind w:right="7800" w:firstLine="8"/>
        <w:spacing w:after="0" w:line="476" w:lineRule="auto"/>
        <w:tabs>
          <w:tab w:leader="none" w:pos="1175" w:val="left"/>
        </w:tabs>
        <w:numPr>
          <w:ilvl w:val="0"/>
          <w:numId w:val="70"/>
        </w:numPr>
        <w:rPr>
          <w:rFonts w:ascii="Arial" w:cs="Arial" w:eastAsia="Arial" w:hAnsi="Arial"/>
          <w:sz w:val="20"/>
          <w:szCs w:val="20"/>
          <w:b w:val="1"/>
          <w:bCs w:val="1"/>
          <w:color w:val="auto"/>
        </w:rPr>
      </w:pPr>
      <w:r>
        <w:rPr>
          <w:rFonts w:ascii="Arial" w:cs="Arial" w:eastAsia="Arial" w:hAnsi="Arial"/>
          <w:sz w:val="20"/>
          <w:szCs w:val="20"/>
          <w:color w:val="auto"/>
        </w:rPr>
        <w:t>Names of Reporting Persons Värde Partners, L.P.</w:t>
      </w:r>
    </w:p>
    <w:p>
      <w:pPr>
        <w:spacing w:after="0" w:line="6" w:lineRule="exact"/>
        <w:rPr>
          <w:rFonts w:ascii="Arial" w:cs="Arial" w:eastAsia="Arial" w:hAnsi="Arial"/>
          <w:sz w:val="20"/>
          <w:szCs w:val="20"/>
          <w:b w:val="1"/>
          <w:bCs w:val="1"/>
          <w:color w:val="auto"/>
        </w:rPr>
      </w:pPr>
    </w:p>
    <w:p>
      <w:pPr>
        <w:ind w:left="2780" w:right="4500" w:hanging="2772"/>
        <w:spacing w:after="0" w:line="479" w:lineRule="auto"/>
        <w:tabs>
          <w:tab w:leader="none" w:pos="1190" w:val="left"/>
        </w:tabs>
        <w:numPr>
          <w:ilvl w:val="0"/>
          <w:numId w:val="70"/>
        </w:numPr>
        <w:rPr>
          <w:rFonts w:ascii="Arial" w:cs="Arial" w:eastAsia="Arial" w:hAnsi="Arial"/>
          <w:sz w:val="20"/>
          <w:szCs w:val="20"/>
          <w:b w:val="1"/>
          <w:bCs w:val="1"/>
          <w:color w:val="auto"/>
        </w:rPr>
      </w:pPr>
      <w:r>
        <w:rPr>
          <w:rFonts w:ascii="Arial" w:cs="Arial" w:eastAsia="Arial" w:hAnsi="Arial"/>
          <w:sz w:val="20"/>
          <w:szCs w:val="20"/>
          <w:color w:val="auto"/>
        </w:rPr>
        <w:t>Check the Appropriate Box If a Member of a Group (See Instructions) a. [ ]</w:t>
      </w:r>
    </w:p>
    <w:p>
      <w:pPr>
        <w:ind w:left="2800"/>
        <w:spacing w:after="0"/>
        <w:rPr>
          <w:rFonts w:ascii="Arial" w:cs="Arial" w:eastAsia="Arial" w:hAnsi="Arial"/>
          <w:sz w:val="20"/>
          <w:szCs w:val="20"/>
          <w:b w:val="1"/>
          <w:bCs w:val="1"/>
          <w:color w:val="auto"/>
        </w:rPr>
      </w:pPr>
      <w:r>
        <w:rPr>
          <w:rFonts w:ascii="Arial" w:cs="Arial" w:eastAsia="Arial" w:hAnsi="Arial"/>
          <w:sz w:val="20"/>
          <w:szCs w:val="20"/>
          <w:color w:val="auto"/>
        </w:rPr>
        <w:t>b. [X]</w:t>
      </w:r>
    </w:p>
    <w:p>
      <w:pPr>
        <w:spacing w:after="0" w:line="229" w:lineRule="exact"/>
        <w:rPr>
          <w:rFonts w:ascii="Arial" w:cs="Arial" w:eastAsia="Arial" w:hAnsi="Arial"/>
          <w:sz w:val="20"/>
          <w:szCs w:val="20"/>
          <w:b w:val="1"/>
          <w:bCs w:val="1"/>
          <w:color w:val="auto"/>
        </w:rPr>
      </w:pPr>
    </w:p>
    <w:p>
      <w:pPr>
        <w:ind w:left="1180" w:hanging="1172"/>
        <w:spacing w:after="0"/>
        <w:tabs>
          <w:tab w:leader="none" w:pos="1180" w:val="left"/>
        </w:tabs>
        <w:numPr>
          <w:ilvl w:val="0"/>
          <w:numId w:val="70"/>
        </w:numPr>
        <w:rPr>
          <w:rFonts w:ascii="Arial" w:cs="Arial" w:eastAsia="Arial" w:hAnsi="Arial"/>
          <w:sz w:val="20"/>
          <w:szCs w:val="20"/>
          <w:b w:val="1"/>
          <w:bCs w:val="1"/>
          <w:color w:val="auto"/>
        </w:rPr>
      </w:pPr>
      <w:r>
        <w:rPr>
          <w:rFonts w:ascii="Arial" w:cs="Arial" w:eastAsia="Arial" w:hAnsi="Arial"/>
          <w:sz w:val="20"/>
          <w:szCs w:val="20"/>
          <w:color w:val="auto"/>
        </w:rPr>
        <w:t>SEC Use Only</w:t>
      </w:r>
    </w:p>
    <w:p>
      <w:pPr>
        <w:spacing w:after="0" w:line="229" w:lineRule="exact"/>
        <w:rPr>
          <w:rFonts w:ascii="Arial" w:cs="Arial" w:eastAsia="Arial" w:hAnsi="Arial"/>
          <w:sz w:val="20"/>
          <w:szCs w:val="20"/>
          <w:b w:val="1"/>
          <w:bCs w:val="1"/>
          <w:color w:val="auto"/>
        </w:rPr>
      </w:pPr>
    </w:p>
    <w:p>
      <w:pPr>
        <w:ind w:left="1180" w:hanging="1172"/>
        <w:spacing w:after="0"/>
        <w:tabs>
          <w:tab w:leader="none" w:pos="1180" w:val="left"/>
        </w:tabs>
        <w:numPr>
          <w:ilvl w:val="0"/>
          <w:numId w:val="70"/>
        </w:numPr>
        <w:rPr>
          <w:rFonts w:ascii="Arial" w:cs="Arial" w:eastAsia="Arial" w:hAnsi="Arial"/>
          <w:sz w:val="20"/>
          <w:szCs w:val="20"/>
          <w:b w:val="1"/>
          <w:bCs w:val="1"/>
          <w:color w:val="auto"/>
        </w:rPr>
      </w:pPr>
      <w:r>
        <w:rPr>
          <w:rFonts w:ascii="Arial" w:cs="Arial" w:eastAsia="Arial" w:hAnsi="Arial"/>
          <w:sz w:val="20"/>
          <w:szCs w:val="20"/>
          <w:color w:val="auto"/>
        </w:rPr>
        <w:t>Citizenship or Place of Organization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100" w:type="dxa"/>
            <w:vAlign w:val="bottom"/>
          </w:tcPr>
          <w:p>
            <w:pPr>
              <w:spacing w:after="0"/>
              <w:rPr>
                <w:sz w:val="20"/>
                <w:szCs w:val="20"/>
                <w:color w:val="auto"/>
              </w:rPr>
            </w:pPr>
            <w:r>
              <w:rPr>
                <w:rFonts w:ascii="Arial" w:cs="Arial" w:eastAsia="Arial" w:hAnsi="Arial"/>
                <w:sz w:val="20"/>
                <w:szCs w:val="20"/>
                <w:color w:val="auto"/>
              </w:rPr>
              <w:t>Delaware</w:t>
            </w:r>
          </w:p>
        </w:tc>
        <w:tc>
          <w:tcPr>
            <w:tcW w:w="116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8"/>
        </w:trPr>
        <w:tc>
          <w:tcPr>
            <w:tcW w:w="2100" w:type="dxa"/>
            <w:vAlign w:val="bottom"/>
          </w:tcPr>
          <w:p>
            <w:pPr>
              <w:spacing w:after="0"/>
              <w:rPr>
                <w:sz w:val="24"/>
                <w:szCs w:val="24"/>
                <w:color w:val="auto"/>
              </w:rPr>
            </w:pPr>
          </w:p>
        </w:tc>
        <w:tc>
          <w:tcPr>
            <w:tcW w:w="1160" w:type="dxa"/>
            <w:vAlign w:val="bottom"/>
          </w:tcPr>
          <w:p>
            <w:pPr>
              <w:jc w:val="right"/>
              <w:ind w:right="541"/>
              <w:spacing w:after="0"/>
              <w:rPr>
                <w:sz w:val="20"/>
                <w:szCs w:val="20"/>
                <w:color w:val="auto"/>
              </w:rPr>
            </w:pPr>
            <w:r>
              <w:rPr>
                <w:rFonts w:ascii="Arial" w:cs="Arial" w:eastAsia="Arial" w:hAnsi="Arial"/>
                <w:sz w:val="20"/>
                <w:szCs w:val="20"/>
                <w:b w:val="1"/>
                <w:bCs w:val="1"/>
                <w:color w:val="auto"/>
              </w:rPr>
              <w:t>5.</w:t>
            </w:r>
          </w:p>
        </w:tc>
        <w:tc>
          <w:tcPr>
            <w:tcW w:w="2700" w:type="dxa"/>
            <w:vAlign w:val="bottom"/>
          </w:tcPr>
          <w:p>
            <w:pPr>
              <w:ind w:left="660"/>
              <w:spacing w:after="0"/>
              <w:rPr>
                <w:sz w:val="20"/>
                <w:szCs w:val="20"/>
                <w:color w:val="auto"/>
              </w:rPr>
            </w:pPr>
            <w:r>
              <w:rPr>
                <w:rFonts w:ascii="Arial" w:cs="Arial" w:eastAsia="Arial" w:hAnsi="Arial"/>
                <w:sz w:val="20"/>
                <w:szCs w:val="20"/>
                <w:color w:val="auto"/>
              </w:rPr>
              <w:t>Sole Voting Power</w:t>
            </w:r>
          </w:p>
        </w:tc>
        <w:tc>
          <w:tcPr>
            <w:tcW w:w="0" w:type="dxa"/>
            <w:vAlign w:val="bottom"/>
          </w:tcPr>
          <w:p>
            <w:pPr>
              <w:spacing w:after="0"/>
              <w:rPr>
                <w:sz w:val="1"/>
                <w:szCs w:val="1"/>
                <w:color w:val="auto"/>
              </w:rPr>
            </w:pPr>
          </w:p>
        </w:tc>
      </w:tr>
      <w:tr>
        <w:trPr>
          <w:trHeight w:val="230"/>
        </w:trPr>
        <w:tc>
          <w:tcPr>
            <w:tcW w:w="2100" w:type="dxa"/>
            <w:vAlign w:val="bottom"/>
          </w:tcPr>
          <w:p>
            <w:pPr>
              <w:jc w:val="center"/>
              <w:ind w:left="261"/>
              <w:spacing w:after="0"/>
              <w:rPr>
                <w:sz w:val="20"/>
                <w:szCs w:val="20"/>
                <w:color w:val="auto"/>
              </w:rPr>
            </w:pPr>
            <w:r>
              <w:rPr>
                <w:rFonts w:ascii="Arial" w:cs="Arial" w:eastAsia="Arial" w:hAnsi="Arial"/>
                <w:sz w:val="20"/>
                <w:szCs w:val="20"/>
                <w:color w:val="auto"/>
                <w:w w:val="92"/>
              </w:rPr>
              <w:t>Number of</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5,179,329</w:t>
            </w: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81"/>
              </w:rPr>
              <w:t>Shares</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6.</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4"/>
              </w:rPr>
              <w:t>Beneficially</w:t>
            </w:r>
          </w:p>
        </w:tc>
        <w:tc>
          <w:tcPr>
            <w:tcW w:w="1160" w:type="dxa"/>
            <w:vAlign w:val="bottom"/>
            <w:vMerge w:val="continue"/>
          </w:tcPr>
          <w:p>
            <w:pPr>
              <w:spacing w:after="0"/>
              <w:rPr>
                <w:sz w:val="19"/>
                <w:szCs w:val="19"/>
                <w:color w:val="auto"/>
              </w:rPr>
            </w:pPr>
          </w:p>
        </w:tc>
        <w:tc>
          <w:tcPr>
            <w:tcW w:w="2700" w:type="dxa"/>
            <w:vAlign w:val="bottom"/>
          </w:tcPr>
          <w:p>
            <w:pPr>
              <w:ind w:left="660"/>
              <w:spacing w:after="0"/>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0"/>
              </w:rPr>
              <w:t>Owned By</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87"/>
              </w:rPr>
              <w:t>Each</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7.</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2"/>
              </w:rPr>
              <w:t>Reporting</w:t>
            </w:r>
          </w:p>
        </w:tc>
        <w:tc>
          <w:tcPr>
            <w:tcW w:w="1160" w:type="dxa"/>
            <w:vAlign w:val="bottom"/>
            <w:vMerge w:val="continue"/>
          </w:tcPr>
          <w:p>
            <w:pPr>
              <w:spacing w:after="0"/>
              <w:rPr>
                <w:sz w:val="19"/>
                <w:szCs w:val="19"/>
                <w:color w:val="auto"/>
              </w:rPr>
            </w:pPr>
          </w:p>
        </w:tc>
        <w:tc>
          <w:tcPr>
            <w:tcW w:w="2700" w:type="dxa"/>
            <w:vAlign w:val="bottom"/>
          </w:tcPr>
          <w:p>
            <w:pPr>
              <w:ind w:left="660"/>
              <w:spacing w:after="0"/>
              <w:rPr>
                <w:sz w:val="20"/>
                <w:szCs w:val="20"/>
                <w:color w:val="auto"/>
              </w:rPr>
            </w:pPr>
            <w:r>
              <w:rPr>
                <w:rFonts w:ascii="Arial" w:cs="Arial" w:eastAsia="Arial" w:hAnsi="Arial"/>
                <w:sz w:val="20"/>
                <w:szCs w:val="20"/>
                <w:color w:val="auto"/>
                <w:w w:val="98"/>
              </w:rPr>
              <w:t>Sole Dispositive Power</w:t>
            </w:r>
          </w:p>
        </w:tc>
        <w:tc>
          <w:tcPr>
            <w:tcW w:w="0" w:type="dxa"/>
            <w:vAlign w:val="bottom"/>
          </w:tcPr>
          <w:p>
            <w:pPr>
              <w:spacing w:after="0"/>
              <w:rPr>
                <w:sz w:val="1"/>
                <w:szCs w:val="1"/>
                <w:color w:val="auto"/>
              </w:rPr>
            </w:pPr>
          </w:p>
        </w:tc>
      </w:tr>
      <w:tr>
        <w:trPr>
          <w:trHeight w:val="230"/>
        </w:trPr>
        <w:tc>
          <w:tcPr>
            <w:tcW w:w="2100" w:type="dxa"/>
            <w:vAlign w:val="bottom"/>
          </w:tcPr>
          <w:p>
            <w:pPr>
              <w:jc w:val="center"/>
              <w:ind w:left="261"/>
              <w:spacing w:after="0"/>
              <w:rPr>
                <w:sz w:val="20"/>
                <w:szCs w:val="20"/>
                <w:color w:val="auto"/>
              </w:rPr>
            </w:pPr>
            <w:r>
              <w:rPr>
                <w:rFonts w:ascii="Arial" w:cs="Arial" w:eastAsia="Arial" w:hAnsi="Arial"/>
                <w:sz w:val="20"/>
                <w:szCs w:val="20"/>
                <w:color w:val="auto"/>
                <w:w w:val="85"/>
              </w:rPr>
              <w:t>Person</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5,179,329</w:t>
            </w:r>
          </w:p>
        </w:tc>
        <w:tc>
          <w:tcPr>
            <w:tcW w:w="0" w:type="dxa"/>
            <w:vAlign w:val="bottom"/>
          </w:tcPr>
          <w:p>
            <w:pPr>
              <w:spacing w:after="0"/>
              <w:rPr>
                <w:sz w:val="1"/>
                <w:szCs w:val="1"/>
                <w:color w:val="auto"/>
              </w:rPr>
            </w:pPr>
          </w:p>
        </w:tc>
      </w:tr>
      <w:tr>
        <w:trPr>
          <w:trHeight w:val="25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9"/>
              </w:rPr>
              <w:t>With</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8.</w:t>
            </w:r>
          </w:p>
        </w:tc>
        <w:tc>
          <w:tcPr>
            <w:tcW w:w="2700" w:type="dxa"/>
            <w:vAlign w:val="bottom"/>
            <w:vMerge w:val="restart"/>
          </w:tcPr>
          <w:p>
            <w:pPr>
              <w:ind w:left="660"/>
              <w:spacing w:after="0"/>
              <w:rPr>
                <w:sz w:val="20"/>
                <w:szCs w:val="20"/>
                <w:color w:val="auto"/>
              </w:rPr>
            </w:pPr>
            <w:r>
              <w:rPr>
                <w:rFonts w:ascii="Arial" w:cs="Arial" w:eastAsia="Arial" w:hAnsi="Arial"/>
                <w:sz w:val="20"/>
                <w:szCs w:val="20"/>
                <w:color w:val="auto"/>
                <w:w w:val="88"/>
              </w:rPr>
              <w:t>Shared Dispositive Power</w:t>
            </w:r>
          </w:p>
        </w:tc>
        <w:tc>
          <w:tcPr>
            <w:tcW w:w="0" w:type="dxa"/>
            <w:vAlign w:val="bottom"/>
          </w:tcPr>
          <w:p>
            <w:pPr>
              <w:spacing w:after="0"/>
              <w:rPr>
                <w:sz w:val="1"/>
                <w:szCs w:val="1"/>
                <w:color w:val="auto"/>
              </w:rPr>
            </w:pPr>
          </w:p>
        </w:tc>
      </w:tr>
      <w:tr>
        <w:trPr>
          <w:trHeight w:val="209"/>
        </w:trPr>
        <w:tc>
          <w:tcPr>
            <w:tcW w:w="2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1040" w:hanging="1032"/>
        <w:spacing w:after="0"/>
        <w:tabs>
          <w:tab w:leader="none" w:pos="1040" w:val="left"/>
        </w:tabs>
        <w:numPr>
          <w:ilvl w:val="0"/>
          <w:numId w:val="71"/>
        </w:numPr>
        <w:rPr>
          <w:rFonts w:ascii="Arial" w:cs="Arial" w:eastAsia="Arial" w:hAnsi="Arial"/>
          <w:sz w:val="20"/>
          <w:szCs w:val="20"/>
          <w:b w:val="1"/>
          <w:bCs w:val="1"/>
          <w:color w:val="auto"/>
        </w:rPr>
      </w:pPr>
      <w:r>
        <w:rPr>
          <w:rFonts w:ascii="Arial" w:cs="Arial" w:eastAsia="Arial" w:hAnsi="Arial"/>
          <w:sz w:val="20"/>
          <w:szCs w:val="20"/>
          <w:color w:val="auto"/>
        </w:rPr>
        <w:t>Aggregate Amount Beneficially Owned by Each Reporting Person</w:t>
      </w:r>
    </w:p>
    <w:p>
      <w:pPr>
        <w:spacing w:after="0" w:line="229"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5,179,329</w:t>
      </w:r>
    </w:p>
    <w:p>
      <w:pPr>
        <w:spacing w:after="0" w:line="229" w:lineRule="exact"/>
        <w:rPr>
          <w:rFonts w:ascii="Arial" w:cs="Arial" w:eastAsia="Arial" w:hAnsi="Arial"/>
          <w:sz w:val="20"/>
          <w:szCs w:val="20"/>
          <w:b w:val="1"/>
          <w:bCs w:val="1"/>
          <w:color w:val="auto"/>
        </w:rPr>
      </w:pPr>
    </w:p>
    <w:p>
      <w:pPr>
        <w:ind w:left="1040" w:hanging="1032"/>
        <w:spacing w:after="0"/>
        <w:tabs>
          <w:tab w:leader="none" w:pos="1040" w:val="left"/>
        </w:tabs>
        <w:numPr>
          <w:ilvl w:val="0"/>
          <w:numId w:val="71"/>
        </w:numPr>
        <w:rPr>
          <w:rFonts w:ascii="Arial" w:cs="Arial" w:eastAsia="Arial" w:hAnsi="Arial"/>
          <w:sz w:val="20"/>
          <w:szCs w:val="20"/>
          <w:b w:val="1"/>
          <w:bCs w:val="1"/>
          <w:color w:val="auto"/>
        </w:rPr>
      </w:pPr>
      <w:r>
        <w:rPr>
          <w:rFonts w:ascii="Arial" w:cs="Arial" w:eastAsia="Arial" w:hAnsi="Arial"/>
          <w:sz w:val="20"/>
          <w:szCs w:val="20"/>
          <w:color w:val="auto"/>
        </w:rPr>
        <w:t>Check Box If the Aggregate Amount in Row (9) Excludes Certain Shares (See Instructions)</w:t>
      </w:r>
    </w:p>
    <w:p>
      <w:pPr>
        <w:spacing w:after="0" w:line="229"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  ]</w:t>
      </w:r>
    </w:p>
    <w:p>
      <w:pPr>
        <w:spacing w:after="0" w:line="229" w:lineRule="exact"/>
        <w:rPr>
          <w:rFonts w:ascii="Arial" w:cs="Arial" w:eastAsia="Arial" w:hAnsi="Arial"/>
          <w:sz w:val="20"/>
          <w:szCs w:val="20"/>
          <w:b w:val="1"/>
          <w:bCs w:val="1"/>
          <w:color w:val="auto"/>
        </w:rPr>
      </w:pPr>
    </w:p>
    <w:p>
      <w:pPr>
        <w:ind w:left="1040" w:hanging="1032"/>
        <w:spacing w:after="0"/>
        <w:tabs>
          <w:tab w:leader="none" w:pos="1040" w:val="left"/>
        </w:tabs>
        <w:numPr>
          <w:ilvl w:val="0"/>
          <w:numId w:val="71"/>
        </w:numPr>
        <w:rPr>
          <w:rFonts w:ascii="Arial" w:cs="Arial" w:eastAsia="Arial" w:hAnsi="Arial"/>
          <w:sz w:val="20"/>
          <w:szCs w:val="20"/>
          <w:b w:val="1"/>
          <w:bCs w:val="1"/>
          <w:color w:val="auto"/>
        </w:rPr>
      </w:pPr>
      <w:r>
        <w:rPr>
          <w:rFonts w:ascii="Arial" w:cs="Arial" w:eastAsia="Arial" w:hAnsi="Arial"/>
          <w:sz w:val="20"/>
          <w:szCs w:val="20"/>
          <w:color w:val="auto"/>
        </w:rPr>
        <w:t>Percent of Class Represented By Amount in Row (9)</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7.4% (1)</w:t>
      </w:r>
    </w:p>
    <w:p>
      <w:pPr>
        <w:spacing w:after="0" w:line="229" w:lineRule="exact"/>
        <w:rPr>
          <w:sz w:val="20"/>
          <w:szCs w:val="20"/>
          <w:color w:val="auto"/>
        </w:rPr>
      </w:pPr>
    </w:p>
    <w:p>
      <w:pPr>
        <w:ind w:left="1040" w:hanging="1032"/>
        <w:spacing w:after="0"/>
        <w:tabs>
          <w:tab w:leader="none" w:pos="1040" w:val="left"/>
        </w:tabs>
        <w:numPr>
          <w:ilvl w:val="0"/>
          <w:numId w:val="72"/>
        </w:numPr>
        <w:rPr>
          <w:rFonts w:ascii="Arial" w:cs="Arial" w:eastAsia="Arial" w:hAnsi="Arial"/>
          <w:sz w:val="20"/>
          <w:szCs w:val="20"/>
          <w:b w:val="1"/>
          <w:bCs w:val="1"/>
          <w:color w:val="auto"/>
        </w:rPr>
      </w:pPr>
      <w:r>
        <w:rPr>
          <w:rFonts w:ascii="Arial" w:cs="Arial" w:eastAsia="Arial" w:hAnsi="Arial"/>
          <w:sz w:val="20"/>
          <w:szCs w:val="20"/>
          <w:color w:val="auto"/>
        </w:rPr>
        <w:t>Type of Reporting Person (See Instructions)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PN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w:t>
      </w:r>
    </w:p>
    <w:p>
      <w:pPr>
        <w:spacing w:after="0" w:line="213" w:lineRule="exact"/>
        <w:rPr>
          <w:sz w:val="20"/>
          <w:szCs w:val="20"/>
          <w:color w:val="auto"/>
        </w:rPr>
      </w:pPr>
    </w:p>
    <w:p>
      <w:pPr>
        <w:ind w:left="460" w:hanging="452"/>
        <w:spacing w:after="0" w:line="260" w:lineRule="auto"/>
        <w:tabs>
          <w:tab w:leader="none" w:pos="460" w:val="left"/>
        </w:tabs>
        <w:numPr>
          <w:ilvl w:val="0"/>
          <w:numId w:val="73"/>
        </w:numPr>
        <w:rPr>
          <w:rFonts w:ascii="Arial" w:cs="Arial" w:eastAsia="Arial" w:hAnsi="Arial"/>
          <w:sz w:val="20"/>
          <w:szCs w:val="20"/>
          <w:color w:val="auto"/>
        </w:rPr>
      </w:pPr>
      <w:r>
        <w:rPr>
          <w:rFonts w:ascii="Arial" w:cs="Arial" w:eastAsia="Arial" w:hAnsi="Arial"/>
          <w:sz w:val="20"/>
          <w:szCs w:val="20"/>
          <w:color w:val="auto"/>
        </w:rPr>
        <w:t>Based on 69,999,954 Ordinary Shares of the Issuer outstanding as of December 13, 2019, as reported in the Issuer's Form 8-K filed with the SEC on December 18,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346" w:right="399" w:bottom="1440" w:gutter="0" w:footer="0" w:header="0"/>
        </w:sectPr>
      </w:pPr>
    </w:p>
    <w:bookmarkStart w:id="19" w:name="page20"/>
    <w:bookmarkEnd w:id="19"/>
    <w:p>
      <w:pPr>
        <w:spacing w:after="0"/>
        <w:rPr>
          <w:sz w:val="20"/>
          <w:szCs w:val="20"/>
          <w:color w:val="auto"/>
        </w:rPr>
      </w:pPr>
      <w:r>
        <w:rPr>
          <w:rFonts w:ascii="Arial" w:cs="Arial" w:eastAsia="Arial" w:hAnsi="Arial"/>
          <w:sz w:val="20"/>
          <w:szCs w:val="20"/>
          <w:b w:val="1"/>
          <w:bCs w:val="1"/>
          <w:color w:val="auto"/>
        </w:rPr>
        <w:t>CUSIP NO. G48833118</w:t>
      </w:r>
    </w:p>
    <w:p>
      <w:pPr>
        <w:spacing w:after="0" w:line="235" w:lineRule="exact"/>
        <w:rPr>
          <w:sz w:val="20"/>
          <w:szCs w:val="20"/>
          <w:color w:val="auto"/>
        </w:rPr>
      </w:pPr>
    </w:p>
    <w:p>
      <w:pPr>
        <w:ind w:right="7800" w:firstLine="8"/>
        <w:spacing w:after="0" w:line="476" w:lineRule="auto"/>
        <w:tabs>
          <w:tab w:leader="none" w:pos="1175" w:val="left"/>
        </w:tabs>
        <w:numPr>
          <w:ilvl w:val="0"/>
          <w:numId w:val="74"/>
        </w:numPr>
        <w:rPr>
          <w:rFonts w:ascii="Arial" w:cs="Arial" w:eastAsia="Arial" w:hAnsi="Arial"/>
          <w:sz w:val="20"/>
          <w:szCs w:val="20"/>
          <w:b w:val="1"/>
          <w:bCs w:val="1"/>
          <w:color w:val="auto"/>
        </w:rPr>
      </w:pPr>
      <w:r>
        <w:rPr>
          <w:rFonts w:ascii="Arial" w:cs="Arial" w:eastAsia="Arial" w:hAnsi="Arial"/>
          <w:sz w:val="20"/>
          <w:szCs w:val="20"/>
          <w:color w:val="auto"/>
        </w:rPr>
        <w:t>Names of Reporting Persons Värde Partners, Inc.</w:t>
      </w:r>
    </w:p>
    <w:p>
      <w:pPr>
        <w:spacing w:after="0" w:line="6" w:lineRule="exact"/>
        <w:rPr>
          <w:rFonts w:ascii="Arial" w:cs="Arial" w:eastAsia="Arial" w:hAnsi="Arial"/>
          <w:sz w:val="20"/>
          <w:szCs w:val="20"/>
          <w:b w:val="1"/>
          <w:bCs w:val="1"/>
          <w:color w:val="auto"/>
        </w:rPr>
      </w:pPr>
    </w:p>
    <w:p>
      <w:pPr>
        <w:ind w:left="2780" w:right="4500" w:hanging="2772"/>
        <w:spacing w:after="0" w:line="479" w:lineRule="auto"/>
        <w:tabs>
          <w:tab w:leader="none" w:pos="1190" w:val="left"/>
        </w:tabs>
        <w:numPr>
          <w:ilvl w:val="0"/>
          <w:numId w:val="74"/>
        </w:numPr>
        <w:rPr>
          <w:rFonts w:ascii="Arial" w:cs="Arial" w:eastAsia="Arial" w:hAnsi="Arial"/>
          <w:sz w:val="20"/>
          <w:szCs w:val="20"/>
          <w:b w:val="1"/>
          <w:bCs w:val="1"/>
          <w:color w:val="auto"/>
        </w:rPr>
      </w:pPr>
      <w:r>
        <w:rPr>
          <w:rFonts w:ascii="Arial" w:cs="Arial" w:eastAsia="Arial" w:hAnsi="Arial"/>
          <w:sz w:val="20"/>
          <w:szCs w:val="20"/>
          <w:color w:val="auto"/>
        </w:rPr>
        <w:t>Check the Appropriate Box If a Member of a Group (See Instructions) a. [ ]</w:t>
      </w:r>
    </w:p>
    <w:p>
      <w:pPr>
        <w:ind w:left="2800"/>
        <w:spacing w:after="0"/>
        <w:rPr>
          <w:rFonts w:ascii="Arial" w:cs="Arial" w:eastAsia="Arial" w:hAnsi="Arial"/>
          <w:sz w:val="20"/>
          <w:szCs w:val="20"/>
          <w:b w:val="1"/>
          <w:bCs w:val="1"/>
          <w:color w:val="auto"/>
        </w:rPr>
      </w:pPr>
      <w:r>
        <w:rPr>
          <w:rFonts w:ascii="Arial" w:cs="Arial" w:eastAsia="Arial" w:hAnsi="Arial"/>
          <w:sz w:val="20"/>
          <w:szCs w:val="20"/>
          <w:color w:val="auto"/>
        </w:rPr>
        <w:t>b. [X]</w:t>
      </w:r>
    </w:p>
    <w:p>
      <w:pPr>
        <w:spacing w:after="0" w:line="229" w:lineRule="exact"/>
        <w:rPr>
          <w:rFonts w:ascii="Arial" w:cs="Arial" w:eastAsia="Arial" w:hAnsi="Arial"/>
          <w:sz w:val="20"/>
          <w:szCs w:val="20"/>
          <w:b w:val="1"/>
          <w:bCs w:val="1"/>
          <w:color w:val="auto"/>
        </w:rPr>
      </w:pPr>
    </w:p>
    <w:p>
      <w:pPr>
        <w:ind w:left="1180" w:hanging="1172"/>
        <w:spacing w:after="0"/>
        <w:tabs>
          <w:tab w:leader="none" w:pos="1180" w:val="left"/>
        </w:tabs>
        <w:numPr>
          <w:ilvl w:val="0"/>
          <w:numId w:val="74"/>
        </w:numPr>
        <w:rPr>
          <w:rFonts w:ascii="Arial" w:cs="Arial" w:eastAsia="Arial" w:hAnsi="Arial"/>
          <w:sz w:val="20"/>
          <w:szCs w:val="20"/>
          <w:b w:val="1"/>
          <w:bCs w:val="1"/>
          <w:color w:val="auto"/>
        </w:rPr>
      </w:pPr>
      <w:r>
        <w:rPr>
          <w:rFonts w:ascii="Arial" w:cs="Arial" w:eastAsia="Arial" w:hAnsi="Arial"/>
          <w:sz w:val="20"/>
          <w:szCs w:val="20"/>
          <w:color w:val="auto"/>
        </w:rPr>
        <w:t>SEC Use Only</w:t>
      </w:r>
    </w:p>
    <w:p>
      <w:pPr>
        <w:spacing w:after="0" w:line="229" w:lineRule="exact"/>
        <w:rPr>
          <w:rFonts w:ascii="Arial" w:cs="Arial" w:eastAsia="Arial" w:hAnsi="Arial"/>
          <w:sz w:val="20"/>
          <w:szCs w:val="20"/>
          <w:b w:val="1"/>
          <w:bCs w:val="1"/>
          <w:color w:val="auto"/>
        </w:rPr>
      </w:pPr>
    </w:p>
    <w:p>
      <w:pPr>
        <w:ind w:left="1180" w:hanging="1172"/>
        <w:spacing w:after="0"/>
        <w:tabs>
          <w:tab w:leader="none" w:pos="1180" w:val="left"/>
        </w:tabs>
        <w:numPr>
          <w:ilvl w:val="0"/>
          <w:numId w:val="74"/>
        </w:numPr>
        <w:rPr>
          <w:rFonts w:ascii="Arial" w:cs="Arial" w:eastAsia="Arial" w:hAnsi="Arial"/>
          <w:sz w:val="20"/>
          <w:szCs w:val="20"/>
          <w:b w:val="1"/>
          <w:bCs w:val="1"/>
          <w:color w:val="auto"/>
        </w:rPr>
      </w:pPr>
      <w:r>
        <w:rPr>
          <w:rFonts w:ascii="Arial" w:cs="Arial" w:eastAsia="Arial" w:hAnsi="Arial"/>
          <w:sz w:val="20"/>
          <w:szCs w:val="20"/>
          <w:color w:val="auto"/>
        </w:rPr>
        <w:t>Citizenship or Place of Organization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100" w:type="dxa"/>
            <w:vAlign w:val="bottom"/>
          </w:tcPr>
          <w:p>
            <w:pPr>
              <w:spacing w:after="0"/>
              <w:rPr>
                <w:sz w:val="20"/>
                <w:szCs w:val="20"/>
                <w:color w:val="auto"/>
              </w:rPr>
            </w:pPr>
            <w:r>
              <w:rPr>
                <w:rFonts w:ascii="Arial" w:cs="Arial" w:eastAsia="Arial" w:hAnsi="Arial"/>
                <w:sz w:val="20"/>
                <w:szCs w:val="20"/>
                <w:color w:val="auto"/>
              </w:rPr>
              <w:t>Delaware</w:t>
            </w:r>
          </w:p>
        </w:tc>
        <w:tc>
          <w:tcPr>
            <w:tcW w:w="116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8"/>
        </w:trPr>
        <w:tc>
          <w:tcPr>
            <w:tcW w:w="2100" w:type="dxa"/>
            <w:vAlign w:val="bottom"/>
          </w:tcPr>
          <w:p>
            <w:pPr>
              <w:spacing w:after="0"/>
              <w:rPr>
                <w:sz w:val="24"/>
                <w:szCs w:val="24"/>
                <w:color w:val="auto"/>
              </w:rPr>
            </w:pPr>
          </w:p>
        </w:tc>
        <w:tc>
          <w:tcPr>
            <w:tcW w:w="1160" w:type="dxa"/>
            <w:vAlign w:val="bottom"/>
          </w:tcPr>
          <w:p>
            <w:pPr>
              <w:jc w:val="right"/>
              <w:ind w:right="541"/>
              <w:spacing w:after="0"/>
              <w:rPr>
                <w:sz w:val="20"/>
                <w:szCs w:val="20"/>
                <w:color w:val="auto"/>
              </w:rPr>
            </w:pPr>
            <w:r>
              <w:rPr>
                <w:rFonts w:ascii="Arial" w:cs="Arial" w:eastAsia="Arial" w:hAnsi="Arial"/>
                <w:sz w:val="20"/>
                <w:szCs w:val="20"/>
                <w:b w:val="1"/>
                <w:bCs w:val="1"/>
                <w:color w:val="auto"/>
              </w:rPr>
              <w:t>5.</w:t>
            </w:r>
          </w:p>
        </w:tc>
        <w:tc>
          <w:tcPr>
            <w:tcW w:w="2700" w:type="dxa"/>
            <w:vAlign w:val="bottom"/>
          </w:tcPr>
          <w:p>
            <w:pPr>
              <w:ind w:left="660"/>
              <w:spacing w:after="0"/>
              <w:rPr>
                <w:sz w:val="20"/>
                <w:szCs w:val="20"/>
                <w:color w:val="auto"/>
              </w:rPr>
            </w:pPr>
            <w:r>
              <w:rPr>
                <w:rFonts w:ascii="Arial" w:cs="Arial" w:eastAsia="Arial" w:hAnsi="Arial"/>
                <w:sz w:val="20"/>
                <w:szCs w:val="20"/>
                <w:color w:val="auto"/>
              </w:rPr>
              <w:t>Sole Voting Power</w:t>
            </w:r>
          </w:p>
        </w:tc>
        <w:tc>
          <w:tcPr>
            <w:tcW w:w="0" w:type="dxa"/>
            <w:vAlign w:val="bottom"/>
          </w:tcPr>
          <w:p>
            <w:pPr>
              <w:spacing w:after="0"/>
              <w:rPr>
                <w:sz w:val="1"/>
                <w:szCs w:val="1"/>
                <w:color w:val="auto"/>
              </w:rPr>
            </w:pPr>
          </w:p>
        </w:tc>
      </w:tr>
      <w:tr>
        <w:trPr>
          <w:trHeight w:val="230"/>
        </w:trPr>
        <w:tc>
          <w:tcPr>
            <w:tcW w:w="2100" w:type="dxa"/>
            <w:vAlign w:val="bottom"/>
          </w:tcPr>
          <w:p>
            <w:pPr>
              <w:jc w:val="center"/>
              <w:ind w:left="261"/>
              <w:spacing w:after="0"/>
              <w:rPr>
                <w:sz w:val="20"/>
                <w:szCs w:val="20"/>
                <w:color w:val="auto"/>
              </w:rPr>
            </w:pPr>
            <w:r>
              <w:rPr>
                <w:rFonts w:ascii="Arial" w:cs="Arial" w:eastAsia="Arial" w:hAnsi="Arial"/>
                <w:sz w:val="20"/>
                <w:szCs w:val="20"/>
                <w:color w:val="auto"/>
                <w:w w:val="92"/>
              </w:rPr>
              <w:t>Number of</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5,179,329</w:t>
            </w: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81"/>
              </w:rPr>
              <w:t>Shares</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6.</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4"/>
              </w:rPr>
              <w:t>Beneficially</w:t>
            </w:r>
          </w:p>
        </w:tc>
        <w:tc>
          <w:tcPr>
            <w:tcW w:w="1160" w:type="dxa"/>
            <w:vAlign w:val="bottom"/>
            <w:vMerge w:val="continue"/>
          </w:tcPr>
          <w:p>
            <w:pPr>
              <w:spacing w:after="0"/>
              <w:rPr>
                <w:sz w:val="19"/>
                <w:szCs w:val="19"/>
                <w:color w:val="auto"/>
              </w:rPr>
            </w:pPr>
          </w:p>
        </w:tc>
        <w:tc>
          <w:tcPr>
            <w:tcW w:w="2700" w:type="dxa"/>
            <w:vAlign w:val="bottom"/>
          </w:tcPr>
          <w:p>
            <w:pPr>
              <w:ind w:left="660"/>
              <w:spacing w:after="0"/>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0"/>
              </w:rPr>
              <w:t>Owned By</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87"/>
              </w:rPr>
              <w:t>Each</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7.</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2"/>
              </w:rPr>
              <w:t>Reporting</w:t>
            </w:r>
          </w:p>
        </w:tc>
        <w:tc>
          <w:tcPr>
            <w:tcW w:w="1160" w:type="dxa"/>
            <w:vAlign w:val="bottom"/>
            <w:vMerge w:val="continue"/>
          </w:tcPr>
          <w:p>
            <w:pPr>
              <w:spacing w:after="0"/>
              <w:rPr>
                <w:sz w:val="19"/>
                <w:szCs w:val="19"/>
                <w:color w:val="auto"/>
              </w:rPr>
            </w:pPr>
          </w:p>
        </w:tc>
        <w:tc>
          <w:tcPr>
            <w:tcW w:w="2700" w:type="dxa"/>
            <w:vAlign w:val="bottom"/>
          </w:tcPr>
          <w:p>
            <w:pPr>
              <w:ind w:left="660"/>
              <w:spacing w:after="0"/>
              <w:rPr>
                <w:sz w:val="20"/>
                <w:szCs w:val="20"/>
                <w:color w:val="auto"/>
              </w:rPr>
            </w:pPr>
            <w:r>
              <w:rPr>
                <w:rFonts w:ascii="Arial" w:cs="Arial" w:eastAsia="Arial" w:hAnsi="Arial"/>
                <w:sz w:val="20"/>
                <w:szCs w:val="20"/>
                <w:color w:val="auto"/>
                <w:w w:val="98"/>
              </w:rPr>
              <w:t>Sole Dispositive Power</w:t>
            </w:r>
          </w:p>
        </w:tc>
        <w:tc>
          <w:tcPr>
            <w:tcW w:w="0" w:type="dxa"/>
            <w:vAlign w:val="bottom"/>
          </w:tcPr>
          <w:p>
            <w:pPr>
              <w:spacing w:after="0"/>
              <w:rPr>
                <w:sz w:val="1"/>
                <w:szCs w:val="1"/>
                <w:color w:val="auto"/>
              </w:rPr>
            </w:pPr>
          </w:p>
        </w:tc>
      </w:tr>
      <w:tr>
        <w:trPr>
          <w:trHeight w:val="230"/>
        </w:trPr>
        <w:tc>
          <w:tcPr>
            <w:tcW w:w="2100" w:type="dxa"/>
            <w:vAlign w:val="bottom"/>
          </w:tcPr>
          <w:p>
            <w:pPr>
              <w:jc w:val="center"/>
              <w:ind w:left="261"/>
              <w:spacing w:after="0"/>
              <w:rPr>
                <w:sz w:val="20"/>
                <w:szCs w:val="20"/>
                <w:color w:val="auto"/>
              </w:rPr>
            </w:pPr>
            <w:r>
              <w:rPr>
                <w:rFonts w:ascii="Arial" w:cs="Arial" w:eastAsia="Arial" w:hAnsi="Arial"/>
                <w:sz w:val="20"/>
                <w:szCs w:val="20"/>
                <w:color w:val="auto"/>
                <w:w w:val="85"/>
              </w:rPr>
              <w:t>Person</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5,179,329</w:t>
            </w:r>
          </w:p>
        </w:tc>
        <w:tc>
          <w:tcPr>
            <w:tcW w:w="0" w:type="dxa"/>
            <w:vAlign w:val="bottom"/>
          </w:tcPr>
          <w:p>
            <w:pPr>
              <w:spacing w:after="0"/>
              <w:rPr>
                <w:sz w:val="1"/>
                <w:szCs w:val="1"/>
                <w:color w:val="auto"/>
              </w:rPr>
            </w:pPr>
          </w:p>
        </w:tc>
      </w:tr>
      <w:tr>
        <w:trPr>
          <w:trHeight w:val="25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9"/>
              </w:rPr>
              <w:t>With</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8.</w:t>
            </w:r>
          </w:p>
        </w:tc>
        <w:tc>
          <w:tcPr>
            <w:tcW w:w="2700" w:type="dxa"/>
            <w:vAlign w:val="bottom"/>
            <w:vMerge w:val="restart"/>
          </w:tcPr>
          <w:p>
            <w:pPr>
              <w:ind w:left="660"/>
              <w:spacing w:after="0"/>
              <w:rPr>
                <w:sz w:val="20"/>
                <w:szCs w:val="20"/>
                <w:color w:val="auto"/>
              </w:rPr>
            </w:pPr>
            <w:r>
              <w:rPr>
                <w:rFonts w:ascii="Arial" w:cs="Arial" w:eastAsia="Arial" w:hAnsi="Arial"/>
                <w:sz w:val="20"/>
                <w:szCs w:val="20"/>
                <w:color w:val="auto"/>
                <w:w w:val="88"/>
              </w:rPr>
              <w:t>Shared Dispositive Power</w:t>
            </w:r>
          </w:p>
        </w:tc>
        <w:tc>
          <w:tcPr>
            <w:tcW w:w="0" w:type="dxa"/>
            <w:vAlign w:val="bottom"/>
          </w:tcPr>
          <w:p>
            <w:pPr>
              <w:spacing w:after="0"/>
              <w:rPr>
                <w:sz w:val="1"/>
                <w:szCs w:val="1"/>
                <w:color w:val="auto"/>
              </w:rPr>
            </w:pPr>
          </w:p>
        </w:tc>
      </w:tr>
      <w:tr>
        <w:trPr>
          <w:trHeight w:val="209"/>
        </w:trPr>
        <w:tc>
          <w:tcPr>
            <w:tcW w:w="2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1040" w:hanging="1032"/>
        <w:spacing w:after="0"/>
        <w:tabs>
          <w:tab w:leader="none" w:pos="1040" w:val="left"/>
        </w:tabs>
        <w:numPr>
          <w:ilvl w:val="0"/>
          <w:numId w:val="75"/>
        </w:numPr>
        <w:rPr>
          <w:rFonts w:ascii="Arial" w:cs="Arial" w:eastAsia="Arial" w:hAnsi="Arial"/>
          <w:sz w:val="20"/>
          <w:szCs w:val="20"/>
          <w:b w:val="1"/>
          <w:bCs w:val="1"/>
          <w:color w:val="auto"/>
        </w:rPr>
      </w:pPr>
      <w:r>
        <w:rPr>
          <w:rFonts w:ascii="Arial" w:cs="Arial" w:eastAsia="Arial" w:hAnsi="Arial"/>
          <w:sz w:val="20"/>
          <w:szCs w:val="20"/>
          <w:color w:val="auto"/>
        </w:rPr>
        <w:t>Aggregate Amount Beneficially Owned by Each Reporting Person</w:t>
      </w:r>
    </w:p>
    <w:p>
      <w:pPr>
        <w:spacing w:after="0" w:line="229"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5,179,329</w:t>
      </w:r>
    </w:p>
    <w:p>
      <w:pPr>
        <w:spacing w:after="0" w:line="229" w:lineRule="exact"/>
        <w:rPr>
          <w:rFonts w:ascii="Arial" w:cs="Arial" w:eastAsia="Arial" w:hAnsi="Arial"/>
          <w:sz w:val="20"/>
          <w:szCs w:val="20"/>
          <w:b w:val="1"/>
          <w:bCs w:val="1"/>
          <w:color w:val="auto"/>
        </w:rPr>
      </w:pPr>
    </w:p>
    <w:p>
      <w:pPr>
        <w:ind w:left="1040" w:hanging="1032"/>
        <w:spacing w:after="0"/>
        <w:tabs>
          <w:tab w:leader="none" w:pos="1040" w:val="left"/>
        </w:tabs>
        <w:numPr>
          <w:ilvl w:val="0"/>
          <w:numId w:val="75"/>
        </w:numPr>
        <w:rPr>
          <w:rFonts w:ascii="Arial" w:cs="Arial" w:eastAsia="Arial" w:hAnsi="Arial"/>
          <w:sz w:val="20"/>
          <w:szCs w:val="20"/>
          <w:b w:val="1"/>
          <w:bCs w:val="1"/>
          <w:color w:val="auto"/>
        </w:rPr>
      </w:pPr>
      <w:r>
        <w:rPr>
          <w:rFonts w:ascii="Arial" w:cs="Arial" w:eastAsia="Arial" w:hAnsi="Arial"/>
          <w:sz w:val="20"/>
          <w:szCs w:val="20"/>
          <w:color w:val="auto"/>
        </w:rPr>
        <w:t>Check Box If the Aggregate Amount in Row (9) Excludes Certain Shares (See Instructions)</w:t>
      </w:r>
    </w:p>
    <w:p>
      <w:pPr>
        <w:spacing w:after="0" w:line="229"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  ]</w:t>
      </w:r>
    </w:p>
    <w:p>
      <w:pPr>
        <w:spacing w:after="0" w:line="229" w:lineRule="exact"/>
        <w:rPr>
          <w:rFonts w:ascii="Arial" w:cs="Arial" w:eastAsia="Arial" w:hAnsi="Arial"/>
          <w:sz w:val="20"/>
          <w:szCs w:val="20"/>
          <w:b w:val="1"/>
          <w:bCs w:val="1"/>
          <w:color w:val="auto"/>
        </w:rPr>
      </w:pPr>
    </w:p>
    <w:p>
      <w:pPr>
        <w:ind w:left="1040" w:hanging="1032"/>
        <w:spacing w:after="0"/>
        <w:tabs>
          <w:tab w:leader="none" w:pos="1040" w:val="left"/>
        </w:tabs>
        <w:numPr>
          <w:ilvl w:val="0"/>
          <w:numId w:val="75"/>
        </w:numPr>
        <w:rPr>
          <w:rFonts w:ascii="Arial" w:cs="Arial" w:eastAsia="Arial" w:hAnsi="Arial"/>
          <w:sz w:val="20"/>
          <w:szCs w:val="20"/>
          <w:b w:val="1"/>
          <w:bCs w:val="1"/>
          <w:color w:val="auto"/>
        </w:rPr>
      </w:pPr>
      <w:r>
        <w:rPr>
          <w:rFonts w:ascii="Arial" w:cs="Arial" w:eastAsia="Arial" w:hAnsi="Arial"/>
          <w:sz w:val="20"/>
          <w:szCs w:val="20"/>
          <w:color w:val="auto"/>
        </w:rPr>
        <w:t>Percent of Class Represented By Amount in Row (9)</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7.4% (1)</w:t>
      </w:r>
    </w:p>
    <w:p>
      <w:pPr>
        <w:spacing w:after="0" w:line="229" w:lineRule="exact"/>
        <w:rPr>
          <w:sz w:val="20"/>
          <w:szCs w:val="20"/>
          <w:color w:val="auto"/>
        </w:rPr>
      </w:pPr>
    </w:p>
    <w:p>
      <w:pPr>
        <w:ind w:left="1040" w:hanging="1032"/>
        <w:spacing w:after="0"/>
        <w:tabs>
          <w:tab w:leader="none" w:pos="1040" w:val="left"/>
        </w:tabs>
        <w:numPr>
          <w:ilvl w:val="0"/>
          <w:numId w:val="76"/>
        </w:numPr>
        <w:rPr>
          <w:rFonts w:ascii="Arial" w:cs="Arial" w:eastAsia="Arial" w:hAnsi="Arial"/>
          <w:sz w:val="20"/>
          <w:szCs w:val="20"/>
          <w:b w:val="1"/>
          <w:bCs w:val="1"/>
          <w:color w:val="auto"/>
        </w:rPr>
      </w:pPr>
      <w:r>
        <w:rPr>
          <w:rFonts w:ascii="Arial" w:cs="Arial" w:eastAsia="Arial" w:hAnsi="Arial"/>
          <w:sz w:val="20"/>
          <w:szCs w:val="20"/>
          <w:color w:val="auto"/>
        </w:rPr>
        <w:t>Type of Reporting Person (See Instructions)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CO</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w:t>
      </w:r>
    </w:p>
    <w:p>
      <w:pPr>
        <w:spacing w:after="0" w:line="213" w:lineRule="exact"/>
        <w:rPr>
          <w:sz w:val="20"/>
          <w:szCs w:val="20"/>
          <w:color w:val="auto"/>
        </w:rPr>
      </w:pPr>
    </w:p>
    <w:p>
      <w:pPr>
        <w:ind w:left="460" w:hanging="452"/>
        <w:spacing w:after="0" w:line="260" w:lineRule="auto"/>
        <w:tabs>
          <w:tab w:leader="none" w:pos="460" w:val="left"/>
        </w:tabs>
        <w:numPr>
          <w:ilvl w:val="0"/>
          <w:numId w:val="77"/>
        </w:numPr>
        <w:rPr>
          <w:rFonts w:ascii="Arial" w:cs="Arial" w:eastAsia="Arial" w:hAnsi="Arial"/>
          <w:sz w:val="20"/>
          <w:szCs w:val="20"/>
          <w:color w:val="auto"/>
        </w:rPr>
      </w:pPr>
      <w:r>
        <w:rPr>
          <w:rFonts w:ascii="Arial" w:cs="Arial" w:eastAsia="Arial" w:hAnsi="Arial"/>
          <w:sz w:val="20"/>
          <w:szCs w:val="20"/>
          <w:color w:val="auto"/>
        </w:rPr>
        <w:t>Based on 69,999,954 Ordinary Shares of the Issuer outstanding as of December 13, 2019, as reported in the Issuer's Form 8-K filed with the SEC on December 18,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346" w:right="399" w:bottom="1440" w:gutter="0" w:footer="0" w:header="0"/>
        </w:sectPr>
      </w:pPr>
    </w:p>
    <w:bookmarkStart w:id="20" w:name="page21"/>
    <w:bookmarkEnd w:id="20"/>
    <w:p>
      <w:pPr>
        <w:spacing w:after="0"/>
        <w:rPr>
          <w:sz w:val="20"/>
          <w:szCs w:val="20"/>
          <w:color w:val="auto"/>
        </w:rPr>
      </w:pPr>
      <w:r>
        <w:rPr>
          <w:rFonts w:ascii="Arial" w:cs="Arial" w:eastAsia="Arial" w:hAnsi="Arial"/>
          <w:sz w:val="20"/>
          <w:szCs w:val="20"/>
          <w:b w:val="1"/>
          <w:bCs w:val="1"/>
          <w:color w:val="auto"/>
        </w:rPr>
        <w:t>CUSIP NO. G48833118</w:t>
      </w:r>
    </w:p>
    <w:p>
      <w:pPr>
        <w:spacing w:after="0" w:line="235" w:lineRule="exact"/>
        <w:rPr>
          <w:sz w:val="20"/>
          <w:szCs w:val="20"/>
          <w:color w:val="auto"/>
        </w:rPr>
      </w:pPr>
    </w:p>
    <w:p>
      <w:pPr>
        <w:ind w:right="7800" w:firstLine="8"/>
        <w:spacing w:after="0" w:line="476" w:lineRule="auto"/>
        <w:tabs>
          <w:tab w:leader="none" w:pos="1175" w:val="left"/>
        </w:tabs>
        <w:numPr>
          <w:ilvl w:val="0"/>
          <w:numId w:val="78"/>
        </w:numPr>
        <w:rPr>
          <w:rFonts w:ascii="Arial" w:cs="Arial" w:eastAsia="Arial" w:hAnsi="Arial"/>
          <w:sz w:val="20"/>
          <w:szCs w:val="20"/>
          <w:b w:val="1"/>
          <w:bCs w:val="1"/>
          <w:color w:val="auto"/>
        </w:rPr>
      </w:pPr>
      <w:r>
        <w:rPr>
          <w:rFonts w:ascii="Arial" w:cs="Arial" w:eastAsia="Arial" w:hAnsi="Arial"/>
          <w:sz w:val="20"/>
          <w:szCs w:val="20"/>
          <w:color w:val="auto"/>
        </w:rPr>
        <w:t>Names of Reporting Persons George G. Hicks</w:t>
      </w:r>
    </w:p>
    <w:p>
      <w:pPr>
        <w:spacing w:after="0" w:line="6" w:lineRule="exact"/>
        <w:rPr>
          <w:rFonts w:ascii="Arial" w:cs="Arial" w:eastAsia="Arial" w:hAnsi="Arial"/>
          <w:sz w:val="20"/>
          <w:szCs w:val="20"/>
          <w:b w:val="1"/>
          <w:bCs w:val="1"/>
          <w:color w:val="auto"/>
        </w:rPr>
      </w:pPr>
    </w:p>
    <w:p>
      <w:pPr>
        <w:ind w:left="2780" w:right="4500" w:hanging="2772"/>
        <w:spacing w:after="0" w:line="479" w:lineRule="auto"/>
        <w:tabs>
          <w:tab w:leader="none" w:pos="1190" w:val="left"/>
        </w:tabs>
        <w:numPr>
          <w:ilvl w:val="0"/>
          <w:numId w:val="78"/>
        </w:numPr>
        <w:rPr>
          <w:rFonts w:ascii="Arial" w:cs="Arial" w:eastAsia="Arial" w:hAnsi="Arial"/>
          <w:sz w:val="20"/>
          <w:szCs w:val="20"/>
          <w:b w:val="1"/>
          <w:bCs w:val="1"/>
          <w:color w:val="auto"/>
        </w:rPr>
      </w:pPr>
      <w:r>
        <w:rPr>
          <w:rFonts w:ascii="Arial" w:cs="Arial" w:eastAsia="Arial" w:hAnsi="Arial"/>
          <w:sz w:val="20"/>
          <w:szCs w:val="20"/>
          <w:color w:val="auto"/>
        </w:rPr>
        <w:t>Check the Appropriate Box If a Member of a Group (See Instructions) a. [ ]</w:t>
      </w:r>
    </w:p>
    <w:p>
      <w:pPr>
        <w:ind w:left="2800"/>
        <w:spacing w:after="0"/>
        <w:rPr>
          <w:rFonts w:ascii="Arial" w:cs="Arial" w:eastAsia="Arial" w:hAnsi="Arial"/>
          <w:sz w:val="20"/>
          <w:szCs w:val="20"/>
          <w:b w:val="1"/>
          <w:bCs w:val="1"/>
          <w:color w:val="auto"/>
        </w:rPr>
      </w:pPr>
      <w:r>
        <w:rPr>
          <w:rFonts w:ascii="Arial" w:cs="Arial" w:eastAsia="Arial" w:hAnsi="Arial"/>
          <w:sz w:val="20"/>
          <w:szCs w:val="20"/>
          <w:color w:val="auto"/>
        </w:rPr>
        <w:t>b. [X]</w:t>
      </w:r>
    </w:p>
    <w:p>
      <w:pPr>
        <w:spacing w:after="0" w:line="229" w:lineRule="exact"/>
        <w:rPr>
          <w:rFonts w:ascii="Arial" w:cs="Arial" w:eastAsia="Arial" w:hAnsi="Arial"/>
          <w:sz w:val="20"/>
          <w:szCs w:val="20"/>
          <w:b w:val="1"/>
          <w:bCs w:val="1"/>
          <w:color w:val="auto"/>
        </w:rPr>
      </w:pPr>
    </w:p>
    <w:p>
      <w:pPr>
        <w:ind w:left="1180" w:hanging="1172"/>
        <w:spacing w:after="0"/>
        <w:tabs>
          <w:tab w:leader="none" w:pos="1180" w:val="left"/>
        </w:tabs>
        <w:numPr>
          <w:ilvl w:val="0"/>
          <w:numId w:val="78"/>
        </w:numPr>
        <w:rPr>
          <w:rFonts w:ascii="Arial" w:cs="Arial" w:eastAsia="Arial" w:hAnsi="Arial"/>
          <w:sz w:val="20"/>
          <w:szCs w:val="20"/>
          <w:b w:val="1"/>
          <w:bCs w:val="1"/>
          <w:color w:val="auto"/>
        </w:rPr>
      </w:pPr>
      <w:r>
        <w:rPr>
          <w:rFonts w:ascii="Arial" w:cs="Arial" w:eastAsia="Arial" w:hAnsi="Arial"/>
          <w:sz w:val="20"/>
          <w:szCs w:val="20"/>
          <w:color w:val="auto"/>
        </w:rPr>
        <w:t>SEC Use Only</w:t>
      </w:r>
    </w:p>
    <w:p>
      <w:pPr>
        <w:spacing w:after="0" w:line="229" w:lineRule="exact"/>
        <w:rPr>
          <w:rFonts w:ascii="Arial" w:cs="Arial" w:eastAsia="Arial" w:hAnsi="Arial"/>
          <w:sz w:val="20"/>
          <w:szCs w:val="20"/>
          <w:b w:val="1"/>
          <w:bCs w:val="1"/>
          <w:color w:val="auto"/>
        </w:rPr>
      </w:pPr>
    </w:p>
    <w:p>
      <w:pPr>
        <w:ind w:left="1180" w:hanging="1172"/>
        <w:spacing w:after="0"/>
        <w:tabs>
          <w:tab w:leader="none" w:pos="1180" w:val="left"/>
        </w:tabs>
        <w:numPr>
          <w:ilvl w:val="0"/>
          <w:numId w:val="78"/>
        </w:numPr>
        <w:rPr>
          <w:rFonts w:ascii="Arial" w:cs="Arial" w:eastAsia="Arial" w:hAnsi="Arial"/>
          <w:sz w:val="20"/>
          <w:szCs w:val="20"/>
          <w:b w:val="1"/>
          <w:bCs w:val="1"/>
          <w:color w:val="auto"/>
        </w:rPr>
      </w:pPr>
      <w:r>
        <w:rPr>
          <w:rFonts w:ascii="Arial" w:cs="Arial" w:eastAsia="Arial" w:hAnsi="Arial"/>
          <w:sz w:val="20"/>
          <w:szCs w:val="20"/>
          <w:color w:val="auto"/>
        </w:rPr>
        <w:t>Citizenship or Place of Organization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100" w:type="dxa"/>
            <w:vAlign w:val="bottom"/>
          </w:tcPr>
          <w:p>
            <w:pPr>
              <w:spacing w:after="0"/>
              <w:rPr>
                <w:sz w:val="20"/>
                <w:szCs w:val="20"/>
                <w:color w:val="auto"/>
              </w:rPr>
            </w:pPr>
            <w:r>
              <w:rPr>
                <w:rFonts w:ascii="Arial" w:cs="Arial" w:eastAsia="Arial" w:hAnsi="Arial"/>
                <w:sz w:val="20"/>
                <w:szCs w:val="20"/>
                <w:color w:val="auto"/>
              </w:rPr>
              <w:t>United States</w:t>
            </w:r>
          </w:p>
        </w:tc>
        <w:tc>
          <w:tcPr>
            <w:tcW w:w="116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8"/>
        </w:trPr>
        <w:tc>
          <w:tcPr>
            <w:tcW w:w="2100" w:type="dxa"/>
            <w:vAlign w:val="bottom"/>
          </w:tcPr>
          <w:p>
            <w:pPr>
              <w:spacing w:after="0"/>
              <w:rPr>
                <w:sz w:val="24"/>
                <w:szCs w:val="24"/>
                <w:color w:val="auto"/>
              </w:rPr>
            </w:pPr>
          </w:p>
        </w:tc>
        <w:tc>
          <w:tcPr>
            <w:tcW w:w="1160" w:type="dxa"/>
            <w:vAlign w:val="bottom"/>
          </w:tcPr>
          <w:p>
            <w:pPr>
              <w:jc w:val="right"/>
              <w:ind w:right="541"/>
              <w:spacing w:after="0"/>
              <w:rPr>
                <w:sz w:val="20"/>
                <w:szCs w:val="20"/>
                <w:color w:val="auto"/>
              </w:rPr>
            </w:pPr>
            <w:r>
              <w:rPr>
                <w:rFonts w:ascii="Arial" w:cs="Arial" w:eastAsia="Arial" w:hAnsi="Arial"/>
                <w:sz w:val="20"/>
                <w:szCs w:val="20"/>
                <w:b w:val="1"/>
                <w:bCs w:val="1"/>
                <w:color w:val="auto"/>
              </w:rPr>
              <w:t>5.</w:t>
            </w:r>
          </w:p>
        </w:tc>
        <w:tc>
          <w:tcPr>
            <w:tcW w:w="2700" w:type="dxa"/>
            <w:vAlign w:val="bottom"/>
          </w:tcPr>
          <w:p>
            <w:pPr>
              <w:ind w:left="660"/>
              <w:spacing w:after="0"/>
              <w:rPr>
                <w:sz w:val="20"/>
                <w:szCs w:val="20"/>
                <w:color w:val="auto"/>
              </w:rPr>
            </w:pPr>
            <w:r>
              <w:rPr>
                <w:rFonts w:ascii="Arial" w:cs="Arial" w:eastAsia="Arial" w:hAnsi="Arial"/>
                <w:sz w:val="20"/>
                <w:szCs w:val="20"/>
                <w:color w:val="auto"/>
              </w:rPr>
              <w:t>Sole Voting Power</w:t>
            </w:r>
          </w:p>
        </w:tc>
        <w:tc>
          <w:tcPr>
            <w:tcW w:w="0" w:type="dxa"/>
            <w:vAlign w:val="bottom"/>
          </w:tcPr>
          <w:p>
            <w:pPr>
              <w:spacing w:after="0"/>
              <w:rPr>
                <w:sz w:val="1"/>
                <w:szCs w:val="1"/>
                <w:color w:val="auto"/>
              </w:rPr>
            </w:pPr>
          </w:p>
        </w:tc>
      </w:tr>
      <w:tr>
        <w:trPr>
          <w:trHeight w:val="230"/>
        </w:trPr>
        <w:tc>
          <w:tcPr>
            <w:tcW w:w="2100" w:type="dxa"/>
            <w:vAlign w:val="bottom"/>
          </w:tcPr>
          <w:p>
            <w:pPr>
              <w:jc w:val="center"/>
              <w:ind w:left="261"/>
              <w:spacing w:after="0"/>
              <w:rPr>
                <w:sz w:val="20"/>
                <w:szCs w:val="20"/>
                <w:color w:val="auto"/>
              </w:rPr>
            </w:pPr>
            <w:r>
              <w:rPr>
                <w:rFonts w:ascii="Arial" w:cs="Arial" w:eastAsia="Arial" w:hAnsi="Arial"/>
                <w:sz w:val="20"/>
                <w:szCs w:val="20"/>
                <w:color w:val="auto"/>
                <w:w w:val="92"/>
              </w:rPr>
              <w:t>Number of</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81"/>
              </w:rPr>
              <w:t>Shares</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6.</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4"/>
              </w:rPr>
              <w:t>Beneficially</w:t>
            </w:r>
          </w:p>
        </w:tc>
        <w:tc>
          <w:tcPr>
            <w:tcW w:w="1160" w:type="dxa"/>
            <w:vAlign w:val="bottom"/>
            <w:vMerge w:val="continue"/>
          </w:tcPr>
          <w:p>
            <w:pPr>
              <w:spacing w:after="0"/>
              <w:rPr>
                <w:sz w:val="19"/>
                <w:szCs w:val="19"/>
                <w:color w:val="auto"/>
              </w:rPr>
            </w:pPr>
          </w:p>
        </w:tc>
        <w:tc>
          <w:tcPr>
            <w:tcW w:w="2700" w:type="dxa"/>
            <w:vAlign w:val="bottom"/>
          </w:tcPr>
          <w:p>
            <w:pPr>
              <w:ind w:left="660"/>
              <w:spacing w:after="0"/>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0"/>
              </w:rPr>
              <w:t>Owned By</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5,179,329</w:t>
            </w: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87"/>
              </w:rPr>
              <w:t>Each</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7.</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2"/>
              </w:rPr>
              <w:t>Reporting</w:t>
            </w:r>
          </w:p>
        </w:tc>
        <w:tc>
          <w:tcPr>
            <w:tcW w:w="1160" w:type="dxa"/>
            <w:vAlign w:val="bottom"/>
            <w:vMerge w:val="continue"/>
          </w:tcPr>
          <w:p>
            <w:pPr>
              <w:spacing w:after="0"/>
              <w:rPr>
                <w:sz w:val="19"/>
                <w:szCs w:val="19"/>
                <w:color w:val="auto"/>
              </w:rPr>
            </w:pPr>
          </w:p>
        </w:tc>
        <w:tc>
          <w:tcPr>
            <w:tcW w:w="2700" w:type="dxa"/>
            <w:vAlign w:val="bottom"/>
          </w:tcPr>
          <w:p>
            <w:pPr>
              <w:ind w:left="660"/>
              <w:spacing w:after="0"/>
              <w:rPr>
                <w:sz w:val="20"/>
                <w:szCs w:val="20"/>
                <w:color w:val="auto"/>
              </w:rPr>
            </w:pPr>
            <w:r>
              <w:rPr>
                <w:rFonts w:ascii="Arial" w:cs="Arial" w:eastAsia="Arial" w:hAnsi="Arial"/>
                <w:sz w:val="20"/>
                <w:szCs w:val="20"/>
                <w:color w:val="auto"/>
                <w:w w:val="98"/>
              </w:rPr>
              <w:t>Sole Dispositive Power</w:t>
            </w:r>
          </w:p>
        </w:tc>
        <w:tc>
          <w:tcPr>
            <w:tcW w:w="0" w:type="dxa"/>
            <w:vAlign w:val="bottom"/>
          </w:tcPr>
          <w:p>
            <w:pPr>
              <w:spacing w:after="0"/>
              <w:rPr>
                <w:sz w:val="1"/>
                <w:szCs w:val="1"/>
                <w:color w:val="auto"/>
              </w:rPr>
            </w:pPr>
          </w:p>
        </w:tc>
      </w:tr>
      <w:tr>
        <w:trPr>
          <w:trHeight w:val="230"/>
        </w:trPr>
        <w:tc>
          <w:tcPr>
            <w:tcW w:w="2100" w:type="dxa"/>
            <w:vAlign w:val="bottom"/>
          </w:tcPr>
          <w:p>
            <w:pPr>
              <w:jc w:val="center"/>
              <w:ind w:left="261"/>
              <w:spacing w:after="0"/>
              <w:rPr>
                <w:sz w:val="20"/>
                <w:szCs w:val="20"/>
                <w:color w:val="auto"/>
              </w:rPr>
            </w:pPr>
            <w:r>
              <w:rPr>
                <w:rFonts w:ascii="Arial" w:cs="Arial" w:eastAsia="Arial" w:hAnsi="Arial"/>
                <w:sz w:val="20"/>
                <w:szCs w:val="20"/>
                <w:color w:val="auto"/>
                <w:w w:val="85"/>
              </w:rPr>
              <w:t>Person</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50"/>
        </w:trPr>
        <w:tc>
          <w:tcPr>
            <w:tcW w:w="2100" w:type="dxa"/>
            <w:vAlign w:val="bottom"/>
          </w:tcPr>
          <w:p>
            <w:pPr>
              <w:jc w:val="center"/>
              <w:ind w:left="281"/>
              <w:spacing w:after="0"/>
              <w:rPr>
                <w:sz w:val="20"/>
                <w:szCs w:val="20"/>
                <w:color w:val="auto"/>
              </w:rPr>
            </w:pPr>
            <w:r>
              <w:rPr>
                <w:rFonts w:ascii="Arial" w:cs="Arial" w:eastAsia="Arial" w:hAnsi="Arial"/>
                <w:sz w:val="20"/>
                <w:szCs w:val="20"/>
                <w:color w:val="auto"/>
                <w:w w:val="99"/>
              </w:rPr>
              <w:t>With</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8.</w:t>
            </w:r>
          </w:p>
        </w:tc>
        <w:tc>
          <w:tcPr>
            <w:tcW w:w="2700" w:type="dxa"/>
            <w:vAlign w:val="bottom"/>
            <w:vMerge w:val="restart"/>
          </w:tcPr>
          <w:p>
            <w:pPr>
              <w:ind w:left="660"/>
              <w:spacing w:after="0"/>
              <w:rPr>
                <w:sz w:val="20"/>
                <w:szCs w:val="20"/>
                <w:color w:val="auto"/>
              </w:rPr>
            </w:pPr>
            <w:r>
              <w:rPr>
                <w:rFonts w:ascii="Arial" w:cs="Arial" w:eastAsia="Arial" w:hAnsi="Arial"/>
                <w:sz w:val="20"/>
                <w:szCs w:val="20"/>
                <w:color w:val="auto"/>
                <w:w w:val="88"/>
              </w:rPr>
              <w:t>Shared Dispositive Power</w:t>
            </w:r>
          </w:p>
        </w:tc>
        <w:tc>
          <w:tcPr>
            <w:tcW w:w="0" w:type="dxa"/>
            <w:vAlign w:val="bottom"/>
          </w:tcPr>
          <w:p>
            <w:pPr>
              <w:spacing w:after="0"/>
              <w:rPr>
                <w:sz w:val="1"/>
                <w:szCs w:val="1"/>
                <w:color w:val="auto"/>
              </w:rPr>
            </w:pPr>
          </w:p>
        </w:tc>
      </w:tr>
      <w:tr>
        <w:trPr>
          <w:trHeight w:val="209"/>
        </w:trPr>
        <w:tc>
          <w:tcPr>
            <w:tcW w:w="2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5,179,329</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1040" w:hanging="1032"/>
        <w:spacing w:after="0"/>
        <w:tabs>
          <w:tab w:leader="none" w:pos="1040" w:val="left"/>
        </w:tabs>
        <w:numPr>
          <w:ilvl w:val="0"/>
          <w:numId w:val="79"/>
        </w:numPr>
        <w:rPr>
          <w:rFonts w:ascii="Arial" w:cs="Arial" w:eastAsia="Arial" w:hAnsi="Arial"/>
          <w:sz w:val="20"/>
          <w:szCs w:val="20"/>
          <w:b w:val="1"/>
          <w:bCs w:val="1"/>
          <w:color w:val="auto"/>
        </w:rPr>
      </w:pPr>
      <w:r>
        <w:rPr>
          <w:rFonts w:ascii="Arial" w:cs="Arial" w:eastAsia="Arial" w:hAnsi="Arial"/>
          <w:sz w:val="20"/>
          <w:szCs w:val="20"/>
          <w:color w:val="auto"/>
        </w:rPr>
        <w:t>Aggregate Amount Beneficially Owned by Each Reporting Person</w:t>
      </w:r>
    </w:p>
    <w:p>
      <w:pPr>
        <w:spacing w:after="0" w:line="229"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5,179,329</w:t>
      </w:r>
    </w:p>
    <w:p>
      <w:pPr>
        <w:spacing w:after="0" w:line="229" w:lineRule="exact"/>
        <w:rPr>
          <w:rFonts w:ascii="Arial" w:cs="Arial" w:eastAsia="Arial" w:hAnsi="Arial"/>
          <w:sz w:val="20"/>
          <w:szCs w:val="20"/>
          <w:b w:val="1"/>
          <w:bCs w:val="1"/>
          <w:color w:val="auto"/>
        </w:rPr>
      </w:pPr>
    </w:p>
    <w:p>
      <w:pPr>
        <w:ind w:left="1040" w:hanging="1032"/>
        <w:spacing w:after="0"/>
        <w:tabs>
          <w:tab w:leader="none" w:pos="1040" w:val="left"/>
        </w:tabs>
        <w:numPr>
          <w:ilvl w:val="0"/>
          <w:numId w:val="79"/>
        </w:numPr>
        <w:rPr>
          <w:rFonts w:ascii="Arial" w:cs="Arial" w:eastAsia="Arial" w:hAnsi="Arial"/>
          <w:sz w:val="20"/>
          <w:szCs w:val="20"/>
          <w:b w:val="1"/>
          <w:bCs w:val="1"/>
          <w:color w:val="auto"/>
        </w:rPr>
      </w:pPr>
      <w:r>
        <w:rPr>
          <w:rFonts w:ascii="Arial" w:cs="Arial" w:eastAsia="Arial" w:hAnsi="Arial"/>
          <w:sz w:val="20"/>
          <w:szCs w:val="20"/>
          <w:color w:val="auto"/>
        </w:rPr>
        <w:t>Check Box If the Aggregate Amount in Row (9) Excludes Certain Shares (See Instructions)</w:t>
      </w:r>
    </w:p>
    <w:p>
      <w:pPr>
        <w:spacing w:after="0" w:line="229"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  ]</w:t>
      </w:r>
    </w:p>
    <w:p>
      <w:pPr>
        <w:spacing w:after="0" w:line="229" w:lineRule="exact"/>
        <w:rPr>
          <w:rFonts w:ascii="Arial" w:cs="Arial" w:eastAsia="Arial" w:hAnsi="Arial"/>
          <w:sz w:val="20"/>
          <w:szCs w:val="20"/>
          <w:b w:val="1"/>
          <w:bCs w:val="1"/>
          <w:color w:val="auto"/>
        </w:rPr>
      </w:pPr>
    </w:p>
    <w:p>
      <w:pPr>
        <w:ind w:left="1040" w:hanging="1032"/>
        <w:spacing w:after="0"/>
        <w:tabs>
          <w:tab w:leader="none" w:pos="1040" w:val="left"/>
        </w:tabs>
        <w:numPr>
          <w:ilvl w:val="0"/>
          <w:numId w:val="79"/>
        </w:numPr>
        <w:rPr>
          <w:rFonts w:ascii="Arial" w:cs="Arial" w:eastAsia="Arial" w:hAnsi="Arial"/>
          <w:sz w:val="20"/>
          <w:szCs w:val="20"/>
          <w:b w:val="1"/>
          <w:bCs w:val="1"/>
          <w:color w:val="auto"/>
        </w:rPr>
      </w:pPr>
      <w:r>
        <w:rPr>
          <w:rFonts w:ascii="Arial" w:cs="Arial" w:eastAsia="Arial" w:hAnsi="Arial"/>
          <w:sz w:val="20"/>
          <w:szCs w:val="20"/>
          <w:color w:val="auto"/>
        </w:rPr>
        <w:t>Percent of Class Represented By Amount in Row (9)</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7.4% (1)</w:t>
      </w:r>
    </w:p>
    <w:p>
      <w:pPr>
        <w:spacing w:after="0" w:line="229" w:lineRule="exact"/>
        <w:rPr>
          <w:sz w:val="20"/>
          <w:szCs w:val="20"/>
          <w:color w:val="auto"/>
        </w:rPr>
      </w:pPr>
    </w:p>
    <w:p>
      <w:pPr>
        <w:ind w:left="1040" w:hanging="1032"/>
        <w:spacing w:after="0"/>
        <w:tabs>
          <w:tab w:leader="none" w:pos="1040" w:val="left"/>
        </w:tabs>
        <w:numPr>
          <w:ilvl w:val="0"/>
          <w:numId w:val="80"/>
        </w:numPr>
        <w:rPr>
          <w:rFonts w:ascii="Arial" w:cs="Arial" w:eastAsia="Arial" w:hAnsi="Arial"/>
          <w:sz w:val="20"/>
          <w:szCs w:val="20"/>
          <w:b w:val="1"/>
          <w:bCs w:val="1"/>
          <w:color w:val="auto"/>
        </w:rPr>
      </w:pPr>
      <w:r>
        <w:rPr>
          <w:rFonts w:ascii="Arial" w:cs="Arial" w:eastAsia="Arial" w:hAnsi="Arial"/>
          <w:sz w:val="20"/>
          <w:szCs w:val="20"/>
          <w:color w:val="auto"/>
        </w:rPr>
        <w:t>Type of Reporting Person (See Instructions)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IN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w:t>
      </w:r>
    </w:p>
    <w:p>
      <w:pPr>
        <w:spacing w:after="0" w:line="213" w:lineRule="exact"/>
        <w:rPr>
          <w:sz w:val="20"/>
          <w:szCs w:val="20"/>
          <w:color w:val="auto"/>
        </w:rPr>
      </w:pPr>
    </w:p>
    <w:p>
      <w:pPr>
        <w:ind w:left="460" w:hanging="452"/>
        <w:spacing w:after="0" w:line="260" w:lineRule="auto"/>
        <w:tabs>
          <w:tab w:leader="none" w:pos="460" w:val="left"/>
        </w:tabs>
        <w:numPr>
          <w:ilvl w:val="0"/>
          <w:numId w:val="81"/>
        </w:numPr>
        <w:rPr>
          <w:rFonts w:ascii="Arial" w:cs="Arial" w:eastAsia="Arial" w:hAnsi="Arial"/>
          <w:sz w:val="20"/>
          <w:szCs w:val="20"/>
          <w:color w:val="auto"/>
        </w:rPr>
      </w:pPr>
      <w:r>
        <w:rPr>
          <w:rFonts w:ascii="Arial" w:cs="Arial" w:eastAsia="Arial" w:hAnsi="Arial"/>
          <w:sz w:val="20"/>
          <w:szCs w:val="20"/>
          <w:color w:val="auto"/>
        </w:rPr>
        <w:t>Based on 69,999,954 Ordinary Shares of the Issuer outstanding as of December 13, 2019, as reported in the Issuer's Form 8-K filed with the SEC on December 18,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346" w:right="399" w:bottom="1440" w:gutter="0" w:footer="0" w:header="0"/>
        </w:sectPr>
      </w:pPr>
    </w:p>
    <w:bookmarkStart w:id="21" w:name="page22"/>
    <w:bookmarkEnd w:id="21"/>
    <w:p>
      <w:pPr>
        <w:spacing w:after="0"/>
        <w:rPr>
          <w:sz w:val="20"/>
          <w:szCs w:val="20"/>
          <w:color w:val="auto"/>
        </w:rPr>
      </w:pPr>
      <w:r>
        <w:rPr>
          <w:rFonts w:ascii="Arial" w:cs="Arial" w:eastAsia="Arial" w:hAnsi="Arial"/>
          <w:sz w:val="20"/>
          <w:szCs w:val="20"/>
          <w:b w:val="1"/>
          <w:bCs w:val="1"/>
          <w:color w:val="auto"/>
        </w:rPr>
        <w:t>CUSIP NO. G48833118</w:t>
      </w:r>
    </w:p>
    <w:p>
      <w:pPr>
        <w:spacing w:after="0" w:line="235" w:lineRule="exact"/>
        <w:rPr>
          <w:sz w:val="20"/>
          <w:szCs w:val="20"/>
          <w:color w:val="auto"/>
        </w:rPr>
      </w:pPr>
    </w:p>
    <w:p>
      <w:pPr>
        <w:ind w:right="7800" w:firstLine="8"/>
        <w:spacing w:after="0" w:line="476" w:lineRule="auto"/>
        <w:tabs>
          <w:tab w:leader="none" w:pos="1175" w:val="left"/>
        </w:tabs>
        <w:numPr>
          <w:ilvl w:val="0"/>
          <w:numId w:val="82"/>
        </w:numPr>
        <w:rPr>
          <w:rFonts w:ascii="Arial" w:cs="Arial" w:eastAsia="Arial" w:hAnsi="Arial"/>
          <w:sz w:val="20"/>
          <w:szCs w:val="20"/>
          <w:b w:val="1"/>
          <w:bCs w:val="1"/>
          <w:color w:val="auto"/>
        </w:rPr>
      </w:pPr>
      <w:r>
        <w:rPr>
          <w:rFonts w:ascii="Arial" w:cs="Arial" w:eastAsia="Arial" w:hAnsi="Arial"/>
          <w:sz w:val="20"/>
          <w:szCs w:val="20"/>
          <w:color w:val="auto"/>
        </w:rPr>
        <w:t>Names of Reporting Persons Ilfryn C. Carstairs</w:t>
      </w:r>
    </w:p>
    <w:p>
      <w:pPr>
        <w:spacing w:after="0" w:line="6" w:lineRule="exact"/>
        <w:rPr>
          <w:rFonts w:ascii="Arial" w:cs="Arial" w:eastAsia="Arial" w:hAnsi="Arial"/>
          <w:sz w:val="20"/>
          <w:szCs w:val="20"/>
          <w:b w:val="1"/>
          <w:bCs w:val="1"/>
          <w:color w:val="auto"/>
        </w:rPr>
      </w:pPr>
    </w:p>
    <w:p>
      <w:pPr>
        <w:ind w:left="2780" w:right="4500" w:hanging="2772"/>
        <w:spacing w:after="0" w:line="479" w:lineRule="auto"/>
        <w:tabs>
          <w:tab w:leader="none" w:pos="1190" w:val="left"/>
        </w:tabs>
        <w:numPr>
          <w:ilvl w:val="0"/>
          <w:numId w:val="82"/>
        </w:numPr>
        <w:rPr>
          <w:rFonts w:ascii="Arial" w:cs="Arial" w:eastAsia="Arial" w:hAnsi="Arial"/>
          <w:sz w:val="20"/>
          <w:szCs w:val="20"/>
          <w:b w:val="1"/>
          <w:bCs w:val="1"/>
          <w:color w:val="auto"/>
        </w:rPr>
      </w:pPr>
      <w:r>
        <w:rPr>
          <w:rFonts w:ascii="Arial" w:cs="Arial" w:eastAsia="Arial" w:hAnsi="Arial"/>
          <w:sz w:val="20"/>
          <w:szCs w:val="20"/>
          <w:color w:val="auto"/>
        </w:rPr>
        <w:t>Check the Appropriate Box If a Member of a Group (See Instructions) a. [ ]</w:t>
      </w:r>
    </w:p>
    <w:p>
      <w:pPr>
        <w:ind w:left="2800"/>
        <w:spacing w:after="0"/>
        <w:rPr>
          <w:rFonts w:ascii="Arial" w:cs="Arial" w:eastAsia="Arial" w:hAnsi="Arial"/>
          <w:sz w:val="20"/>
          <w:szCs w:val="20"/>
          <w:b w:val="1"/>
          <w:bCs w:val="1"/>
          <w:color w:val="auto"/>
        </w:rPr>
      </w:pPr>
      <w:r>
        <w:rPr>
          <w:rFonts w:ascii="Arial" w:cs="Arial" w:eastAsia="Arial" w:hAnsi="Arial"/>
          <w:sz w:val="20"/>
          <w:szCs w:val="20"/>
          <w:color w:val="auto"/>
        </w:rPr>
        <w:t>b. [X]</w:t>
      </w:r>
    </w:p>
    <w:p>
      <w:pPr>
        <w:spacing w:after="0" w:line="229" w:lineRule="exact"/>
        <w:rPr>
          <w:rFonts w:ascii="Arial" w:cs="Arial" w:eastAsia="Arial" w:hAnsi="Arial"/>
          <w:sz w:val="20"/>
          <w:szCs w:val="20"/>
          <w:b w:val="1"/>
          <w:bCs w:val="1"/>
          <w:color w:val="auto"/>
        </w:rPr>
      </w:pPr>
    </w:p>
    <w:p>
      <w:pPr>
        <w:ind w:left="1180" w:hanging="1172"/>
        <w:spacing w:after="0"/>
        <w:tabs>
          <w:tab w:leader="none" w:pos="1180" w:val="left"/>
        </w:tabs>
        <w:numPr>
          <w:ilvl w:val="0"/>
          <w:numId w:val="82"/>
        </w:numPr>
        <w:rPr>
          <w:rFonts w:ascii="Arial" w:cs="Arial" w:eastAsia="Arial" w:hAnsi="Arial"/>
          <w:sz w:val="20"/>
          <w:szCs w:val="20"/>
          <w:b w:val="1"/>
          <w:bCs w:val="1"/>
          <w:color w:val="auto"/>
        </w:rPr>
      </w:pPr>
      <w:r>
        <w:rPr>
          <w:rFonts w:ascii="Arial" w:cs="Arial" w:eastAsia="Arial" w:hAnsi="Arial"/>
          <w:sz w:val="20"/>
          <w:szCs w:val="20"/>
          <w:color w:val="auto"/>
        </w:rPr>
        <w:t>SEC Use Only</w:t>
      </w:r>
    </w:p>
    <w:p>
      <w:pPr>
        <w:spacing w:after="0" w:line="229" w:lineRule="exact"/>
        <w:rPr>
          <w:rFonts w:ascii="Arial" w:cs="Arial" w:eastAsia="Arial" w:hAnsi="Arial"/>
          <w:sz w:val="20"/>
          <w:szCs w:val="20"/>
          <w:b w:val="1"/>
          <w:bCs w:val="1"/>
          <w:color w:val="auto"/>
        </w:rPr>
      </w:pPr>
    </w:p>
    <w:p>
      <w:pPr>
        <w:ind w:left="1180" w:hanging="1172"/>
        <w:spacing w:after="0"/>
        <w:tabs>
          <w:tab w:leader="none" w:pos="1180" w:val="left"/>
        </w:tabs>
        <w:numPr>
          <w:ilvl w:val="0"/>
          <w:numId w:val="82"/>
        </w:numPr>
        <w:rPr>
          <w:rFonts w:ascii="Arial" w:cs="Arial" w:eastAsia="Arial" w:hAnsi="Arial"/>
          <w:sz w:val="20"/>
          <w:szCs w:val="20"/>
          <w:b w:val="1"/>
          <w:bCs w:val="1"/>
          <w:color w:val="auto"/>
        </w:rPr>
      </w:pPr>
      <w:r>
        <w:rPr>
          <w:rFonts w:ascii="Arial" w:cs="Arial" w:eastAsia="Arial" w:hAnsi="Arial"/>
          <w:sz w:val="20"/>
          <w:szCs w:val="20"/>
          <w:color w:val="auto"/>
        </w:rPr>
        <w:t>Citizenship or Place of Organization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Australia and the United Kingdom</w:t>
      </w:r>
    </w:p>
    <w:p>
      <w:pPr>
        <w:spacing w:after="0" w:line="223" w:lineRule="exact"/>
        <w:rPr>
          <w:sz w:val="20"/>
          <w:szCs w:val="20"/>
          <w:color w:val="auto"/>
        </w:rPr>
      </w:pPr>
    </w:p>
    <w:tbl>
      <w:tblPr>
        <w:tblLayout w:type="fixed"/>
        <w:tblInd w:w="760" w:type="dxa"/>
        <w:tblCellMar>
          <w:top w:w="0" w:type="dxa"/>
          <w:left w:w="0" w:type="dxa"/>
          <w:bottom w:w="0" w:type="dxa"/>
          <w:right w:w="0" w:type="dxa"/>
        </w:tblCellMar>
      </w:tblPr>
      <w:tr>
        <w:trPr>
          <w:trHeight w:val="236"/>
        </w:trPr>
        <w:tc>
          <w:tcPr>
            <w:tcW w:w="1340" w:type="dxa"/>
            <w:vAlign w:val="bottom"/>
          </w:tcPr>
          <w:p>
            <w:pPr>
              <w:spacing w:after="0"/>
              <w:rPr>
                <w:sz w:val="20"/>
                <w:szCs w:val="20"/>
                <w:color w:val="auto"/>
              </w:rPr>
            </w:pPr>
          </w:p>
        </w:tc>
        <w:tc>
          <w:tcPr>
            <w:tcW w:w="1160" w:type="dxa"/>
            <w:vAlign w:val="bottom"/>
          </w:tcPr>
          <w:p>
            <w:pPr>
              <w:jc w:val="right"/>
              <w:ind w:right="541"/>
              <w:spacing w:after="0"/>
              <w:rPr>
                <w:sz w:val="20"/>
                <w:szCs w:val="20"/>
                <w:color w:val="auto"/>
              </w:rPr>
            </w:pPr>
            <w:r>
              <w:rPr>
                <w:rFonts w:ascii="Arial" w:cs="Arial" w:eastAsia="Arial" w:hAnsi="Arial"/>
                <w:sz w:val="20"/>
                <w:szCs w:val="20"/>
                <w:b w:val="1"/>
                <w:bCs w:val="1"/>
                <w:color w:val="auto"/>
              </w:rPr>
              <w:t>5.</w:t>
            </w:r>
          </w:p>
        </w:tc>
        <w:tc>
          <w:tcPr>
            <w:tcW w:w="2700" w:type="dxa"/>
            <w:vAlign w:val="bottom"/>
          </w:tcPr>
          <w:p>
            <w:pPr>
              <w:ind w:left="660"/>
              <w:spacing w:after="0"/>
              <w:rPr>
                <w:sz w:val="20"/>
                <w:szCs w:val="20"/>
                <w:color w:val="auto"/>
              </w:rPr>
            </w:pPr>
            <w:r>
              <w:rPr>
                <w:rFonts w:ascii="Arial" w:cs="Arial" w:eastAsia="Arial" w:hAnsi="Arial"/>
                <w:sz w:val="20"/>
                <w:szCs w:val="20"/>
                <w:color w:val="auto"/>
              </w:rPr>
              <w:t>Sole Voting Power</w:t>
            </w:r>
          </w:p>
        </w:tc>
        <w:tc>
          <w:tcPr>
            <w:tcW w:w="0" w:type="dxa"/>
            <w:vAlign w:val="bottom"/>
          </w:tcPr>
          <w:p>
            <w:pPr>
              <w:spacing w:after="0"/>
              <w:rPr>
                <w:sz w:val="1"/>
                <w:szCs w:val="1"/>
                <w:color w:val="auto"/>
              </w:rPr>
            </w:pPr>
          </w:p>
        </w:tc>
      </w:tr>
      <w:tr>
        <w:trPr>
          <w:trHeight w:val="230"/>
        </w:trPr>
        <w:tc>
          <w:tcPr>
            <w:tcW w:w="1340" w:type="dxa"/>
            <w:vAlign w:val="bottom"/>
          </w:tcPr>
          <w:p>
            <w:pPr>
              <w:jc w:val="center"/>
              <w:ind w:right="301"/>
              <w:spacing w:after="0"/>
              <w:rPr>
                <w:sz w:val="20"/>
                <w:szCs w:val="20"/>
                <w:color w:val="auto"/>
              </w:rPr>
            </w:pPr>
            <w:r>
              <w:rPr>
                <w:rFonts w:ascii="Arial" w:cs="Arial" w:eastAsia="Arial" w:hAnsi="Arial"/>
                <w:sz w:val="20"/>
                <w:szCs w:val="20"/>
                <w:color w:val="auto"/>
                <w:w w:val="92"/>
              </w:rPr>
              <w:t>Number of</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30"/>
        </w:trPr>
        <w:tc>
          <w:tcPr>
            <w:tcW w:w="1340" w:type="dxa"/>
            <w:vAlign w:val="bottom"/>
          </w:tcPr>
          <w:p>
            <w:pPr>
              <w:jc w:val="center"/>
              <w:ind w:right="281"/>
              <w:spacing w:after="0"/>
              <w:rPr>
                <w:sz w:val="20"/>
                <w:szCs w:val="20"/>
                <w:color w:val="auto"/>
              </w:rPr>
            </w:pPr>
            <w:r>
              <w:rPr>
                <w:rFonts w:ascii="Arial" w:cs="Arial" w:eastAsia="Arial" w:hAnsi="Arial"/>
                <w:sz w:val="20"/>
                <w:szCs w:val="20"/>
                <w:color w:val="auto"/>
                <w:w w:val="81"/>
              </w:rPr>
              <w:t>Shares</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6.</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40" w:type="dxa"/>
            <w:vAlign w:val="bottom"/>
          </w:tcPr>
          <w:p>
            <w:pPr>
              <w:jc w:val="center"/>
              <w:ind w:right="281"/>
              <w:spacing w:after="0"/>
              <w:rPr>
                <w:sz w:val="20"/>
                <w:szCs w:val="20"/>
                <w:color w:val="auto"/>
              </w:rPr>
            </w:pPr>
            <w:r>
              <w:rPr>
                <w:rFonts w:ascii="Arial" w:cs="Arial" w:eastAsia="Arial" w:hAnsi="Arial"/>
                <w:sz w:val="20"/>
                <w:szCs w:val="20"/>
                <w:color w:val="auto"/>
                <w:w w:val="94"/>
              </w:rPr>
              <w:t>Beneficially</w:t>
            </w:r>
          </w:p>
        </w:tc>
        <w:tc>
          <w:tcPr>
            <w:tcW w:w="1160" w:type="dxa"/>
            <w:vAlign w:val="bottom"/>
            <w:vMerge w:val="continue"/>
          </w:tcPr>
          <w:p>
            <w:pPr>
              <w:spacing w:after="0"/>
              <w:rPr>
                <w:sz w:val="19"/>
                <w:szCs w:val="19"/>
                <w:color w:val="auto"/>
              </w:rPr>
            </w:pPr>
          </w:p>
        </w:tc>
        <w:tc>
          <w:tcPr>
            <w:tcW w:w="2700" w:type="dxa"/>
            <w:vAlign w:val="bottom"/>
          </w:tcPr>
          <w:p>
            <w:pPr>
              <w:ind w:left="660"/>
              <w:spacing w:after="0"/>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230"/>
        </w:trPr>
        <w:tc>
          <w:tcPr>
            <w:tcW w:w="1340" w:type="dxa"/>
            <w:vAlign w:val="bottom"/>
          </w:tcPr>
          <w:p>
            <w:pPr>
              <w:jc w:val="center"/>
              <w:ind w:right="281"/>
              <w:spacing w:after="0"/>
              <w:rPr>
                <w:sz w:val="20"/>
                <w:szCs w:val="20"/>
                <w:color w:val="auto"/>
              </w:rPr>
            </w:pPr>
            <w:r>
              <w:rPr>
                <w:rFonts w:ascii="Arial" w:cs="Arial" w:eastAsia="Arial" w:hAnsi="Arial"/>
                <w:sz w:val="20"/>
                <w:szCs w:val="20"/>
                <w:color w:val="auto"/>
                <w:w w:val="90"/>
              </w:rPr>
              <w:t>Owned By</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5,179,329</w:t>
            </w:r>
          </w:p>
        </w:tc>
        <w:tc>
          <w:tcPr>
            <w:tcW w:w="0" w:type="dxa"/>
            <w:vAlign w:val="bottom"/>
          </w:tcPr>
          <w:p>
            <w:pPr>
              <w:spacing w:after="0"/>
              <w:rPr>
                <w:sz w:val="1"/>
                <w:szCs w:val="1"/>
                <w:color w:val="auto"/>
              </w:rPr>
            </w:pPr>
          </w:p>
        </w:tc>
      </w:tr>
      <w:tr>
        <w:trPr>
          <w:trHeight w:val="230"/>
        </w:trPr>
        <w:tc>
          <w:tcPr>
            <w:tcW w:w="1340" w:type="dxa"/>
            <w:vAlign w:val="bottom"/>
          </w:tcPr>
          <w:p>
            <w:pPr>
              <w:jc w:val="center"/>
              <w:ind w:right="281"/>
              <w:spacing w:after="0"/>
              <w:rPr>
                <w:sz w:val="20"/>
                <w:szCs w:val="20"/>
                <w:color w:val="auto"/>
              </w:rPr>
            </w:pPr>
            <w:r>
              <w:rPr>
                <w:rFonts w:ascii="Arial" w:cs="Arial" w:eastAsia="Arial" w:hAnsi="Arial"/>
                <w:sz w:val="20"/>
                <w:szCs w:val="20"/>
                <w:color w:val="auto"/>
                <w:w w:val="87"/>
              </w:rPr>
              <w:t>Each</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7.</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40" w:type="dxa"/>
            <w:vAlign w:val="bottom"/>
          </w:tcPr>
          <w:p>
            <w:pPr>
              <w:jc w:val="center"/>
              <w:ind w:right="281"/>
              <w:spacing w:after="0"/>
              <w:rPr>
                <w:sz w:val="20"/>
                <w:szCs w:val="20"/>
                <w:color w:val="auto"/>
              </w:rPr>
            </w:pPr>
            <w:r>
              <w:rPr>
                <w:rFonts w:ascii="Arial" w:cs="Arial" w:eastAsia="Arial" w:hAnsi="Arial"/>
                <w:sz w:val="20"/>
                <w:szCs w:val="20"/>
                <w:color w:val="auto"/>
                <w:w w:val="92"/>
              </w:rPr>
              <w:t>Reporting</w:t>
            </w:r>
          </w:p>
        </w:tc>
        <w:tc>
          <w:tcPr>
            <w:tcW w:w="1160" w:type="dxa"/>
            <w:vAlign w:val="bottom"/>
            <w:vMerge w:val="continue"/>
          </w:tcPr>
          <w:p>
            <w:pPr>
              <w:spacing w:after="0"/>
              <w:rPr>
                <w:sz w:val="19"/>
                <w:szCs w:val="19"/>
                <w:color w:val="auto"/>
              </w:rPr>
            </w:pPr>
          </w:p>
        </w:tc>
        <w:tc>
          <w:tcPr>
            <w:tcW w:w="2700" w:type="dxa"/>
            <w:vAlign w:val="bottom"/>
          </w:tcPr>
          <w:p>
            <w:pPr>
              <w:ind w:left="660"/>
              <w:spacing w:after="0"/>
              <w:rPr>
                <w:sz w:val="20"/>
                <w:szCs w:val="20"/>
                <w:color w:val="auto"/>
              </w:rPr>
            </w:pPr>
            <w:r>
              <w:rPr>
                <w:rFonts w:ascii="Arial" w:cs="Arial" w:eastAsia="Arial" w:hAnsi="Arial"/>
                <w:sz w:val="20"/>
                <w:szCs w:val="20"/>
                <w:color w:val="auto"/>
                <w:w w:val="98"/>
              </w:rPr>
              <w:t>Sole Dispositive Power</w:t>
            </w:r>
          </w:p>
        </w:tc>
        <w:tc>
          <w:tcPr>
            <w:tcW w:w="0" w:type="dxa"/>
            <w:vAlign w:val="bottom"/>
          </w:tcPr>
          <w:p>
            <w:pPr>
              <w:spacing w:after="0"/>
              <w:rPr>
                <w:sz w:val="1"/>
                <w:szCs w:val="1"/>
                <w:color w:val="auto"/>
              </w:rPr>
            </w:pPr>
          </w:p>
        </w:tc>
      </w:tr>
      <w:tr>
        <w:trPr>
          <w:trHeight w:val="230"/>
        </w:trPr>
        <w:tc>
          <w:tcPr>
            <w:tcW w:w="1340" w:type="dxa"/>
            <w:vAlign w:val="bottom"/>
          </w:tcPr>
          <w:p>
            <w:pPr>
              <w:jc w:val="center"/>
              <w:ind w:right="301"/>
              <w:spacing w:after="0"/>
              <w:rPr>
                <w:sz w:val="20"/>
                <w:szCs w:val="20"/>
                <w:color w:val="auto"/>
              </w:rPr>
            </w:pPr>
            <w:r>
              <w:rPr>
                <w:rFonts w:ascii="Arial" w:cs="Arial" w:eastAsia="Arial" w:hAnsi="Arial"/>
                <w:sz w:val="20"/>
                <w:szCs w:val="20"/>
                <w:color w:val="auto"/>
                <w:w w:val="85"/>
              </w:rPr>
              <w:t>Person</w:t>
            </w:r>
          </w:p>
        </w:tc>
        <w:tc>
          <w:tcPr>
            <w:tcW w:w="1160" w:type="dxa"/>
            <w:vAlign w:val="bottom"/>
          </w:tcPr>
          <w:p>
            <w:pPr>
              <w:spacing w:after="0"/>
              <w:rPr>
                <w:sz w:val="19"/>
                <w:szCs w:val="19"/>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50"/>
        </w:trPr>
        <w:tc>
          <w:tcPr>
            <w:tcW w:w="1340" w:type="dxa"/>
            <w:vAlign w:val="bottom"/>
          </w:tcPr>
          <w:p>
            <w:pPr>
              <w:jc w:val="center"/>
              <w:ind w:right="281"/>
              <w:spacing w:after="0"/>
              <w:rPr>
                <w:sz w:val="20"/>
                <w:szCs w:val="20"/>
                <w:color w:val="auto"/>
              </w:rPr>
            </w:pPr>
            <w:r>
              <w:rPr>
                <w:rFonts w:ascii="Arial" w:cs="Arial" w:eastAsia="Arial" w:hAnsi="Arial"/>
                <w:sz w:val="20"/>
                <w:szCs w:val="20"/>
                <w:color w:val="auto"/>
                <w:w w:val="99"/>
              </w:rPr>
              <w:t>With</w:t>
            </w: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8.</w:t>
            </w:r>
          </w:p>
        </w:tc>
        <w:tc>
          <w:tcPr>
            <w:tcW w:w="2700" w:type="dxa"/>
            <w:vAlign w:val="bottom"/>
            <w:vMerge w:val="restart"/>
          </w:tcPr>
          <w:p>
            <w:pPr>
              <w:ind w:left="660"/>
              <w:spacing w:after="0"/>
              <w:rPr>
                <w:sz w:val="20"/>
                <w:szCs w:val="20"/>
                <w:color w:val="auto"/>
              </w:rPr>
            </w:pPr>
            <w:r>
              <w:rPr>
                <w:rFonts w:ascii="Arial" w:cs="Arial" w:eastAsia="Arial" w:hAnsi="Arial"/>
                <w:sz w:val="20"/>
                <w:szCs w:val="20"/>
                <w:color w:val="auto"/>
                <w:w w:val="88"/>
              </w:rPr>
              <w:t>Shared Dispositive Power</w:t>
            </w:r>
          </w:p>
        </w:tc>
        <w:tc>
          <w:tcPr>
            <w:tcW w:w="0" w:type="dxa"/>
            <w:vAlign w:val="bottom"/>
          </w:tcPr>
          <w:p>
            <w:pPr>
              <w:spacing w:after="0"/>
              <w:rPr>
                <w:sz w:val="1"/>
                <w:szCs w:val="1"/>
                <w:color w:val="auto"/>
              </w:rPr>
            </w:pPr>
          </w:p>
        </w:tc>
      </w:tr>
      <w:tr>
        <w:trPr>
          <w:trHeight w:val="209"/>
        </w:trPr>
        <w:tc>
          <w:tcPr>
            <w:tcW w:w="13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700" w:type="dxa"/>
            <w:vAlign w:val="bottom"/>
          </w:tcPr>
          <w:p>
            <w:pPr>
              <w:ind w:left="1300"/>
              <w:spacing w:after="0"/>
              <w:rPr>
                <w:sz w:val="20"/>
                <w:szCs w:val="20"/>
                <w:color w:val="auto"/>
              </w:rPr>
            </w:pPr>
            <w:r>
              <w:rPr>
                <w:rFonts w:ascii="Arial" w:cs="Arial" w:eastAsia="Arial" w:hAnsi="Arial"/>
                <w:sz w:val="20"/>
                <w:szCs w:val="20"/>
                <w:color w:val="auto"/>
              </w:rPr>
              <w:t>5,179,329</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1040" w:hanging="1032"/>
        <w:spacing w:after="0"/>
        <w:tabs>
          <w:tab w:leader="none" w:pos="1040" w:val="left"/>
        </w:tabs>
        <w:numPr>
          <w:ilvl w:val="0"/>
          <w:numId w:val="83"/>
        </w:numPr>
        <w:rPr>
          <w:rFonts w:ascii="Arial" w:cs="Arial" w:eastAsia="Arial" w:hAnsi="Arial"/>
          <w:sz w:val="20"/>
          <w:szCs w:val="20"/>
          <w:b w:val="1"/>
          <w:bCs w:val="1"/>
          <w:color w:val="auto"/>
        </w:rPr>
      </w:pPr>
      <w:r>
        <w:rPr>
          <w:rFonts w:ascii="Arial" w:cs="Arial" w:eastAsia="Arial" w:hAnsi="Arial"/>
          <w:sz w:val="20"/>
          <w:szCs w:val="20"/>
          <w:color w:val="auto"/>
        </w:rPr>
        <w:t>Aggregate Amount Beneficially Owned by Each Reporting Person</w:t>
      </w:r>
    </w:p>
    <w:p>
      <w:pPr>
        <w:spacing w:after="0" w:line="229"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5,179,329</w:t>
      </w:r>
    </w:p>
    <w:p>
      <w:pPr>
        <w:spacing w:after="0" w:line="229" w:lineRule="exact"/>
        <w:rPr>
          <w:rFonts w:ascii="Arial" w:cs="Arial" w:eastAsia="Arial" w:hAnsi="Arial"/>
          <w:sz w:val="20"/>
          <w:szCs w:val="20"/>
          <w:b w:val="1"/>
          <w:bCs w:val="1"/>
          <w:color w:val="auto"/>
        </w:rPr>
      </w:pPr>
    </w:p>
    <w:p>
      <w:pPr>
        <w:ind w:left="1040" w:hanging="1032"/>
        <w:spacing w:after="0"/>
        <w:tabs>
          <w:tab w:leader="none" w:pos="1040" w:val="left"/>
        </w:tabs>
        <w:numPr>
          <w:ilvl w:val="0"/>
          <w:numId w:val="83"/>
        </w:numPr>
        <w:rPr>
          <w:rFonts w:ascii="Arial" w:cs="Arial" w:eastAsia="Arial" w:hAnsi="Arial"/>
          <w:sz w:val="20"/>
          <w:szCs w:val="20"/>
          <w:b w:val="1"/>
          <w:bCs w:val="1"/>
          <w:color w:val="auto"/>
        </w:rPr>
      </w:pPr>
      <w:r>
        <w:rPr>
          <w:rFonts w:ascii="Arial" w:cs="Arial" w:eastAsia="Arial" w:hAnsi="Arial"/>
          <w:sz w:val="20"/>
          <w:szCs w:val="20"/>
          <w:color w:val="auto"/>
        </w:rPr>
        <w:t>Check Box If the Aggregate Amount in Row (9) Excludes Certain Shares (See Instructions)</w:t>
      </w:r>
    </w:p>
    <w:p>
      <w:pPr>
        <w:spacing w:after="0" w:line="229"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  ]</w:t>
      </w:r>
    </w:p>
    <w:p>
      <w:pPr>
        <w:spacing w:after="0" w:line="229" w:lineRule="exact"/>
        <w:rPr>
          <w:rFonts w:ascii="Arial" w:cs="Arial" w:eastAsia="Arial" w:hAnsi="Arial"/>
          <w:sz w:val="20"/>
          <w:szCs w:val="20"/>
          <w:b w:val="1"/>
          <w:bCs w:val="1"/>
          <w:color w:val="auto"/>
        </w:rPr>
      </w:pPr>
    </w:p>
    <w:p>
      <w:pPr>
        <w:ind w:left="1040" w:hanging="1032"/>
        <w:spacing w:after="0"/>
        <w:tabs>
          <w:tab w:leader="none" w:pos="1040" w:val="left"/>
        </w:tabs>
        <w:numPr>
          <w:ilvl w:val="0"/>
          <w:numId w:val="83"/>
        </w:numPr>
        <w:rPr>
          <w:rFonts w:ascii="Arial" w:cs="Arial" w:eastAsia="Arial" w:hAnsi="Arial"/>
          <w:sz w:val="20"/>
          <w:szCs w:val="20"/>
          <w:b w:val="1"/>
          <w:bCs w:val="1"/>
          <w:color w:val="auto"/>
        </w:rPr>
      </w:pPr>
      <w:r>
        <w:rPr>
          <w:rFonts w:ascii="Arial" w:cs="Arial" w:eastAsia="Arial" w:hAnsi="Arial"/>
          <w:sz w:val="20"/>
          <w:szCs w:val="20"/>
          <w:color w:val="auto"/>
        </w:rPr>
        <w:t>Percent of Class Represented By Amount in Row (9)</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7.4% (1)</w:t>
      </w:r>
    </w:p>
    <w:p>
      <w:pPr>
        <w:spacing w:after="0" w:line="229" w:lineRule="exact"/>
        <w:rPr>
          <w:sz w:val="20"/>
          <w:szCs w:val="20"/>
          <w:color w:val="auto"/>
        </w:rPr>
      </w:pPr>
    </w:p>
    <w:p>
      <w:pPr>
        <w:ind w:left="1040" w:hanging="1032"/>
        <w:spacing w:after="0"/>
        <w:tabs>
          <w:tab w:leader="none" w:pos="1040" w:val="left"/>
        </w:tabs>
        <w:numPr>
          <w:ilvl w:val="0"/>
          <w:numId w:val="84"/>
        </w:numPr>
        <w:rPr>
          <w:rFonts w:ascii="Arial" w:cs="Arial" w:eastAsia="Arial" w:hAnsi="Arial"/>
          <w:sz w:val="20"/>
          <w:szCs w:val="20"/>
          <w:b w:val="1"/>
          <w:bCs w:val="1"/>
          <w:color w:val="auto"/>
        </w:rPr>
      </w:pPr>
      <w:r>
        <w:rPr>
          <w:rFonts w:ascii="Arial" w:cs="Arial" w:eastAsia="Arial" w:hAnsi="Arial"/>
          <w:sz w:val="20"/>
          <w:szCs w:val="20"/>
          <w:color w:val="auto"/>
        </w:rPr>
        <w:t>Type of Reporting Person (See Instructions)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IN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w:t>
      </w:r>
    </w:p>
    <w:p>
      <w:pPr>
        <w:spacing w:after="0" w:line="213" w:lineRule="exact"/>
        <w:rPr>
          <w:sz w:val="20"/>
          <w:szCs w:val="20"/>
          <w:color w:val="auto"/>
        </w:rPr>
      </w:pPr>
    </w:p>
    <w:p>
      <w:pPr>
        <w:ind w:left="460" w:hanging="452"/>
        <w:spacing w:after="0" w:line="260" w:lineRule="auto"/>
        <w:tabs>
          <w:tab w:leader="none" w:pos="460" w:val="left"/>
        </w:tabs>
        <w:numPr>
          <w:ilvl w:val="0"/>
          <w:numId w:val="85"/>
        </w:numPr>
        <w:rPr>
          <w:rFonts w:ascii="Arial" w:cs="Arial" w:eastAsia="Arial" w:hAnsi="Arial"/>
          <w:sz w:val="20"/>
          <w:szCs w:val="20"/>
          <w:color w:val="auto"/>
        </w:rPr>
      </w:pPr>
      <w:r>
        <w:rPr>
          <w:rFonts w:ascii="Arial" w:cs="Arial" w:eastAsia="Arial" w:hAnsi="Arial"/>
          <w:sz w:val="20"/>
          <w:szCs w:val="20"/>
          <w:color w:val="auto"/>
        </w:rPr>
        <w:t>Based on 69,999,954 Ordinary Shares of the Issuer outstanding as of December 13, 2019, as reported in the Issuer's Form 8-K filed with the SEC on December 18,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346" w:right="399" w:bottom="1440" w:gutter="0" w:footer="0" w:header="0"/>
        </w:sectPr>
      </w:pPr>
    </w:p>
    <w:bookmarkStart w:id="22" w:name="page23"/>
    <w:bookmarkEnd w:id="22"/>
    <w:p>
      <w:pPr>
        <w:spacing w:after="0"/>
        <w:tabs>
          <w:tab w:leader="none" w:pos="160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8"/>
          <w:szCs w:val="18"/>
          <w:b w:val="1"/>
          <w:bCs w:val="1"/>
          <w:color w:val="auto"/>
        </w:rPr>
        <w:t>Name of Issuer:</w:t>
      </w:r>
    </w:p>
    <w:p>
      <w:pPr>
        <w:spacing w:after="0" w:line="235"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Weatherford International plc (the "Issuer").</w:t>
      </w:r>
    </w:p>
    <w:p>
      <w:pPr>
        <w:spacing w:after="0" w:line="223" w:lineRule="exact"/>
        <w:rPr>
          <w:sz w:val="20"/>
          <w:szCs w:val="20"/>
          <w:color w:val="auto"/>
        </w:rPr>
      </w:pPr>
    </w:p>
    <w:p>
      <w:pPr>
        <w:spacing w:after="0"/>
        <w:tabs>
          <w:tab w:leader="none" w:pos="1600" w:val="left"/>
        </w:tabs>
        <w:rPr>
          <w:sz w:val="20"/>
          <w:szCs w:val="20"/>
          <w:color w:val="auto"/>
        </w:rPr>
      </w:pPr>
      <w:r>
        <w:rPr>
          <w:rFonts w:ascii="Arial" w:cs="Arial" w:eastAsia="Arial" w:hAnsi="Arial"/>
          <w:sz w:val="20"/>
          <w:szCs w:val="20"/>
          <w:b w:val="1"/>
          <w:bCs w:val="1"/>
          <w:color w:val="auto"/>
        </w:rPr>
        <w:t>Item 1(b).</w:t>
      </w:r>
      <w:r>
        <w:rPr>
          <w:sz w:val="20"/>
          <w:szCs w:val="20"/>
          <w:color w:val="auto"/>
        </w:rPr>
        <w:tab/>
      </w:r>
      <w:r>
        <w:rPr>
          <w:rFonts w:ascii="Arial" w:cs="Arial" w:eastAsia="Arial" w:hAnsi="Arial"/>
          <w:sz w:val="16"/>
          <w:szCs w:val="16"/>
          <w:b w:val="1"/>
          <w:bCs w:val="1"/>
          <w:color w:val="auto"/>
        </w:rPr>
        <w:t>Address of the Issuer's Principal Executive Offices:</w:t>
      </w:r>
    </w:p>
    <w:p>
      <w:pPr>
        <w:spacing w:after="0" w:line="235"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2000 St. James Place</w:t>
      </w:r>
    </w:p>
    <w:p>
      <w:pPr>
        <w:spacing w:after="0" w:line="16"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Houston, Texas 77056</w:t>
      </w:r>
    </w:p>
    <w:p>
      <w:pPr>
        <w:spacing w:after="0" w:line="207" w:lineRule="exact"/>
        <w:rPr>
          <w:sz w:val="20"/>
          <w:szCs w:val="20"/>
          <w:color w:val="auto"/>
        </w:rPr>
      </w:pPr>
    </w:p>
    <w:p>
      <w:pPr>
        <w:spacing w:after="0"/>
        <w:tabs>
          <w:tab w:leader="none" w:pos="1600" w:val="left"/>
        </w:tabs>
        <w:rPr>
          <w:sz w:val="20"/>
          <w:szCs w:val="20"/>
          <w:color w:val="auto"/>
        </w:rPr>
      </w:pPr>
      <w:r>
        <w:rPr>
          <w:rFonts w:ascii="Arial" w:cs="Arial" w:eastAsia="Arial" w:hAnsi="Arial"/>
          <w:sz w:val="20"/>
          <w:szCs w:val="20"/>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35"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This statement is filed on behalf of each of the following persons (collectively, the "Reporting Persons"):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The Värde Fund XII (Master), L.P. (“Fund XII”), The Värde Fund XII G.P., L.P. (“Fund XII GP”), the general partner of Fund XII, The Värde Fund XII UGP, LLC (“Fund XII UGP”), the general partner of Fund XII GP, The Värde Fund XIII, L.P. (“Fund XIII”), The Värde Fund XIII G.P., L.P. (“Fund XIII GP”), the general partner of Fund XIII, The Värde Fund XIII UGP, LLC (“Fund XIII UGP”), the general partner of Fund XIII GP, The Värde Fund VI-A, L.P. (“Fund VI-A”), Värde Investment Partners (Offshore) Master, L.P. (“VIP Offshore”), The Värde Skyway Master Fund, L.P. (“Master Skyway Fund”), The Värde Skyway Fund G.P., L.P. (“Skyway Fund GP”), the general partner of Master Skyway Fund, The Värde Skyway Fund UGP, LLC (“Skyway Fund UGP”), the general partner of Skyway Fund GP, Värde Credit Partners Master, L.P. (“VCPM”), Värde Credit Partners G.P., L.P. (“VCPM GP”), the general partner of VCPM, Värde Credit Partners UGP, LLC (“VCPM UGP”), the general partner of VCPM GP, Värde Investment Partners, L.P. (“VIP”), Värde Investment Partners G.P., L.P. (“VIP GP”), the general partner of Fund VI-A, VIP Offshore and VIP, Värde Investment Partners UGP, LLC (“VIP UGP”), the general partner of VIP GP, Värde Partners, L.P. (“Managing Member”), the managing member of Fund XII UGP, Fund XIII UGP, Skyway Fund UGP, VCPM UGP and VIP UGP, Värde Partners, Inc. (“General Partner”), the general partner of the Managing Member, Mr. George G. Hicks, the co-chief executive officer of the General Partner, and Ilfryn C. Carstairs, the co-chief executive officer of the General Partner.</w:t>
      </w:r>
    </w:p>
    <w:p>
      <w:pPr>
        <w:spacing w:after="0" w:line="184" w:lineRule="exact"/>
        <w:rPr>
          <w:sz w:val="20"/>
          <w:szCs w:val="20"/>
          <w:color w:val="auto"/>
        </w:rPr>
      </w:pPr>
    </w:p>
    <w:p>
      <w:pPr>
        <w:spacing w:after="0"/>
        <w:tabs>
          <w:tab w:leader="none" w:pos="1600" w:val="left"/>
        </w:tabs>
        <w:rPr>
          <w:sz w:val="20"/>
          <w:szCs w:val="20"/>
          <w:color w:val="auto"/>
        </w:rPr>
      </w:pPr>
      <w:r>
        <w:rPr>
          <w:rFonts w:ascii="Arial" w:cs="Arial" w:eastAsia="Arial" w:hAnsi="Arial"/>
          <w:sz w:val="20"/>
          <w:szCs w:val="20"/>
          <w:b w:val="1"/>
          <w:bCs w:val="1"/>
          <w:color w:val="auto"/>
        </w:rPr>
        <w:t>Item 2(b).</w:t>
      </w:r>
      <w:r>
        <w:rPr>
          <w:sz w:val="20"/>
          <w:szCs w:val="20"/>
          <w:color w:val="auto"/>
        </w:rPr>
        <w:tab/>
      </w:r>
      <w:r>
        <w:rPr>
          <w:rFonts w:ascii="Arial" w:cs="Arial" w:eastAsia="Arial" w:hAnsi="Arial"/>
          <w:sz w:val="16"/>
          <w:szCs w:val="16"/>
          <w:b w:val="1"/>
          <w:bCs w:val="1"/>
          <w:color w:val="auto"/>
        </w:rPr>
        <w:t>Address of Principal Business Office or, if None, Residence:</w:t>
      </w:r>
    </w:p>
    <w:p>
      <w:pPr>
        <w:spacing w:after="0" w:line="235" w:lineRule="exact"/>
        <w:rPr>
          <w:sz w:val="20"/>
          <w:szCs w:val="20"/>
          <w:color w:val="auto"/>
        </w:rPr>
      </w:pPr>
    </w:p>
    <w:p>
      <w:pPr>
        <w:ind w:left="1620"/>
        <w:spacing w:after="0" w:line="260" w:lineRule="auto"/>
        <w:rPr>
          <w:sz w:val="20"/>
          <w:szCs w:val="20"/>
          <w:color w:val="auto"/>
        </w:rPr>
      </w:pPr>
      <w:r>
        <w:rPr>
          <w:rFonts w:ascii="Arial" w:cs="Arial" w:eastAsia="Arial" w:hAnsi="Arial"/>
          <w:sz w:val="20"/>
          <w:szCs w:val="20"/>
          <w:color w:val="auto"/>
        </w:rPr>
        <w:t>The address of the principal business office of each of the Reporting Persons other than Mr. Carstairs is 901 Marquette Ave S., Suite 3300 Minneapolis, MN 55402.</w:t>
      </w:r>
    </w:p>
    <w:p>
      <w:pPr>
        <w:spacing w:after="0" w:line="190"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The address of the principal business officer of Mr. Carstairs is 6 Battery Road #21-01, Singapore 049909.</w:t>
      </w:r>
    </w:p>
    <w:p>
      <w:pPr>
        <w:spacing w:after="0" w:line="223" w:lineRule="exact"/>
        <w:rPr>
          <w:sz w:val="20"/>
          <w:szCs w:val="20"/>
          <w:color w:val="auto"/>
        </w:rPr>
      </w:pPr>
    </w:p>
    <w:p>
      <w:pPr>
        <w:spacing w:after="0"/>
        <w:tabs>
          <w:tab w:leader="none" w:pos="1600" w:val="left"/>
        </w:tabs>
        <w:rPr>
          <w:sz w:val="20"/>
          <w:szCs w:val="20"/>
          <w:color w:val="auto"/>
        </w:rPr>
      </w:pPr>
      <w:r>
        <w:rPr>
          <w:rFonts w:ascii="Arial" w:cs="Arial" w:eastAsia="Arial" w:hAnsi="Arial"/>
          <w:sz w:val="20"/>
          <w:szCs w:val="20"/>
          <w:b w:val="1"/>
          <w:bCs w:val="1"/>
          <w:color w:val="auto"/>
        </w:rPr>
        <w:t>Item 2(c).</w:t>
      </w:r>
      <w:r>
        <w:rPr>
          <w:sz w:val="20"/>
          <w:szCs w:val="20"/>
          <w:color w:val="auto"/>
        </w:rPr>
        <w:tab/>
      </w:r>
      <w:r>
        <w:rPr>
          <w:rFonts w:ascii="Arial" w:cs="Arial" w:eastAsia="Arial" w:hAnsi="Arial"/>
          <w:sz w:val="18"/>
          <w:szCs w:val="18"/>
          <w:b w:val="1"/>
          <w:bCs w:val="1"/>
          <w:color w:val="auto"/>
        </w:rPr>
        <w:t>Citizenship:</w:t>
      </w:r>
    </w:p>
    <w:p>
      <w:pPr>
        <w:spacing w:after="0" w:line="235" w:lineRule="exact"/>
        <w:rPr>
          <w:sz w:val="20"/>
          <w:szCs w:val="20"/>
          <w:color w:val="auto"/>
        </w:rPr>
      </w:pPr>
    </w:p>
    <w:p>
      <w:pPr>
        <w:ind w:left="2840" w:hanging="273"/>
        <w:spacing w:after="0"/>
        <w:tabs>
          <w:tab w:leader="none" w:pos="2840" w:val="left"/>
        </w:tabs>
        <w:numPr>
          <w:ilvl w:val="0"/>
          <w:numId w:val="86"/>
        </w:numPr>
        <w:rPr>
          <w:rFonts w:ascii="Arial" w:cs="Arial" w:eastAsia="Arial" w:hAnsi="Arial"/>
          <w:sz w:val="20"/>
          <w:szCs w:val="20"/>
          <w:color w:val="auto"/>
        </w:rPr>
      </w:pPr>
      <w:r>
        <w:rPr>
          <w:rFonts w:ascii="Arial" w:cs="Arial" w:eastAsia="Arial" w:hAnsi="Arial"/>
          <w:sz w:val="20"/>
          <w:szCs w:val="20"/>
          <w:color w:val="auto"/>
        </w:rPr>
        <w:t>Fund XII is a Delaware limited partnership;</w:t>
      </w:r>
    </w:p>
    <w:p>
      <w:pPr>
        <w:spacing w:after="0" w:line="229" w:lineRule="exact"/>
        <w:rPr>
          <w:rFonts w:ascii="Arial" w:cs="Arial" w:eastAsia="Arial" w:hAnsi="Arial"/>
          <w:sz w:val="20"/>
          <w:szCs w:val="20"/>
          <w:color w:val="auto"/>
        </w:rPr>
      </w:pPr>
    </w:p>
    <w:p>
      <w:pPr>
        <w:ind w:left="2840" w:hanging="273"/>
        <w:spacing w:after="0"/>
        <w:tabs>
          <w:tab w:leader="none" w:pos="2840" w:val="left"/>
        </w:tabs>
        <w:numPr>
          <w:ilvl w:val="0"/>
          <w:numId w:val="86"/>
        </w:numPr>
        <w:rPr>
          <w:rFonts w:ascii="Arial" w:cs="Arial" w:eastAsia="Arial" w:hAnsi="Arial"/>
          <w:sz w:val="20"/>
          <w:szCs w:val="20"/>
          <w:color w:val="auto"/>
        </w:rPr>
      </w:pPr>
      <w:r>
        <w:rPr>
          <w:rFonts w:ascii="Arial" w:cs="Arial" w:eastAsia="Arial" w:hAnsi="Arial"/>
          <w:sz w:val="20"/>
          <w:szCs w:val="20"/>
          <w:color w:val="auto"/>
        </w:rPr>
        <w:t>Fund XII GP is a Delaware limited partnership;</w:t>
      </w:r>
    </w:p>
    <w:p>
      <w:pPr>
        <w:spacing w:after="0" w:line="229" w:lineRule="exact"/>
        <w:rPr>
          <w:rFonts w:ascii="Arial" w:cs="Arial" w:eastAsia="Arial" w:hAnsi="Arial"/>
          <w:sz w:val="20"/>
          <w:szCs w:val="20"/>
          <w:color w:val="auto"/>
        </w:rPr>
      </w:pPr>
    </w:p>
    <w:p>
      <w:pPr>
        <w:ind w:left="2840" w:hanging="273"/>
        <w:spacing w:after="0"/>
        <w:tabs>
          <w:tab w:leader="none" w:pos="2840" w:val="left"/>
        </w:tabs>
        <w:numPr>
          <w:ilvl w:val="0"/>
          <w:numId w:val="86"/>
        </w:numPr>
        <w:rPr>
          <w:rFonts w:ascii="Arial" w:cs="Arial" w:eastAsia="Arial" w:hAnsi="Arial"/>
          <w:sz w:val="20"/>
          <w:szCs w:val="20"/>
          <w:color w:val="auto"/>
        </w:rPr>
      </w:pPr>
      <w:r>
        <w:rPr>
          <w:rFonts w:ascii="Arial" w:cs="Arial" w:eastAsia="Arial" w:hAnsi="Arial"/>
          <w:sz w:val="20"/>
          <w:szCs w:val="20"/>
          <w:color w:val="auto"/>
        </w:rPr>
        <w:t>Fund XII UGP is a Delaware limited partnership;</w:t>
      </w:r>
    </w:p>
    <w:p>
      <w:pPr>
        <w:spacing w:after="0" w:line="229" w:lineRule="exact"/>
        <w:rPr>
          <w:rFonts w:ascii="Arial" w:cs="Arial" w:eastAsia="Arial" w:hAnsi="Arial"/>
          <w:sz w:val="20"/>
          <w:szCs w:val="20"/>
          <w:color w:val="auto"/>
        </w:rPr>
      </w:pPr>
    </w:p>
    <w:p>
      <w:pPr>
        <w:ind w:left="2840" w:hanging="273"/>
        <w:spacing w:after="0"/>
        <w:tabs>
          <w:tab w:leader="none" w:pos="2840" w:val="left"/>
        </w:tabs>
        <w:numPr>
          <w:ilvl w:val="0"/>
          <w:numId w:val="86"/>
        </w:numPr>
        <w:rPr>
          <w:rFonts w:ascii="Arial" w:cs="Arial" w:eastAsia="Arial" w:hAnsi="Arial"/>
          <w:sz w:val="20"/>
          <w:szCs w:val="20"/>
          <w:color w:val="auto"/>
        </w:rPr>
      </w:pPr>
      <w:r>
        <w:rPr>
          <w:rFonts w:ascii="Arial" w:cs="Arial" w:eastAsia="Arial" w:hAnsi="Arial"/>
          <w:sz w:val="20"/>
          <w:szCs w:val="20"/>
          <w:color w:val="auto"/>
        </w:rPr>
        <w:t>Fund XIII is a Cayman Islands exempted limited partnership;</w:t>
      </w:r>
    </w:p>
    <w:p>
      <w:pPr>
        <w:spacing w:after="0" w:line="229" w:lineRule="exact"/>
        <w:rPr>
          <w:rFonts w:ascii="Arial" w:cs="Arial" w:eastAsia="Arial" w:hAnsi="Arial"/>
          <w:sz w:val="20"/>
          <w:szCs w:val="20"/>
          <w:color w:val="auto"/>
        </w:rPr>
      </w:pPr>
    </w:p>
    <w:p>
      <w:pPr>
        <w:ind w:left="2840" w:hanging="273"/>
        <w:spacing w:after="0"/>
        <w:tabs>
          <w:tab w:leader="none" w:pos="2840" w:val="left"/>
        </w:tabs>
        <w:numPr>
          <w:ilvl w:val="0"/>
          <w:numId w:val="86"/>
        </w:numPr>
        <w:rPr>
          <w:rFonts w:ascii="Arial" w:cs="Arial" w:eastAsia="Arial" w:hAnsi="Arial"/>
          <w:sz w:val="20"/>
          <w:szCs w:val="20"/>
          <w:color w:val="auto"/>
        </w:rPr>
      </w:pPr>
      <w:r>
        <w:rPr>
          <w:rFonts w:ascii="Arial" w:cs="Arial" w:eastAsia="Arial" w:hAnsi="Arial"/>
          <w:sz w:val="20"/>
          <w:szCs w:val="20"/>
          <w:color w:val="auto"/>
        </w:rPr>
        <w:t>Fund XIII GP is Cayman Islands exempted limited partnership;</w:t>
      </w:r>
    </w:p>
    <w:p>
      <w:pPr>
        <w:spacing w:after="0" w:line="229" w:lineRule="exact"/>
        <w:rPr>
          <w:rFonts w:ascii="Arial" w:cs="Arial" w:eastAsia="Arial" w:hAnsi="Arial"/>
          <w:sz w:val="20"/>
          <w:szCs w:val="20"/>
          <w:color w:val="auto"/>
        </w:rPr>
      </w:pPr>
    </w:p>
    <w:p>
      <w:pPr>
        <w:ind w:left="2840" w:hanging="273"/>
        <w:spacing w:after="0"/>
        <w:tabs>
          <w:tab w:leader="none" w:pos="2840" w:val="left"/>
        </w:tabs>
        <w:numPr>
          <w:ilvl w:val="0"/>
          <w:numId w:val="86"/>
        </w:numPr>
        <w:rPr>
          <w:rFonts w:ascii="Arial" w:cs="Arial" w:eastAsia="Arial" w:hAnsi="Arial"/>
          <w:sz w:val="20"/>
          <w:szCs w:val="20"/>
          <w:color w:val="auto"/>
        </w:rPr>
      </w:pPr>
      <w:r>
        <w:rPr>
          <w:rFonts w:ascii="Arial" w:cs="Arial" w:eastAsia="Arial" w:hAnsi="Arial"/>
          <w:sz w:val="20"/>
          <w:szCs w:val="20"/>
          <w:color w:val="auto"/>
        </w:rPr>
        <w:t>Fund XIII UGP is a Cayman Islands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46" w:right="279" w:bottom="1440" w:gutter="0" w:footer="0" w:header="0"/>
        </w:sectPr>
      </w:pPr>
    </w:p>
    <w:bookmarkStart w:id="23" w:name="page24"/>
    <w:bookmarkEnd w:id="23"/>
    <w:p>
      <w:pPr>
        <w:ind w:left="2840" w:hanging="273"/>
        <w:spacing w:after="0"/>
        <w:tabs>
          <w:tab w:leader="none" w:pos="2840" w:val="left"/>
        </w:tabs>
        <w:numPr>
          <w:ilvl w:val="0"/>
          <w:numId w:val="87"/>
        </w:numPr>
        <w:rPr>
          <w:rFonts w:ascii="Arial" w:cs="Arial" w:eastAsia="Arial" w:hAnsi="Arial"/>
          <w:sz w:val="20"/>
          <w:szCs w:val="20"/>
          <w:color w:val="auto"/>
        </w:rPr>
      </w:pPr>
      <w:r>
        <w:rPr>
          <w:rFonts w:ascii="Arial" w:cs="Arial" w:eastAsia="Arial" w:hAnsi="Arial"/>
          <w:sz w:val="20"/>
          <w:szCs w:val="20"/>
          <w:color w:val="auto"/>
        </w:rPr>
        <w:t>Fund VI-A is a Delaware limited partnership;</w:t>
      </w:r>
    </w:p>
    <w:p>
      <w:pPr>
        <w:spacing w:after="0" w:line="229" w:lineRule="exact"/>
        <w:rPr>
          <w:rFonts w:ascii="Arial" w:cs="Arial" w:eastAsia="Arial" w:hAnsi="Arial"/>
          <w:sz w:val="20"/>
          <w:szCs w:val="20"/>
          <w:color w:val="auto"/>
        </w:rPr>
      </w:pPr>
    </w:p>
    <w:p>
      <w:pPr>
        <w:ind w:left="2840" w:hanging="273"/>
        <w:spacing w:after="0"/>
        <w:tabs>
          <w:tab w:leader="none" w:pos="2840" w:val="left"/>
        </w:tabs>
        <w:numPr>
          <w:ilvl w:val="0"/>
          <w:numId w:val="87"/>
        </w:numPr>
        <w:rPr>
          <w:rFonts w:ascii="Arial" w:cs="Arial" w:eastAsia="Arial" w:hAnsi="Arial"/>
          <w:sz w:val="20"/>
          <w:szCs w:val="20"/>
          <w:color w:val="auto"/>
        </w:rPr>
      </w:pPr>
      <w:r>
        <w:rPr>
          <w:rFonts w:ascii="Arial" w:cs="Arial" w:eastAsia="Arial" w:hAnsi="Arial"/>
          <w:sz w:val="20"/>
          <w:szCs w:val="20"/>
          <w:color w:val="auto"/>
        </w:rPr>
        <w:t>VIP Offshore is a Cayman Islands exempted limited partnership;</w:t>
      </w:r>
    </w:p>
    <w:p>
      <w:pPr>
        <w:spacing w:after="0" w:line="229" w:lineRule="exact"/>
        <w:rPr>
          <w:rFonts w:ascii="Arial" w:cs="Arial" w:eastAsia="Arial" w:hAnsi="Arial"/>
          <w:sz w:val="20"/>
          <w:szCs w:val="20"/>
          <w:color w:val="auto"/>
        </w:rPr>
      </w:pPr>
    </w:p>
    <w:p>
      <w:pPr>
        <w:ind w:left="2840" w:hanging="273"/>
        <w:spacing w:after="0"/>
        <w:tabs>
          <w:tab w:leader="none" w:pos="2840" w:val="left"/>
        </w:tabs>
        <w:numPr>
          <w:ilvl w:val="0"/>
          <w:numId w:val="87"/>
        </w:numPr>
        <w:rPr>
          <w:rFonts w:ascii="Arial" w:cs="Arial" w:eastAsia="Arial" w:hAnsi="Arial"/>
          <w:sz w:val="20"/>
          <w:szCs w:val="20"/>
          <w:color w:val="auto"/>
        </w:rPr>
      </w:pPr>
      <w:r>
        <w:rPr>
          <w:rFonts w:ascii="Arial" w:cs="Arial" w:eastAsia="Arial" w:hAnsi="Arial"/>
          <w:sz w:val="20"/>
          <w:szCs w:val="20"/>
          <w:color w:val="auto"/>
        </w:rPr>
        <w:t>Master Skyway Fund is a Cayman Islands exempted limited partnership;</w:t>
      </w:r>
    </w:p>
    <w:p>
      <w:pPr>
        <w:spacing w:after="0" w:line="229" w:lineRule="exact"/>
        <w:rPr>
          <w:rFonts w:ascii="Arial" w:cs="Arial" w:eastAsia="Arial" w:hAnsi="Arial"/>
          <w:sz w:val="20"/>
          <w:szCs w:val="20"/>
          <w:color w:val="auto"/>
        </w:rPr>
      </w:pPr>
    </w:p>
    <w:p>
      <w:pPr>
        <w:ind w:left="2840" w:hanging="372"/>
        <w:spacing w:after="0"/>
        <w:tabs>
          <w:tab w:leader="none" w:pos="2840" w:val="left"/>
        </w:tabs>
        <w:numPr>
          <w:ilvl w:val="0"/>
          <w:numId w:val="87"/>
        </w:numPr>
        <w:rPr>
          <w:rFonts w:ascii="Arial" w:cs="Arial" w:eastAsia="Arial" w:hAnsi="Arial"/>
          <w:sz w:val="20"/>
          <w:szCs w:val="20"/>
          <w:color w:val="auto"/>
        </w:rPr>
      </w:pPr>
      <w:r>
        <w:rPr>
          <w:rFonts w:ascii="Arial" w:cs="Arial" w:eastAsia="Arial" w:hAnsi="Arial"/>
          <w:sz w:val="20"/>
          <w:szCs w:val="20"/>
          <w:color w:val="auto"/>
        </w:rPr>
        <w:t>Skyway Fund GP is a Delaware limited partnership;</w:t>
      </w:r>
    </w:p>
    <w:p>
      <w:pPr>
        <w:spacing w:after="0" w:line="229" w:lineRule="exact"/>
        <w:rPr>
          <w:rFonts w:ascii="Arial" w:cs="Arial" w:eastAsia="Arial" w:hAnsi="Arial"/>
          <w:sz w:val="20"/>
          <w:szCs w:val="20"/>
          <w:color w:val="auto"/>
        </w:rPr>
      </w:pPr>
    </w:p>
    <w:p>
      <w:pPr>
        <w:ind w:left="2840" w:hanging="365"/>
        <w:spacing w:after="0"/>
        <w:tabs>
          <w:tab w:leader="none" w:pos="2840" w:val="left"/>
        </w:tabs>
        <w:numPr>
          <w:ilvl w:val="0"/>
          <w:numId w:val="87"/>
        </w:numPr>
        <w:rPr>
          <w:rFonts w:ascii="Arial" w:cs="Arial" w:eastAsia="Arial" w:hAnsi="Arial"/>
          <w:sz w:val="20"/>
          <w:szCs w:val="20"/>
          <w:color w:val="auto"/>
        </w:rPr>
      </w:pPr>
      <w:r>
        <w:rPr>
          <w:rFonts w:ascii="Arial" w:cs="Arial" w:eastAsia="Arial" w:hAnsi="Arial"/>
          <w:sz w:val="20"/>
          <w:szCs w:val="20"/>
          <w:color w:val="auto"/>
        </w:rPr>
        <w:t>Skyway Fund UGP is a Delaware limited liability company;</w:t>
      </w:r>
    </w:p>
    <w:p>
      <w:pPr>
        <w:spacing w:after="0" w:line="229" w:lineRule="exact"/>
        <w:rPr>
          <w:rFonts w:ascii="Arial" w:cs="Arial" w:eastAsia="Arial" w:hAnsi="Arial"/>
          <w:sz w:val="20"/>
          <w:szCs w:val="20"/>
          <w:color w:val="auto"/>
        </w:rPr>
      </w:pPr>
    </w:p>
    <w:p>
      <w:pPr>
        <w:ind w:left="2840" w:hanging="372"/>
        <w:spacing w:after="0"/>
        <w:tabs>
          <w:tab w:leader="none" w:pos="2840" w:val="left"/>
        </w:tabs>
        <w:numPr>
          <w:ilvl w:val="0"/>
          <w:numId w:val="87"/>
        </w:numPr>
        <w:rPr>
          <w:rFonts w:ascii="Arial" w:cs="Arial" w:eastAsia="Arial" w:hAnsi="Arial"/>
          <w:sz w:val="20"/>
          <w:szCs w:val="20"/>
          <w:color w:val="auto"/>
        </w:rPr>
      </w:pPr>
      <w:r>
        <w:rPr>
          <w:rFonts w:ascii="Arial" w:cs="Arial" w:eastAsia="Arial" w:hAnsi="Arial"/>
          <w:sz w:val="20"/>
          <w:szCs w:val="20"/>
          <w:color w:val="auto"/>
        </w:rPr>
        <w:t>VCPM is a Cayman Islands exempted limited partnership;</w:t>
      </w:r>
    </w:p>
    <w:p>
      <w:pPr>
        <w:spacing w:after="0" w:line="229" w:lineRule="exact"/>
        <w:rPr>
          <w:rFonts w:ascii="Arial" w:cs="Arial" w:eastAsia="Arial" w:hAnsi="Arial"/>
          <w:sz w:val="20"/>
          <w:szCs w:val="20"/>
          <w:color w:val="auto"/>
        </w:rPr>
      </w:pPr>
    </w:p>
    <w:p>
      <w:pPr>
        <w:ind w:left="2840" w:hanging="372"/>
        <w:spacing w:after="0"/>
        <w:tabs>
          <w:tab w:leader="none" w:pos="2840" w:val="left"/>
        </w:tabs>
        <w:numPr>
          <w:ilvl w:val="0"/>
          <w:numId w:val="87"/>
        </w:numPr>
        <w:rPr>
          <w:rFonts w:ascii="Arial" w:cs="Arial" w:eastAsia="Arial" w:hAnsi="Arial"/>
          <w:sz w:val="20"/>
          <w:szCs w:val="20"/>
          <w:color w:val="auto"/>
        </w:rPr>
      </w:pPr>
      <w:r>
        <w:rPr>
          <w:rFonts w:ascii="Arial" w:cs="Arial" w:eastAsia="Arial" w:hAnsi="Arial"/>
          <w:sz w:val="20"/>
          <w:szCs w:val="20"/>
          <w:color w:val="auto"/>
        </w:rPr>
        <w:t>VCPM GP is a Delaware limited partnership;</w:t>
      </w:r>
    </w:p>
    <w:p>
      <w:pPr>
        <w:spacing w:after="0" w:line="229" w:lineRule="exact"/>
        <w:rPr>
          <w:rFonts w:ascii="Arial" w:cs="Arial" w:eastAsia="Arial" w:hAnsi="Arial"/>
          <w:sz w:val="20"/>
          <w:szCs w:val="20"/>
          <w:color w:val="auto"/>
        </w:rPr>
      </w:pPr>
    </w:p>
    <w:p>
      <w:pPr>
        <w:ind w:left="2840" w:hanging="372"/>
        <w:spacing w:after="0"/>
        <w:tabs>
          <w:tab w:leader="none" w:pos="2840" w:val="left"/>
        </w:tabs>
        <w:numPr>
          <w:ilvl w:val="0"/>
          <w:numId w:val="87"/>
        </w:numPr>
        <w:rPr>
          <w:rFonts w:ascii="Arial" w:cs="Arial" w:eastAsia="Arial" w:hAnsi="Arial"/>
          <w:sz w:val="20"/>
          <w:szCs w:val="20"/>
          <w:color w:val="auto"/>
        </w:rPr>
      </w:pPr>
      <w:r>
        <w:rPr>
          <w:rFonts w:ascii="Arial" w:cs="Arial" w:eastAsia="Arial" w:hAnsi="Arial"/>
          <w:sz w:val="20"/>
          <w:szCs w:val="20"/>
          <w:color w:val="auto"/>
        </w:rPr>
        <w:t>VCPM UGP is a Delaware limited liability company;</w:t>
      </w:r>
    </w:p>
    <w:p>
      <w:pPr>
        <w:spacing w:after="0" w:line="229" w:lineRule="exact"/>
        <w:rPr>
          <w:rFonts w:ascii="Arial" w:cs="Arial" w:eastAsia="Arial" w:hAnsi="Arial"/>
          <w:sz w:val="20"/>
          <w:szCs w:val="20"/>
          <w:color w:val="auto"/>
        </w:rPr>
      </w:pPr>
    </w:p>
    <w:p>
      <w:pPr>
        <w:ind w:left="2840" w:hanging="372"/>
        <w:spacing w:after="0"/>
        <w:tabs>
          <w:tab w:leader="none" w:pos="2840" w:val="left"/>
        </w:tabs>
        <w:numPr>
          <w:ilvl w:val="0"/>
          <w:numId w:val="87"/>
        </w:numPr>
        <w:rPr>
          <w:rFonts w:ascii="Arial" w:cs="Arial" w:eastAsia="Arial" w:hAnsi="Arial"/>
          <w:sz w:val="20"/>
          <w:szCs w:val="20"/>
          <w:color w:val="auto"/>
        </w:rPr>
      </w:pPr>
      <w:r>
        <w:rPr>
          <w:rFonts w:ascii="Arial" w:cs="Arial" w:eastAsia="Arial" w:hAnsi="Arial"/>
          <w:sz w:val="20"/>
          <w:szCs w:val="20"/>
          <w:color w:val="auto"/>
        </w:rPr>
        <w:t>VIP is a Delaware limited partnership;</w:t>
      </w:r>
    </w:p>
    <w:p>
      <w:pPr>
        <w:spacing w:after="0" w:line="229" w:lineRule="exact"/>
        <w:rPr>
          <w:rFonts w:ascii="Arial" w:cs="Arial" w:eastAsia="Arial" w:hAnsi="Arial"/>
          <w:sz w:val="20"/>
          <w:szCs w:val="20"/>
          <w:color w:val="auto"/>
        </w:rPr>
      </w:pPr>
    </w:p>
    <w:p>
      <w:pPr>
        <w:ind w:left="2840" w:hanging="372"/>
        <w:spacing w:after="0"/>
        <w:tabs>
          <w:tab w:leader="none" w:pos="2840" w:val="left"/>
        </w:tabs>
        <w:numPr>
          <w:ilvl w:val="0"/>
          <w:numId w:val="87"/>
        </w:numPr>
        <w:rPr>
          <w:rFonts w:ascii="Arial" w:cs="Arial" w:eastAsia="Arial" w:hAnsi="Arial"/>
          <w:sz w:val="20"/>
          <w:szCs w:val="20"/>
          <w:color w:val="auto"/>
        </w:rPr>
      </w:pPr>
      <w:r>
        <w:rPr>
          <w:rFonts w:ascii="Arial" w:cs="Arial" w:eastAsia="Arial" w:hAnsi="Arial"/>
          <w:sz w:val="20"/>
          <w:szCs w:val="20"/>
          <w:color w:val="auto"/>
        </w:rPr>
        <w:t>VIP GP is a Delaware limited partnership;</w:t>
      </w:r>
    </w:p>
    <w:p>
      <w:pPr>
        <w:spacing w:after="0" w:line="229" w:lineRule="exact"/>
        <w:rPr>
          <w:rFonts w:ascii="Arial" w:cs="Arial" w:eastAsia="Arial" w:hAnsi="Arial"/>
          <w:sz w:val="20"/>
          <w:szCs w:val="20"/>
          <w:color w:val="auto"/>
        </w:rPr>
      </w:pPr>
    </w:p>
    <w:p>
      <w:pPr>
        <w:ind w:left="2840" w:hanging="372"/>
        <w:spacing w:after="0"/>
        <w:tabs>
          <w:tab w:leader="none" w:pos="2840" w:val="left"/>
        </w:tabs>
        <w:numPr>
          <w:ilvl w:val="0"/>
          <w:numId w:val="87"/>
        </w:numPr>
        <w:rPr>
          <w:rFonts w:ascii="Arial" w:cs="Arial" w:eastAsia="Arial" w:hAnsi="Arial"/>
          <w:sz w:val="20"/>
          <w:szCs w:val="20"/>
          <w:color w:val="auto"/>
        </w:rPr>
      </w:pPr>
      <w:r>
        <w:rPr>
          <w:rFonts w:ascii="Arial" w:cs="Arial" w:eastAsia="Arial" w:hAnsi="Arial"/>
          <w:sz w:val="20"/>
          <w:szCs w:val="20"/>
          <w:color w:val="auto"/>
        </w:rPr>
        <w:t>VIP UGP is a Delaware limited liability company;</w:t>
      </w:r>
    </w:p>
    <w:p>
      <w:pPr>
        <w:spacing w:after="0" w:line="229" w:lineRule="exact"/>
        <w:rPr>
          <w:rFonts w:ascii="Arial" w:cs="Arial" w:eastAsia="Arial" w:hAnsi="Arial"/>
          <w:sz w:val="20"/>
          <w:szCs w:val="20"/>
          <w:color w:val="auto"/>
        </w:rPr>
      </w:pPr>
    </w:p>
    <w:p>
      <w:pPr>
        <w:ind w:left="2840" w:hanging="372"/>
        <w:spacing w:after="0"/>
        <w:tabs>
          <w:tab w:leader="none" w:pos="2840" w:val="left"/>
        </w:tabs>
        <w:numPr>
          <w:ilvl w:val="0"/>
          <w:numId w:val="87"/>
        </w:numPr>
        <w:rPr>
          <w:rFonts w:ascii="Arial" w:cs="Arial" w:eastAsia="Arial" w:hAnsi="Arial"/>
          <w:sz w:val="20"/>
          <w:szCs w:val="20"/>
          <w:color w:val="auto"/>
        </w:rPr>
      </w:pPr>
      <w:r>
        <w:rPr>
          <w:rFonts w:ascii="Arial" w:cs="Arial" w:eastAsia="Arial" w:hAnsi="Arial"/>
          <w:sz w:val="20"/>
          <w:szCs w:val="20"/>
          <w:color w:val="auto"/>
        </w:rPr>
        <w:t>Managing Member is a Delaware limited partnership;</w:t>
      </w:r>
    </w:p>
    <w:p>
      <w:pPr>
        <w:spacing w:after="0" w:line="229" w:lineRule="exact"/>
        <w:rPr>
          <w:rFonts w:ascii="Arial" w:cs="Arial" w:eastAsia="Arial" w:hAnsi="Arial"/>
          <w:sz w:val="20"/>
          <w:szCs w:val="20"/>
          <w:color w:val="auto"/>
        </w:rPr>
      </w:pPr>
    </w:p>
    <w:p>
      <w:pPr>
        <w:ind w:left="2840" w:hanging="372"/>
        <w:spacing w:after="0"/>
        <w:tabs>
          <w:tab w:leader="none" w:pos="2840" w:val="left"/>
        </w:tabs>
        <w:numPr>
          <w:ilvl w:val="0"/>
          <w:numId w:val="87"/>
        </w:numPr>
        <w:rPr>
          <w:rFonts w:ascii="Arial" w:cs="Arial" w:eastAsia="Arial" w:hAnsi="Arial"/>
          <w:sz w:val="20"/>
          <w:szCs w:val="20"/>
          <w:color w:val="auto"/>
        </w:rPr>
      </w:pPr>
      <w:r>
        <w:rPr>
          <w:rFonts w:ascii="Arial" w:cs="Arial" w:eastAsia="Arial" w:hAnsi="Arial"/>
          <w:sz w:val="20"/>
          <w:szCs w:val="20"/>
          <w:color w:val="auto"/>
        </w:rPr>
        <w:t>General Partner is a Delaware corporation;</w:t>
      </w:r>
    </w:p>
    <w:p>
      <w:pPr>
        <w:spacing w:after="0" w:line="229" w:lineRule="exact"/>
        <w:rPr>
          <w:rFonts w:ascii="Arial" w:cs="Arial" w:eastAsia="Arial" w:hAnsi="Arial"/>
          <w:sz w:val="20"/>
          <w:szCs w:val="20"/>
          <w:color w:val="auto"/>
        </w:rPr>
      </w:pPr>
    </w:p>
    <w:p>
      <w:pPr>
        <w:ind w:left="2840" w:hanging="372"/>
        <w:spacing w:after="0"/>
        <w:tabs>
          <w:tab w:leader="none" w:pos="2840" w:val="left"/>
        </w:tabs>
        <w:numPr>
          <w:ilvl w:val="0"/>
          <w:numId w:val="87"/>
        </w:numPr>
        <w:rPr>
          <w:rFonts w:ascii="Arial" w:cs="Arial" w:eastAsia="Arial" w:hAnsi="Arial"/>
          <w:sz w:val="20"/>
          <w:szCs w:val="20"/>
          <w:color w:val="auto"/>
        </w:rPr>
      </w:pPr>
      <w:r>
        <w:rPr>
          <w:rFonts w:ascii="Arial" w:cs="Arial" w:eastAsia="Arial" w:hAnsi="Arial"/>
          <w:sz w:val="20"/>
          <w:szCs w:val="20"/>
          <w:color w:val="auto"/>
        </w:rPr>
        <w:t>Mr. George G. Hicks is a citizen of the United States; and</w:t>
      </w:r>
    </w:p>
    <w:p>
      <w:pPr>
        <w:spacing w:after="0" w:line="229" w:lineRule="exact"/>
        <w:rPr>
          <w:rFonts w:ascii="Arial" w:cs="Arial" w:eastAsia="Arial" w:hAnsi="Arial"/>
          <w:sz w:val="20"/>
          <w:szCs w:val="20"/>
          <w:color w:val="auto"/>
        </w:rPr>
      </w:pPr>
    </w:p>
    <w:p>
      <w:pPr>
        <w:ind w:left="2840" w:hanging="372"/>
        <w:spacing w:after="0"/>
        <w:tabs>
          <w:tab w:leader="none" w:pos="2840" w:val="left"/>
        </w:tabs>
        <w:numPr>
          <w:ilvl w:val="0"/>
          <w:numId w:val="87"/>
        </w:numPr>
        <w:rPr>
          <w:rFonts w:ascii="Arial" w:cs="Arial" w:eastAsia="Arial" w:hAnsi="Arial"/>
          <w:sz w:val="20"/>
          <w:szCs w:val="20"/>
          <w:color w:val="auto"/>
        </w:rPr>
      </w:pPr>
      <w:r>
        <w:rPr>
          <w:rFonts w:ascii="Arial" w:cs="Arial" w:eastAsia="Arial" w:hAnsi="Arial"/>
          <w:sz w:val="20"/>
          <w:szCs w:val="20"/>
          <w:color w:val="auto"/>
        </w:rPr>
        <w:t>Mr. Carstairs is a citizen of Australia and the United Kingdom.</w:t>
      </w:r>
    </w:p>
    <w:p>
      <w:pPr>
        <w:spacing w:after="0" w:line="223" w:lineRule="exact"/>
        <w:rPr>
          <w:sz w:val="20"/>
          <w:szCs w:val="20"/>
          <w:color w:val="auto"/>
        </w:rPr>
      </w:pPr>
    </w:p>
    <w:p>
      <w:pPr>
        <w:spacing w:after="0"/>
        <w:tabs>
          <w:tab w:leader="none" w:pos="1600" w:val="left"/>
        </w:tabs>
        <w:rPr>
          <w:sz w:val="20"/>
          <w:szCs w:val="20"/>
          <w:color w:val="auto"/>
        </w:rPr>
      </w:pPr>
      <w:r>
        <w:rPr>
          <w:rFonts w:ascii="Arial" w:cs="Arial" w:eastAsia="Arial" w:hAnsi="Arial"/>
          <w:sz w:val="20"/>
          <w:szCs w:val="20"/>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35"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Ordinary Shares, $0.001 par value per share (the "Ordinary Shares").</w:t>
      </w:r>
    </w:p>
    <w:p>
      <w:pPr>
        <w:spacing w:after="0" w:line="223" w:lineRule="exact"/>
        <w:rPr>
          <w:sz w:val="20"/>
          <w:szCs w:val="20"/>
          <w:color w:val="auto"/>
        </w:rPr>
      </w:pPr>
    </w:p>
    <w:p>
      <w:pPr>
        <w:spacing w:after="0"/>
        <w:tabs>
          <w:tab w:leader="none" w:pos="1600" w:val="left"/>
        </w:tabs>
        <w:rPr>
          <w:sz w:val="20"/>
          <w:szCs w:val="20"/>
          <w:color w:val="auto"/>
        </w:rPr>
      </w:pPr>
      <w:r>
        <w:rPr>
          <w:rFonts w:ascii="Arial" w:cs="Arial" w:eastAsia="Arial" w:hAnsi="Arial"/>
          <w:sz w:val="20"/>
          <w:szCs w:val="20"/>
          <w:b w:val="1"/>
          <w:bCs w:val="1"/>
          <w:color w:val="auto"/>
        </w:rPr>
        <w:t>Item 2(e).</w:t>
      </w:r>
      <w:r>
        <w:rPr>
          <w:sz w:val="20"/>
          <w:szCs w:val="20"/>
          <w:color w:val="auto"/>
        </w:rPr>
        <w:tab/>
      </w:r>
      <w:r>
        <w:rPr>
          <w:rFonts w:ascii="Arial" w:cs="Arial" w:eastAsia="Arial" w:hAnsi="Arial"/>
          <w:sz w:val="19"/>
          <w:szCs w:val="19"/>
          <w:b w:val="1"/>
          <w:bCs w:val="1"/>
          <w:color w:val="auto"/>
        </w:rPr>
        <w:t>CUSIP Number:</w:t>
      </w:r>
    </w:p>
    <w:p>
      <w:pPr>
        <w:spacing w:after="0" w:line="235"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G48833118</w:t>
      </w:r>
    </w:p>
    <w:p>
      <w:pPr>
        <w:spacing w:after="0" w:line="223" w:lineRule="exact"/>
        <w:rPr>
          <w:sz w:val="20"/>
          <w:szCs w:val="20"/>
          <w:color w:val="auto"/>
        </w:rPr>
      </w:pPr>
    </w:p>
    <w:p>
      <w:pPr>
        <w:spacing w:after="0"/>
        <w:tabs>
          <w:tab w:leader="none" w:pos="160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235"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This Item 3 is not applicable.</w:t>
      </w:r>
    </w:p>
    <w:p>
      <w:pPr>
        <w:spacing w:after="0" w:line="223" w:lineRule="exact"/>
        <w:rPr>
          <w:sz w:val="20"/>
          <w:szCs w:val="20"/>
          <w:color w:val="auto"/>
        </w:rPr>
      </w:pPr>
    </w:p>
    <w:p>
      <w:pPr>
        <w:spacing w:after="0"/>
        <w:tabs>
          <w:tab w:leader="none" w:pos="160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8"/>
          <w:szCs w:val="18"/>
          <w:b w:val="1"/>
          <w:bCs w:val="1"/>
          <w:color w:val="auto"/>
        </w:rPr>
        <w:t>Ownership:</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Items 5 through 9 and 11 of each of the cover pages to this Schedule 13G are incorporated herein by reference.</w:t>
      </w:r>
    </w:p>
    <w:p>
      <w:pPr>
        <w:spacing w:after="0" w:line="229"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Each of Mr. Hicks, Mr. Carstairs, the Managing Member and the General Partner may also be deemed to beneficially own the Ordinary Shares held by the other Reporting Persons. Each such Reporting Person may be deemed to beneficially own the Ordinary Shares beneficially owned by the Reporting Persons directly or indirectly controlled by it or him, but neither the filing of this Schedule 13G nor any of its contents shall be deemed to constitute an admission that any Reporting Person (other than Fund XII, Fund XIII, Fund VI-A, VIP Offshore, Master Skyway Fund, VCPM and VIP and their respective general partners, to the extent they directly hold Ordinary Shares) is the beneficial owner of Ordinary Shares referred to herein for purposes of Section 13(d) of the Securities Exchange Act of 1934, as amended (the “Exchange Act”), or for any other purpose and each of the Reporting Persons expressly disclaims beneficial ownership of such Ordinary Shares. The filing of this statement should not be construed to be an admission that any of the Reporting Persons are members of a “group” for the purposes of Sections 13(d) and 13(g)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24" w:name="page25"/>
    <w:bookmarkEnd w:id="24"/>
    <w:p>
      <w:pPr>
        <w:spacing w:after="0"/>
        <w:tabs>
          <w:tab w:leader="none" w:pos="160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35" w:lineRule="exact"/>
        <w:rPr>
          <w:sz w:val="20"/>
          <w:szCs w:val="20"/>
          <w:color w:val="auto"/>
        </w:rPr>
      </w:pPr>
    </w:p>
    <w:p>
      <w:pPr>
        <w:ind w:left="1620" w:right="280"/>
        <w:spacing w:after="0" w:line="287" w:lineRule="auto"/>
        <w:rPr>
          <w:sz w:val="20"/>
          <w:szCs w:val="20"/>
          <w:color w:val="auto"/>
        </w:rPr>
      </w:pPr>
      <w:r>
        <w:rPr>
          <w:rFonts w:ascii="Arial" w:cs="Arial" w:eastAsia="Arial" w:hAnsi="Arial"/>
          <w:sz w:val="19"/>
          <w:szCs w:val="19"/>
          <w:color w:val="auto"/>
        </w:rPr>
        <w:t>If this statement is being filed to report the fact that as of the date hereof the Reporting Persons have ceased to be the beneficial owners of more than five percent of the class of securities, check the following [ ].</w:t>
      </w:r>
    </w:p>
    <w:p>
      <w:pPr>
        <w:spacing w:after="0" w:line="160" w:lineRule="exact"/>
        <w:rPr>
          <w:sz w:val="20"/>
          <w:szCs w:val="20"/>
          <w:color w:val="auto"/>
        </w:rPr>
      </w:pPr>
    </w:p>
    <w:p>
      <w:pPr>
        <w:spacing w:after="0"/>
        <w:tabs>
          <w:tab w:leader="none" w:pos="160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35"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This Item 6 is not applicable.</w:t>
      </w:r>
    </w:p>
    <w:p>
      <w:pPr>
        <w:spacing w:after="0" w:line="223" w:lineRule="exact"/>
        <w:rPr>
          <w:sz w:val="20"/>
          <w:szCs w:val="20"/>
          <w:color w:val="auto"/>
        </w:rPr>
      </w:pPr>
    </w:p>
    <w:p>
      <w:pPr>
        <w:ind w:left="1620" w:hanging="1620"/>
        <w:spacing w:after="0" w:line="267" w:lineRule="auto"/>
        <w:tabs>
          <w:tab w:leader="none" w:pos="160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 Being Reported on by the Parent Holding Company:</w:t>
      </w:r>
    </w:p>
    <w:p>
      <w:pPr>
        <w:spacing w:after="0" w:line="183"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See Item 2(a)</w:t>
      </w:r>
    </w:p>
    <w:p>
      <w:pPr>
        <w:spacing w:after="0" w:line="223" w:lineRule="exact"/>
        <w:rPr>
          <w:sz w:val="20"/>
          <w:szCs w:val="20"/>
          <w:color w:val="auto"/>
        </w:rPr>
      </w:pPr>
    </w:p>
    <w:p>
      <w:pPr>
        <w:spacing w:after="0"/>
        <w:tabs>
          <w:tab w:leader="none" w:pos="160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235"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This Item 8 is not applicable.</w:t>
      </w:r>
    </w:p>
    <w:p>
      <w:pPr>
        <w:spacing w:after="0" w:line="223" w:lineRule="exact"/>
        <w:rPr>
          <w:sz w:val="20"/>
          <w:szCs w:val="20"/>
          <w:color w:val="auto"/>
        </w:rPr>
      </w:pPr>
    </w:p>
    <w:p>
      <w:pPr>
        <w:spacing w:after="0"/>
        <w:tabs>
          <w:tab w:leader="none" w:pos="160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35"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This Item 9 is not applicable.</w:t>
      </w:r>
    </w:p>
    <w:p>
      <w:pPr>
        <w:spacing w:after="0" w:line="223" w:lineRule="exact"/>
        <w:rPr>
          <w:sz w:val="20"/>
          <w:szCs w:val="20"/>
          <w:color w:val="auto"/>
        </w:rPr>
      </w:pPr>
    </w:p>
    <w:p>
      <w:pPr>
        <w:spacing w:after="0"/>
        <w:tabs>
          <w:tab w:leader="none" w:pos="160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18"/>
          <w:szCs w:val="18"/>
          <w:b w:val="1"/>
          <w:bCs w:val="1"/>
          <w:color w:val="auto"/>
        </w:rPr>
        <w:t>Certification:</w:t>
      </w:r>
    </w:p>
    <w:p>
      <w:pPr>
        <w:spacing w:after="0" w:line="235" w:lineRule="exact"/>
        <w:rPr>
          <w:sz w:val="20"/>
          <w:szCs w:val="20"/>
          <w:color w:val="auto"/>
        </w:rPr>
      </w:pPr>
    </w:p>
    <w:p>
      <w:pPr>
        <w:ind w:left="1620" w:right="200"/>
        <w:spacing w:after="0" w:line="246" w:lineRule="auto"/>
        <w:rPr>
          <w:sz w:val="20"/>
          <w:szCs w:val="20"/>
          <w:color w:val="auto"/>
        </w:rPr>
      </w:pPr>
      <w:r>
        <w:rPr>
          <w:rFonts w:ascii="Arial" w:cs="Arial" w:eastAsia="Arial" w:hAnsi="Arial"/>
          <w:sz w:val="20"/>
          <w:szCs w:val="20"/>
          <w:color w:val="auto"/>
        </w:rPr>
        <w:t>By signing below each of the Reporting Persons certifies that, to the best of such person's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544195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60"/>
          </w:cols>
          <w:pgMar w:left="240" w:top="576" w:right="499" w:bottom="1440" w:gutter="0" w:footer="0" w:header="0"/>
        </w:sectPr>
      </w:pPr>
    </w:p>
    <w:bookmarkStart w:id="25" w:name="page26"/>
    <w:bookmarkEnd w:id="25"/>
    <w:p>
      <w:pPr>
        <w:jc w:val="center"/>
        <w:ind w:right="-459"/>
        <w:spacing w:after="0"/>
        <w:rPr>
          <w:sz w:val="20"/>
          <w:szCs w:val="20"/>
          <w:color w:val="auto"/>
        </w:rPr>
      </w:pPr>
      <w:r>
        <w:rPr>
          <w:rFonts w:ascii="Arial" w:cs="Arial" w:eastAsia="Arial" w:hAnsi="Arial"/>
          <w:sz w:val="20"/>
          <w:szCs w:val="20"/>
          <w:b w:val="1"/>
          <w:bCs w:val="1"/>
          <w:color w:val="auto"/>
        </w:rPr>
        <w:t>SIGNATURES</w:t>
      </w:r>
    </w:p>
    <w:p>
      <w:pPr>
        <w:spacing w:after="0" w:line="23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my knowledge and belief, the undersigned certifies that the information set forth in this statement is true, complete and correct.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320" w:type="dxa"/>
            <w:vAlign w:val="bottom"/>
          </w:tcPr>
          <w:p>
            <w:pPr>
              <w:spacing w:after="0"/>
              <w:rPr>
                <w:sz w:val="20"/>
                <w:szCs w:val="20"/>
                <w:color w:val="auto"/>
              </w:rPr>
            </w:pPr>
            <w:r>
              <w:rPr>
                <w:rFonts w:ascii="Arial" w:cs="Arial" w:eastAsia="Arial" w:hAnsi="Arial"/>
                <w:sz w:val="20"/>
                <w:szCs w:val="20"/>
                <w:color w:val="auto"/>
              </w:rPr>
              <w:t>Date: February 20, 2020</w:t>
            </w: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w w:val="95"/>
              </w:rPr>
              <w:t>THE VÄRDE FUND XII (MASTER), L.P.</w:t>
            </w:r>
          </w:p>
        </w:tc>
      </w:tr>
      <w:tr>
        <w:trPr>
          <w:trHeight w:val="438"/>
        </w:trPr>
        <w:tc>
          <w:tcPr>
            <w:tcW w:w="3320" w:type="dxa"/>
            <w:vAlign w:val="bottom"/>
          </w:tcPr>
          <w:p>
            <w:pPr>
              <w:spacing w:after="0"/>
              <w:rPr>
                <w:sz w:val="24"/>
                <w:szCs w:val="24"/>
                <w:color w:val="auto"/>
              </w:rPr>
            </w:pP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By: The Värde Fund XII G.P., L.P.,</w:t>
            </w:r>
          </w:p>
        </w:tc>
      </w:tr>
      <w:tr>
        <w:trPr>
          <w:trHeight w:val="250"/>
        </w:trPr>
        <w:tc>
          <w:tcPr>
            <w:tcW w:w="3320" w:type="dxa"/>
            <w:vAlign w:val="bottom"/>
          </w:tcPr>
          <w:p>
            <w:pPr>
              <w:spacing w:after="0"/>
              <w:rPr>
                <w:sz w:val="21"/>
                <w:szCs w:val="21"/>
                <w:color w:val="auto"/>
              </w:rPr>
            </w:pP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38"/>
        </w:trPr>
        <w:tc>
          <w:tcPr>
            <w:tcW w:w="3320" w:type="dxa"/>
            <w:vAlign w:val="bottom"/>
          </w:tcPr>
          <w:p>
            <w:pPr>
              <w:spacing w:after="0"/>
              <w:rPr>
                <w:sz w:val="24"/>
                <w:szCs w:val="24"/>
                <w:color w:val="auto"/>
              </w:rPr>
            </w:pP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By: The Värde Fund XII UGP, LLC,</w:t>
            </w:r>
          </w:p>
        </w:tc>
      </w:tr>
      <w:tr>
        <w:trPr>
          <w:trHeight w:val="250"/>
        </w:trPr>
        <w:tc>
          <w:tcPr>
            <w:tcW w:w="3320" w:type="dxa"/>
            <w:vAlign w:val="bottom"/>
          </w:tcPr>
          <w:p>
            <w:pPr>
              <w:spacing w:after="0"/>
              <w:rPr>
                <w:sz w:val="21"/>
                <w:szCs w:val="21"/>
                <w:color w:val="auto"/>
              </w:rPr>
            </w:pP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38"/>
        </w:trPr>
        <w:tc>
          <w:tcPr>
            <w:tcW w:w="3320" w:type="dxa"/>
            <w:vAlign w:val="bottom"/>
          </w:tcPr>
          <w:p>
            <w:pPr>
              <w:spacing w:after="0"/>
              <w:rPr>
                <w:sz w:val="24"/>
                <w:szCs w:val="24"/>
                <w:color w:val="auto"/>
              </w:rPr>
            </w:pP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By: Värde Partners, L.P.,</w:t>
            </w:r>
          </w:p>
        </w:tc>
      </w:tr>
      <w:tr>
        <w:trPr>
          <w:trHeight w:val="250"/>
        </w:trPr>
        <w:tc>
          <w:tcPr>
            <w:tcW w:w="3320" w:type="dxa"/>
            <w:vAlign w:val="bottom"/>
          </w:tcPr>
          <w:p>
            <w:pPr>
              <w:spacing w:after="0"/>
              <w:rPr>
                <w:sz w:val="21"/>
                <w:szCs w:val="21"/>
                <w:color w:val="auto"/>
              </w:rPr>
            </w:pP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Its Managing Member</w:t>
            </w:r>
          </w:p>
        </w:tc>
      </w:tr>
      <w:tr>
        <w:trPr>
          <w:trHeight w:val="438"/>
        </w:trPr>
        <w:tc>
          <w:tcPr>
            <w:tcW w:w="3320" w:type="dxa"/>
            <w:vAlign w:val="bottom"/>
          </w:tcPr>
          <w:p>
            <w:pPr>
              <w:spacing w:after="0"/>
              <w:rPr>
                <w:sz w:val="24"/>
                <w:szCs w:val="24"/>
                <w:color w:val="auto"/>
              </w:rPr>
            </w:pP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By: Värde Partners, Inc.,</w:t>
            </w:r>
          </w:p>
        </w:tc>
      </w:tr>
      <w:tr>
        <w:trPr>
          <w:trHeight w:val="250"/>
        </w:trPr>
        <w:tc>
          <w:tcPr>
            <w:tcW w:w="3320" w:type="dxa"/>
            <w:vAlign w:val="bottom"/>
          </w:tcPr>
          <w:p>
            <w:pPr>
              <w:spacing w:after="0"/>
              <w:rPr>
                <w:sz w:val="21"/>
                <w:szCs w:val="21"/>
                <w:color w:val="auto"/>
              </w:rPr>
            </w:pP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15"/>
        </w:trPr>
        <w:tc>
          <w:tcPr>
            <w:tcW w:w="3320" w:type="dxa"/>
            <w:vAlign w:val="bottom"/>
          </w:tcPr>
          <w:p>
            <w:pPr>
              <w:spacing w:after="0"/>
              <w:rPr>
                <w:sz w:val="24"/>
                <w:szCs w:val="24"/>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By:</w:t>
            </w:r>
          </w:p>
        </w:tc>
        <w:tc>
          <w:tcPr>
            <w:tcW w:w="2800" w:type="dxa"/>
            <w:vAlign w:val="bottom"/>
            <w:gridSpan w:val="2"/>
          </w:tcPr>
          <w:p>
            <w:pPr>
              <w:spacing w:after="0"/>
              <w:rPr>
                <w:sz w:val="20"/>
                <w:szCs w:val="20"/>
                <w:color w:val="auto"/>
              </w:rPr>
            </w:pPr>
            <w:r>
              <w:rPr>
                <w:rFonts w:ascii="Arial" w:cs="Arial" w:eastAsia="Arial" w:hAnsi="Arial"/>
                <w:sz w:val="20"/>
                <w:szCs w:val="20"/>
                <w:color w:val="auto"/>
              </w:rPr>
              <w:t>/s/ David A. Marple</w:t>
            </w:r>
          </w:p>
        </w:tc>
      </w:tr>
      <w:tr>
        <w:trPr>
          <w:trHeight w:val="20"/>
        </w:trPr>
        <w:tc>
          <w:tcPr>
            <w:tcW w:w="3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3"/>
        </w:trPr>
        <w:tc>
          <w:tcPr>
            <w:tcW w:w="3320" w:type="dxa"/>
            <w:vAlign w:val="bottom"/>
          </w:tcPr>
          <w:p>
            <w:pPr>
              <w:spacing w:after="0"/>
              <w:rPr>
                <w:sz w:val="20"/>
                <w:szCs w:val="20"/>
                <w:color w:val="auto"/>
              </w:rPr>
            </w:pP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Name: David A. Marple</w:t>
            </w:r>
          </w:p>
        </w:tc>
      </w:tr>
      <w:tr>
        <w:trPr>
          <w:trHeight w:val="250"/>
        </w:trPr>
        <w:tc>
          <w:tcPr>
            <w:tcW w:w="3320" w:type="dxa"/>
            <w:vAlign w:val="bottom"/>
          </w:tcPr>
          <w:p>
            <w:pPr>
              <w:spacing w:after="0"/>
              <w:rPr>
                <w:sz w:val="21"/>
                <w:szCs w:val="21"/>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Title:</w:t>
            </w:r>
          </w:p>
        </w:tc>
        <w:tc>
          <w:tcPr>
            <w:tcW w:w="2800" w:type="dxa"/>
            <w:vAlign w:val="bottom"/>
            <w:gridSpan w:val="2"/>
          </w:tcPr>
          <w:p>
            <w:pPr>
              <w:ind w:left="40"/>
              <w:spacing w:after="0"/>
              <w:rPr>
                <w:sz w:val="20"/>
                <w:szCs w:val="20"/>
                <w:color w:val="auto"/>
              </w:rPr>
            </w:pPr>
            <w:r>
              <w:rPr>
                <w:rFonts w:ascii="Arial" w:cs="Arial" w:eastAsia="Arial" w:hAnsi="Arial"/>
                <w:sz w:val="20"/>
                <w:szCs w:val="20"/>
                <w:color w:val="auto"/>
              </w:rPr>
              <w:t>General Counsel</w:t>
            </w:r>
          </w:p>
        </w:tc>
      </w:tr>
      <w:tr>
        <w:trPr>
          <w:trHeight w:val="459"/>
        </w:trPr>
        <w:tc>
          <w:tcPr>
            <w:tcW w:w="3320" w:type="dxa"/>
            <w:vAlign w:val="bottom"/>
          </w:tcPr>
          <w:p>
            <w:pPr>
              <w:spacing w:after="0"/>
              <w:rPr>
                <w:sz w:val="20"/>
                <w:szCs w:val="20"/>
                <w:color w:val="auto"/>
              </w:rPr>
            </w:pPr>
            <w:r>
              <w:rPr>
                <w:rFonts w:ascii="Arial" w:cs="Arial" w:eastAsia="Arial" w:hAnsi="Arial"/>
                <w:sz w:val="20"/>
                <w:szCs w:val="20"/>
                <w:color w:val="auto"/>
              </w:rPr>
              <w:t>Date: February 20, 2020</w:t>
            </w: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THE VÄRDE FUND XII G.P., L.P.</w:t>
            </w:r>
          </w:p>
        </w:tc>
      </w:tr>
      <w:tr>
        <w:trPr>
          <w:trHeight w:val="438"/>
        </w:trPr>
        <w:tc>
          <w:tcPr>
            <w:tcW w:w="3320" w:type="dxa"/>
            <w:vAlign w:val="bottom"/>
          </w:tcPr>
          <w:p>
            <w:pPr>
              <w:spacing w:after="0"/>
              <w:rPr>
                <w:sz w:val="24"/>
                <w:szCs w:val="24"/>
                <w:color w:val="auto"/>
              </w:rPr>
            </w:pP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By: The Värde Fund XII UGP, LLC,</w:t>
            </w:r>
          </w:p>
        </w:tc>
      </w:tr>
      <w:tr>
        <w:trPr>
          <w:trHeight w:val="250"/>
        </w:trPr>
        <w:tc>
          <w:tcPr>
            <w:tcW w:w="3320" w:type="dxa"/>
            <w:vAlign w:val="bottom"/>
          </w:tcPr>
          <w:p>
            <w:pPr>
              <w:spacing w:after="0"/>
              <w:rPr>
                <w:sz w:val="21"/>
                <w:szCs w:val="21"/>
                <w:color w:val="auto"/>
              </w:rPr>
            </w:pP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38"/>
        </w:trPr>
        <w:tc>
          <w:tcPr>
            <w:tcW w:w="3320" w:type="dxa"/>
            <w:vAlign w:val="bottom"/>
          </w:tcPr>
          <w:p>
            <w:pPr>
              <w:spacing w:after="0"/>
              <w:rPr>
                <w:sz w:val="24"/>
                <w:szCs w:val="24"/>
                <w:color w:val="auto"/>
              </w:rPr>
            </w:pP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By: Värde Partners, L.P.,</w:t>
            </w:r>
          </w:p>
        </w:tc>
      </w:tr>
      <w:tr>
        <w:trPr>
          <w:trHeight w:val="250"/>
        </w:trPr>
        <w:tc>
          <w:tcPr>
            <w:tcW w:w="3320" w:type="dxa"/>
            <w:vAlign w:val="bottom"/>
          </w:tcPr>
          <w:p>
            <w:pPr>
              <w:spacing w:after="0"/>
              <w:rPr>
                <w:sz w:val="21"/>
                <w:szCs w:val="21"/>
                <w:color w:val="auto"/>
              </w:rPr>
            </w:pP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Its Managing Member</w:t>
            </w:r>
          </w:p>
        </w:tc>
      </w:tr>
      <w:tr>
        <w:trPr>
          <w:trHeight w:val="438"/>
        </w:trPr>
        <w:tc>
          <w:tcPr>
            <w:tcW w:w="3320" w:type="dxa"/>
            <w:vAlign w:val="bottom"/>
          </w:tcPr>
          <w:p>
            <w:pPr>
              <w:spacing w:after="0"/>
              <w:rPr>
                <w:sz w:val="24"/>
                <w:szCs w:val="24"/>
                <w:color w:val="auto"/>
              </w:rPr>
            </w:pP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By: Värde Partners, Inc.,</w:t>
            </w:r>
          </w:p>
        </w:tc>
      </w:tr>
      <w:tr>
        <w:trPr>
          <w:trHeight w:val="250"/>
        </w:trPr>
        <w:tc>
          <w:tcPr>
            <w:tcW w:w="3320" w:type="dxa"/>
            <w:vAlign w:val="bottom"/>
          </w:tcPr>
          <w:p>
            <w:pPr>
              <w:spacing w:after="0"/>
              <w:rPr>
                <w:sz w:val="21"/>
                <w:szCs w:val="21"/>
                <w:color w:val="auto"/>
              </w:rPr>
            </w:pP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15"/>
        </w:trPr>
        <w:tc>
          <w:tcPr>
            <w:tcW w:w="3320" w:type="dxa"/>
            <w:vAlign w:val="bottom"/>
          </w:tcPr>
          <w:p>
            <w:pPr>
              <w:spacing w:after="0"/>
              <w:rPr>
                <w:sz w:val="24"/>
                <w:szCs w:val="24"/>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By:</w:t>
            </w:r>
          </w:p>
        </w:tc>
        <w:tc>
          <w:tcPr>
            <w:tcW w:w="2800" w:type="dxa"/>
            <w:vAlign w:val="bottom"/>
            <w:gridSpan w:val="2"/>
          </w:tcPr>
          <w:p>
            <w:pPr>
              <w:spacing w:after="0"/>
              <w:rPr>
                <w:sz w:val="20"/>
                <w:szCs w:val="20"/>
                <w:color w:val="auto"/>
              </w:rPr>
            </w:pPr>
            <w:r>
              <w:rPr>
                <w:rFonts w:ascii="Arial" w:cs="Arial" w:eastAsia="Arial" w:hAnsi="Arial"/>
                <w:sz w:val="20"/>
                <w:szCs w:val="20"/>
                <w:color w:val="auto"/>
              </w:rPr>
              <w:t>/s/ David A. Marple</w:t>
            </w:r>
          </w:p>
        </w:tc>
      </w:tr>
      <w:tr>
        <w:trPr>
          <w:trHeight w:val="20"/>
        </w:trPr>
        <w:tc>
          <w:tcPr>
            <w:tcW w:w="3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3"/>
        </w:trPr>
        <w:tc>
          <w:tcPr>
            <w:tcW w:w="3320" w:type="dxa"/>
            <w:vAlign w:val="bottom"/>
          </w:tcPr>
          <w:p>
            <w:pPr>
              <w:spacing w:after="0"/>
              <w:rPr>
                <w:sz w:val="20"/>
                <w:szCs w:val="20"/>
                <w:color w:val="auto"/>
              </w:rPr>
            </w:pP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Name: David A. Marple</w:t>
            </w:r>
          </w:p>
        </w:tc>
      </w:tr>
      <w:tr>
        <w:trPr>
          <w:trHeight w:val="250"/>
        </w:trPr>
        <w:tc>
          <w:tcPr>
            <w:tcW w:w="3320" w:type="dxa"/>
            <w:vAlign w:val="bottom"/>
          </w:tcPr>
          <w:p>
            <w:pPr>
              <w:spacing w:after="0"/>
              <w:rPr>
                <w:sz w:val="21"/>
                <w:szCs w:val="21"/>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Title:</w:t>
            </w:r>
          </w:p>
        </w:tc>
        <w:tc>
          <w:tcPr>
            <w:tcW w:w="2800" w:type="dxa"/>
            <w:vAlign w:val="bottom"/>
            <w:gridSpan w:val="2"/>
          </w:tcPr>
          <w:p>
            <w:pPr>
              <w:ind w:left="40"/>
              <w:spacing w:after="0"/>
              <w:rPr>
                <w:sz w:val="20"/>
                <w:szCs w:val="20"/>
                <w:color w:val="auto"/>
              </w:rPr>
            </w:pPr>
            <w:r>
              <w:rPr>
                <w:rFonts w:ascii="Arial" w:cs="Arial" w:eastAsia="Arial" w:hAnsi="Arial"/>
                <w:sz w:val="20"/>
                <w:szCs w:val="20"/>
                <w:color w:val="auto"/>
              </w:rPr>
              <w:t>General Counsel</w:t>
            </w:r>
          </w:p>
        </w:tc>
      </w:tr>
      <w:tr>
        <w:trPr>
          <w:trHeight w:val="459"/>
        </w:trPr>
        <w:tc>
          <w:tcPr>
            <w:tcW w:w="3320" w:type="dxa"/>
            <w:vAlign w:val="bottom"/>
          </w:tcPr>
          <w:p>
            <w:pPr>
              <w:spacing w:after="0"/>
              <w:rPr>
                <w:sz w:val="20"/>
                <w:szCs w:val="20"/>
                <w:color w:val="auto"/>
              </w:rPr>
            </w:pPr>
            <w:r>
              <w:rPr>
                <w:rFonts w:ascii="Arial" w:cs="Arial" w:eastAsia="Arial" w:hAnsi="Arial"/>
                <w:sz w:val="20"/>
                <w:szCs w:val="20"/>
                <w:color w:val="auto"/>
              </w:rPr>
              <w:t>Date: February 20, 2020</w:t>
            </w: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THE VÄRDE FUND XII UGP, LLC</w:t>
            </w:r>
          </w:p>
        </w:tc>
      </w:tr>
      <w:tr>
        <w:trPr>
          <w:trHeight w:val="438"/>
        </w:trPr>
        <w:tc>
          <w:tcPr>
            <w:tcW w:w="3320" w:type="dxa"/>
            <w:vAlign w:val="bottom"/>
          </w:tcPr>
          <w:p>
            <w:pPr>
              <w:spacing w:after="0"/>
              <w:rPr>
                <w:sz w:val="24"/>
                <w:szCs w:val="24"/>
                <w:color w:val="auto"/>
              </w:rPr>
            </w:pP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By: Värde Partners, L.P.,</w:t>
            </w:r>
          </w:p>
        </w:tc>
      </w:tr>
      <w:tr>
        <w:trPr>
          <w:trHeight w:val="250"/>
        </w:trPr>
        <w:tc>
          <w:tcPr>
            <w:tcW w:w="3320" w:type="dxa"/>
            <w:vAlign w:val="bottom"/>
          </w:tcPr>
          <w:p>
            <w:pPr>
              <w:spacing w:after="0"/>
              <w:rPr>
                <w:sz w:val="21"/>
                <w:szCs w:val="21"/>
                <w:color w:val="auto"/>
              </w:rPr>
            </w:pP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Its Managing Member</w:t>
            </w:r>
          </w:p>
        </w:tc>
      </w:tr>
      <w:tr>
        <w:trPr>
          <w:trHeight w:val="438"/>
        </w:trPr>
        <w:tc>
          <w:tcPr>
            <w:tcW w:w="3320" w:type="dxa"/>
            <w:vAlign w:val="bottom"/>
          </w:tcPr>
          <w:p>
            <w:pPr>
              <w:spacing w:after="0"/>
              <w:rPr>
                <w:sz w:val="24"/>
                <w:szCs w:val="24"/>
                <w:color w:val="auto"/>
              </w:rPr>
            </w:pP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By: Värde Partners, Inc.,</w:t>
            </w:r>
          </w:p>
        </w:tc>
      </w:tr>
      <w:tr>
        <w:trPr>
          <w:trHeight w:val="250"/>
        </w:trPr>
        <w:tc>
          <w:tcPr>
            <w:tcW w:w="3320" w:type="dxa"/>
            <w:vAlign w:val="bottom"/>
          </w:tcPr>
          <w:p>
            <w:pPr>
              <w:spacing w:after="0"/>
              <w:rPr>
                <w:sz w:val="21"/>
                <w:szCs w:val="21"/>
                <w:color w:val="auto"/>
              </w:rPr>
            </w:pP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15"/>
        </w:trPr>
        <w:tc>
          <w:tcPr>
            <w:tcW w:w="3320" w:type="dxa"/>
            <w:vAlign w:val="bottom"/>
          </w:tcPr>
          <w:p>
            <w:pPr>
              <w:spacing w:after="0"/>
              <w:rPr>
                <w:sz w:val="24"/>
                <w:szCs w:val="24"/>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By:</w:t>
            </w:r>
          </w:p>
        </w:tc>
        <w:tc>
          <w:tcPr>
            <w:tcW w:w="2800" w:type="dxa"/>
            <w:vAlign w:val="bottom"/>
            <w:gridSpan w:val="2"/>
          </w:tcPr>
          <w:p>
            <w:pPr>
              <w:spacing w:after="0"/>
              <w:rPr>
                <w:sz w:val="20"/>
                <w:szCs w:val="20"/>
                <w:color w:val="auto"/>
              </w:rPr>
            </w:pPr>
            <w:r>
              <w:rPr>
                <w:rFonts w:ascii="Arial" w:cs="Arial" w:eastAsia="Arial" w:hAnsi="Arial"/>
                <w:sz w:val="20"/>
                <w:szCs w:val="20"/>
                <w:color w:val="auto"/>
              </w:rPr>
              <w:t>/s/ David A. Marple</w:t>
            </w:r>
          </w:p>
        </w:tc>
      </w:tr>
      <w:tr>
        <w:trPr>
          <w:trHeight w:val="20"/>
        </w:trPr>
        <w:tc>
          <w:tcPr>
            <w:tcW w:w="3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3"/>
        </w:trPr>
        <w:tc>
          <w:tcPr>
            <w:tcW w:w="3320" w:type="dxa"/>
            <w:vAlign w:val="bottom"/>
          </w:tcPr>
          <w:p>
            <w:pPr>
              <w:spacing w:after="0"/>
              <w:rPr>
                <w:sz w:val="20"/>
                <w:szCs w:val="20"/>
                <w:color w:val="auto"/>
              </w:rPr>
            </w:pP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Name: David A. Marple</w:t>
            </w:r>
          </w:p>
        </w:tc>
      </w:tr>
      <w:tr>
        <w:trPr>
          <w:trHeight w:val="250"/>
        </w:trPr>
        <w:tc>
          <w:tcPr>
            <w:tcW w:w="3320" w:type="dxa"/>
            <w:vAlign w:val="bottom"/>
          </w:tcPr>
          <w:p>
            <w:pPr>
              <w:spacing w:after="0"/>
              <w:rPr>
                <w:sz w:val="21"/>
                <w:szCs w:val="21"/>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Title:</w:t>
            </w:r>
          </w:p>
        </w:tc>
        <w:tc>
          <w:tcPr>
            <w:tcW w:w="2800" w:type="dxa"/>
            <w:vAlign w:val="bottom"/>
            <w:gridSpan w:val="2"/>
          </w:tcPr>
          <w:p>
            <w:pPr>
              <w:ind w:left="40"/>
              <w:spacing w:after="0"/>
              <w:rPr>
                <w:sz w:val="20"/>
                <w:szCs w:val="20"/>
                <w:color w:val="auto"/>
              </w:rPr>
            </w:pPr>
            <w:r>
              <w:rPr>
                <w:rFonts w:ascii="Arial" w:cs="Arial" w:eastAsia="Arial" w:hAnsi="Arial"/>
                <w:sz w:val="20"/>
                <w:szCs w:val="20"/>
                <w:color w:val="auto"/>
              </w:rPr>
              <w:t>General Counsel</w:t>
            </w:r>
          </w:p>
        </w:tc>
      </w:tr>
      <w:tr>
        <w:trPr>
          <w:trHeight w:val="459"/>
        </w:trPr>
        <w:tc>
          <w:tcPr>
            <w:tcW w:w="3320" w:type="dxa"/>
            <w:vAlign w:val="bottom"/>
          </w:tcPr>
          <w:p>
            <w:pPr>
              <w:spacing w:after="0"/>
              <w:rPr>
                <w:sz w:val="20"/>
                <w:szCs w:val="20"/>
                <w:color w:val="auto"/>
              </w:rPr>
            </w:pPr>
            <w:r>
              <w:rPr>
                <w:rFonts w:ascii="Arial" w:cs="Arial" w:eastAsia="Arial" w:hAnsi="Arial"/>
                <w:sz w:val="20"/>
                <w:szCs w:val="20"/>
                <w:color w:val="auto"/>
              </w:rPr>
              <w:t>Date: February 20, 2020</w:t>
            </w: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THE VÄRDE FUND XIII, L.P.</w:t>
            </w:r>
          </w:p>
        </w:tc>
      </w:tr>
      <w:tr>
        <w:trPr>
          <w:trHeight w:val="438"/>
        </w:trPr>
        <w:tc>
          <w:tcPr>
            <w:tcW w:w="3320" w:type="dxa"/>
            <w:vAlign w:val="bottom"/>
          </w:tcPr>
          <w:p>
            <w:pPr>
              <w:spacing w:after="0"/>
              <w:rPr>
                <w:sz w:val="24"/>
                <w:szCs w:val="24"/>
                <w:color w:val="auto"/>
              </w:rPr>
            </w:pP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By: The Värde Fund XIII G.P., L.P.,</w:t>
            </w:r>
          </w:p>
        </w:tc>
      </w:tr>
      <w:tr>
        <w:trPr>
          <w:trHeight w:val="250"/>
        </w:trPr>
        <w:tc>
          <w:tcPr>
            <w:tcW w:w="3320" w:type="dxa"/>
            <w:vAlign w:val="bottom"/>
          </w:tcPr>
          <w:p>
            <w:pPr>
              <w:spacing w:after="0"/>
              <w:rPr>
                <w:sz w:val="21"/>
                <w:szCs w:val="21"/>
                <w:color w:val="auto"/>
              </w:rPr>
            </w:pP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38"/>
        </w:trPr>
        <w:tc>
          <w:tcPr>
            <w:tcW w:w="3320" w:type="dxa"/>
            <w:vAlign w:val="bottom"/>
          </w:tcPr>
          <w:p>
            <w:pPr>
              <w:spacing w:after="0"/>
              <w:rPr>
                <w:sz w:val="24"/>
                <w:szCs w:val="24"/>
                <w:color w:val="auto"/>
              </w:rPr>
            </w:pP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By: The Värde Fund XIII UGP, LLC,</w:t>
            </w:r>
          </w:p>
        </w:tc>
      </w:tr>
      <w:tr>
        <w:trPr>
          <w:trHeight w:val="250"/>
        </w:trPr>
        <w:tc>
          <w:tcPr>
            <w:tcW w:w="3320" w:type="dxa"/>
            <w:vAlign w:val="bottom"/>
          </w:tcPr>
          <w:p>
            <w:pPr>
              <w:spacing w:after="0"/>
              <w:rPr>
                <w:sz w:val="21"/>
                <w:szCs w:val="21"/>
                <w:color w:val="auto"/>
              </w:rPr>
            </w:pP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38"/>
        </w:trPr>
        <w:tc>
          <w:tcPr>
            <w:tcW w:w="3320" w:type="dxa"/>
            <w:vAlign w:val="bottom"/>
          </w:tcPr>
          <w:p>
            <w:pPr>
              <w:spacing w:after="0"/>
              <w:rPr>
                <w:sz w:val="24"/>
                <w:szCs w:val="24"/>
                <w:color w:val="auto"/>
              </w:rPr>
            </w:pP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By: Värde Partners, L.P.,</w:t>
            </w:r>
          </w:p>
        </w:tc>
      </w:tr>
      <w:tr>
        <w:trPr>
          <w:trHeight w:val="250"/>
        </w:trPr>
        <w:tc>
          <w:tcPr>
            <w:tcW w:w="3320" w:type="dxa"/>
            <w:vAlign w:val="bottom"/>
          </w:tcPr>
          <w:p>
            <w:pPr>
              <w:spacing w:after="0"/>
              <w:rPr>
                <w:sz w:val="21"/>
                <w:szCs w:val="21"/>
                <w:color w:val="auto"/>
              </w:rPr>
            </w:pP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Its Managing Member</w:t>
            </w:r>
          </w:p>
        </w:tc>
      </w:tr>
      <w:tr>
        <w:trPr>
          <w:trHeight w:val="438"/>
        </w:trPr>
        <w:tc>
          <w:tcPr>
            <w:tcW w:w="3320" w:type="dxa"/>
            <w:vAlign w:val="bottom"/>
          </w:tcPr>
          <w:p>
            <w:pPr>
              <w:spacing w:after="0"/>
              <w:rPr>
                <w:sz w:val="24"/>
                <w:szCs w:val="24"/>
                <w:color w:val="auto"/>
              </w:rPr>
            </w:pP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By: Värde Partners, Inc.,</w:t>
            </w:r>
          </w:p>
        </w:tc>
      </w:tr>
      <w:tr>
        <w:trPr>
          <w:trHeight w:val="250"/>
        </w:trPr>
        <w:tc>
          <w:tcPr>
            <w:tcW w:w="3320" w:type="dxa"/>
            <w:vAlign w:val="bottom"/>
          </w:tcPr>
          <w:p>
            <w:pPr>
              <w:spacing w:after="0"/>
              <w:rPr>
                <w:sz w:val="21"/>
                <w:szCs w:val="21"/>
                <w:color w:val="auto"/>
              </w:rPr>
            </w:pP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15"/>
        </w:trPr>
        <w:tc>
          <w:tcPr>
            <w:tcW w:w="3320" w:type="dxa"/>
            <w:vAlign w:val="bottom"/>
          </w:tcPr>
          <w:p>
            <w:pPr>
              <w:spacing w:after="0"/>
              <w:rPr>
                <w:sz w:val="24"/>
                <w:szCs w:val="24"/>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By:</w:t>
            </w:r>
          </w:p>
        </w:tc>
        <w:tc>
          <w:tcPr>
            <w:tcW w:w="2800" w:type="dxa"/>
            <w:vAlign w:val="bottom"/>
            <w:gridSpan w:val="2"/>
          </w:tcPr>
          <w:p>
            <w:pPr>
              <w:spacing w:after="0"/>
              <w:rPr>
                <w:sz w:val="20"/>
                <w:szCs w:val="20"/>
                <w:color w:val="auto"/>
              </w:rPr>
            </w:pPr>
            <w:r>
              <w:rPr>
                <w:rFonts w:ascii="Arial" w:cs="Arial" w:eastAsia="Arial" w:hAnsi="Arial"/>
                <w:sz w:val="20"/>
                <w:szCs w:val="20"/>
                <w:color w:val="auto"/>
              </w:rPr>
              <w:t>/s/ David A. Marple</w:t>
            </w:r>
          </w:p>
        </w:tc>
      </w:tr>
      <w:tr>
        <w:trPr>
          <w:trHeight w:val="20"/>
        </w:trPr>
        <w:tc>
          <w:tcPr>
            <w:tcW w:w="3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3"/>
        </w:trPr>
        <w:tc>
          <w:tcPr>
            <w:tcW w:w="3320" w:type="dxa"/>
            <w:vAlign w:val="bottom"/>
          </w:tcPr>
          <w:p>
            <w:pPr>
              <w:spacing w:after="0"/>
              <w:rPr>
                <w:sz w:val="20"/>
                <w:szCs w:val="20"/>
                <w:color w:val="auto"/>
              </w:rPr>
            </w:pP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Name: David A. Marple</w:t>
            </w:r>
          </w:p>
        </w:tc>
      </w:tr>
      <w:tr>
        <w:trPr>
          <w:trHeight w:val="250"/>
        </w:trPr>
        <w:tc>
          <w:tcPr>
            <w:tcW w:w="3320" w:type="dxa"/>
            <w:vAlign w:val="bottom"/>
          </w:tcPr>
          <w:p>
            <w:pPr>
              <w:spacing w:after="0"/>
              <w:rPr>
                <w:sz w:val="21"/>
                <w:szCs w:val="21"/>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Title:</w:t>
            </w:r>
          </w:p>
        </w:tc>
        <w:tc>
          <w:tcPr>
            <w:tcW w:w="2800" w:type="dxa"/>
            <w:vAlign w:val="bottom"/>
            <w:gridSpan w:val="2"/>
          </w:tcPr>
          <w:p>
            <w:pPr>
              <w:ind w:left="40"/>
              <w:spacing w:after="0"/>
              <w:rPr>
                <w:sz w:val="20"/>
                <w:szCs w:val="20"/>
                <w:color w:val="auto"/>
              </w:rPr>
            </w:pPr>
            <w:r>
              <w:rPr>
                <w:rFonts w:ascii="Arial" w:cs="Arial" w:eastAsia="Arial" w:hAnsi="Arial"/>
                <w:sz w:val="20"/>
                <w:szCs w:val="20"/>
                <w:color w:val="auto"/>
              </w:rPr>
              <w:t>General Counsel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60"/>
          </w:cols>
          <w:pgMar w:left="240" w:top="115" w:right="699" w:bottom="747"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50"/>
        </w:trPr>
        <w:tc>
          <w:tcPr>
            <w:tcW w:w="3320" w:type="dxa"/>
            <w:vAlign w:val="bottom"/>
          </w:tcPr>
          <w:p>
            <w:pPr>
              <w:spacing w:after="0"/>
              <w:rPr>
                <w:sz w:val="20"/>
                <w:szCs w:val="20"/>
                <w:color w:val="auto"/>
              </w:rPr>
            </w:pPr>
            <w:r>
              <w:rPr>
                <w:rFonts w:ascii="Arial" w:cs="Arial" w:eastAsia="Arial" w:hAnsi="Arial"/>
                <w:sz w:val="20"/>
                <w:szCs w:val="20"/>
                <w:color w:val="auto"/>
              </w:rPr>
              <w:t>Date: February 20, 2020</w:t>
            </w: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THE VÄRDE FUND XIII G.P., L.P.</w:t>
            </w:r>
          </w:p>
        </w:tc>
      </w:tr>
      <w:tr>
        <w:trPr>
          <w:trHeight w:val="438"/>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The Värde Fund XIII UGP, LLC,</w:t>
            </w:r>
          </w:p>
        </w:tc>
      </w:tr>
      <w:tr>
        <w:trPr>
          <w:trHeight w:val="250"/>
        </w:trPr>
        <w:tc>
          <w:tcPr>
            <w:tcW w:w="3320" w:type="dxa"/>
            <w:vAlign w:val="bottom"/>
          </w:tcPr>
          <w:p>
            <w:pPr>
              <w:spacing w:after="0"/>
              <w:rPr>
                <w:sz w:val="21"/>
                <w:szCs w:val="21"/>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38"/>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Värde Partners, L.P.,</w:t>
            </w:r>
          </w:p>
        </w:tc>
      </w:tr>
      <w:tr>
        <w:trPr>
          <w:trHeight w:val="250"/>
        </w:trPr>
        <w:tc>
          <w:tcPr>
            <w:tcW w:w="3320" w:type="dxa"/>
            <w:vAlign w:val="bottom"/>
          </w:tcPr>
          <w:p>
            <w:pPr>
              <w:spacing w:after="0"/>
              <w:rPr>
                <w:sz w:val="21"/>
                <w:szCs w:val="21"/>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Managing Member</w:t>
            </w:r>
          </w:p>
        </w:tc>
      </w:tr>
      <w:tr>
        <w:trPr>
          <w:trHeight w:val="438"/>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Värde Partners, Inc.,</w:t>
            </w:r>
          </w:p>
        </w:tc>
      </w:tr>
      <w:tr>
        <w:trPr>
          <w:trHeight w:val="250"/>
        </w:trPr>
        <w:tc>
          <w:tcPr>
            <w:tcW w:w="3320" w:type="dxa"/>
            <w:vAlign w:val="bottom"/>
          </w:tcPr>
          <w:p>
            <w:pPr>
              <w:spacing w:after="0"/>
              <w:rPr>
                <w:sz w:val="21"/>
                <w:szCs w:val="21"/>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15"/>
        </w:trPr>
        <w:tc>
          <w:tcPr>
            <w:tcW w:w="3320" w:type="dxa"/>
            <w:vAlign w:val="bottom"/>
          </w:tcPr>
          <w:p>
            <w:pPr>
              <w:spacing w:after="0"/>
              <w:rPr>
                <w:sz w:val="24"/>
                <w:szCs w:val="24"/>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By:</w:t>
            </w:r>
          </w:p>
        </w:tc>
        <w:tc>
          <w:tcPr>
            <w:tcW w:w="6100" w:type="dxa"/>
            <w:vAlign w:val="bottom"/>
            <w:gridSpan w:val="2"/>
          </w:tcPr>
          <w:p>
            <w:pPr>
              <w:spacing w:after="0"/>
              <w:rPr>
                <w:sz w:val="20"/>
                <w:szCs w:val="20"/>
                <w:color w:val="auto"/>
              </w:rPr>
            </w:pPr>
            <w:r>
              <w:rPr>
                <w:rFonts w:ascii="Arial" w:cs="Arial" w:eastAsia="Arial" w:hAnsi="Arial"/>
                <w:sz w:val="20"/>
                <w:szCs w:val="20"/>
                <w:color w:val="auto"/>
              </w:rPr>
              <w:t>/s/ David A. Marple</w:t>
            </w:r>
          </w:p>
        </w:tc>
      </w:tr>
      <w:tr>
        <w:trPr>
          <w:trHeight w:val="20"/>
        </w:trPr>
        <w:tc>
          <w:tcPr>
            <w:tcW w:w="3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233"/>
        </w:trPr>
        <w:tc>
          <w:tcPr>
            <w:tcW w:w="3320" w:type="dxa"/>
            <w:vAlign w:val="bottom"/>
          </w:tcPr>
          <w:p>
            <w:pPr>
              <w:spacing w:after="0"/>
              <w:rPr>
                <w:sz w:val="20"/>
                <w:szCs w:val="20"/>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Name: David A. Marple</w:t>
            </w:r>
          </w:p>
        </w:tc>
      </w:tr>
      <w:tr>
        <w:trPr>
          <w:trHeight w:val="250"/>
        </w:trPr>
        <w:tc>
          <w:tcPr>
            <w:tcW w:w="3320" w:type="dxa"/>
            <w:vAlign w:val="bottom"/>
          </w:tcPr>
          <w:p>
            <w:pPr>
              <w:spacing w:after="0"/>
              <w:rPr>
                <w:sz w:val="21"/>
                <w:szCs w:val="21"/>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Title:</w:t>
            </w:r>
          </w:p>
        </w:tc>
        <w:tc>
          <w:tcPr>
            <w:tcW w:w="6100" w:type="dxa"/>
            <w:vAlign w:val="bottom"/>
            <w:gridSpan w:val="2"/>
          </w:tcPr>
          <w:p>
            <w:pPr>
              <w:ind w:left="40"/>
              <w:spacing w:after="0"/>
              <w:rPr>
                <w:sz w:val="20"/>
                <w:szCs w:val="20"/>
                <w:color w:val="auto"/>
              </w:rPr>
            </w:pPr>
            <w:r>
              <w:rPr>
                <w:rFonts w:ascii="Arial" w:cs="Arial" w:eastAsia="Arial" w:hAnsi="Arial"/>
                <w:sz w:val="20"/>
                <w:szCs w:val="20"/>
                <w:color w:val="auto"/>
              </w:rPr>
              <w:t>General Counsel</w:t>
            </w:r>
          </w:p>
        </w:tc>
      </w:tr>
      <w:tr>
        <w:trPr>
          <w:trHeight w:val="459"/>
        </w:trPr>
        <w:tc>
          <w:tcPr>
            <w:tcW w:w="3320" w:type="dxa"/>
            <w:vAlign w:val="bottom"/>
          </w:tcPr>
          <w:p>
            <w:pPr>
              <w:spacing w:after="0"/>
              <w:rPr>
                <w:sz w:val="20"/>
                <w:szCs w:val="20"/>
                <w:color w:val="auto"/>
              </w:rPr>
            </w:pPr>
            <w:r>
              <w:rPr>
                <w:rFonts w:ascii="Arial" w:cs="Arial" w:eastAsia="Arial" w:hAnsi="Arial"/>
                <w:sz w:val="20"/>
                <w:szCs w:val="20"/>
                <w:color w:val="auto"/>
              </w:rPr>
              <w:t>Date: February 20, 2020</w:t>
            </w: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THE VÄRDE FUND XIII UGP, LLC</w:t>
            </w:r>
          </w:p>
        </w:tc>
      </w:tr>
      <w:tr>
        <w:trPr>
          <w:trHeight w:val="438"/>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Värde Partners, L.P.,</w:t>
            </w:r>
          </w:p>
        </w:tc>
      </w:tr>
      <w:tr>
        <w:trPr>
          <w:trHeight w:val="250"/>
        </w:trPr>
        <w:tc>
          <w:tcPr>
            <w:tcW w:w="3320" w:type="dxa"/>
            <w:vAlign w:val="bottom"/>
          </w:tcPr>
          <w:p>
            <w:pPr>
              <w:spacing w:after="0"/>
              <w:rPr>
                <w:sz w:val="21"/>
                <w:szCs w:val="21"/>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Managing Member</w:t>
            </w:r>
          </w:p>
        </w:tc>
      </w:tr>
      <w:tr>
        <w:trPr>
          <w:trHeight w:val="438"/>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Värde Partners, Inc.,</w:t>
            </w:r>
          </w:p>
        </w:tc>
      </w:tr>
      <w:tr>
        <w:trPr>
          <w:trHeight w:val="250"/>
        </w:trPr>
        <w:tc>
          <w:tcPr>
            <w:tcW w:w="3320" w:type="dxa"/>
            <w:vAlign w:val="bottom"/>
          </w:tcPr>
          <w:p>
            <w:pPr>
              <w:spacing w:after="0"/>
              <w:rPr>
                <w:sz w:val="21"/>
                <w:szCs w:val="21"/>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15"/>
        </w:trPr>
        <w:tc>
          <w:tcPr>
            <w:tcW w:w="3320" w:type="dxa"/>
            <w:vAlign w:val="bottom"/>
          </w:tcPr>
          <w:p>
            <w:pPr>
              <w:spacing w:after="0"/>
              <w:rPr>
                <w:sz w:val="24"/>
                <w:szCs w:val="24"/>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By:</w:t>
            </w:r>
          </w:p>
        </w:tc>
        <w:tc>
          <w:tcPr>
            <w:tcW w:w="6100" w:type="dxa"/>
            <w:vAlign w:val="bottom"/>
            <w:gridSpan w:val="2"/>
          </w:tcPr>
          <w:p>
            <w:pPr>
              <w:spacing w:after="0"/>
              <w:rPr>
                <w:sz w:val="20"/>
                <w:szCs w:val="20"/>
                <w:color w:val="auto"/>
              </w:rPr>
            </w:pPr>
            <w:r>
              <w:rPr>
                <w:rFonts w:ascii="Arial" w:cs="Arial" w:eastAsia="Arial" w:hAnsi="Arial"/>
                <w:sz w:val="20"/>
                <w:szCs w:val="20"/>
                <w:color w:val="auto"/>
              </w:rPr>
              <w:t>/s/ David A. Marple</w:t>
            </w:r>
          </w:p>
        </w:tc>
      </w:tr>
      <w:tr>
        <w:trPr>
          <w:trHeight w:val="20"/>
        </w:trPr>
        <w:tc>
          <w:tcPr>
            <w:tcW w:w="3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233"/>
        </w:trPr>
        <w:tc>
          <w:tcPr>
            <w:tcW w:w="3320" w:type="dxa"/>
            <w:vAlign w:val="bottom"/>
          </w:tcPr>
          <w:p>
            <w:pPr>
              <w:spacing w:after="0"/>
              <w:rPr>
                <w:sz w:val="20"/>
                <w:szCs w:val="20"/>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Name: David A. Marple</w:t>
            </w:r>
          </w:p>
        </w:tc>
      </w:tr>
      <w:tr>
        <w:trPr>
          <w:trHeight w:val="250"/>
        </w:trPr>
        <w:tc>
          <w:tcPr>
            <w:tcW w:w="3320" w:type="dxa"/>
            <w:vAlign w:val="bottom"/>
          </w:tcPr>
          <w:p>
            <w:pPr>
              <w:spacing w:after="0"/>
              <w:rPr>
                <w:sz w:val="21"/>
                <w:szCs w:val="21"/>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Title:</w:t>
            </w:r>
          </w:p>
        </w:tc>
        <w:tc>
          <w:tcPr>
            <w:tcW w:w="6100" w:type="dxa"/>
            <w:vAlign w:val="bottom"/>
            <w:gridSpan w:val="2"/>
          </w:tcPr>
          <w:p>
            <w:pPr>
              <w:ind w:left="40"/>
              <w:spacing w:after="0"/>
              <w:rPr>
                <w:sz w:val="20"/>
                <w:szCs w:val="20"/>
                <w:color w:val="auto"/>
              </w:rPr>
            </w:pPr>
            <w:r>
              <w:rPr>
                <w:rFonts w:ascii="Arial" w:cs="Arial" w:eastAsia="Arial" w:hAnsi="Arial"/>
                <w:sz w:val="20"/>
                <w:szCs w:val="20"/>
                <w:color w:val="auto"/>
              </w:rPr>
              <w:t>General Counsel</w:t>
            </w:r>
          </w:p>
        </w:tc>
      </w:tr>
      <w:tr>
        <w:trPr>
          <w:trHeight w:val="459"/>
        </w:trPr>
        <w:tc>
          <w:tcPr>
            <w:tcW w:w="3320" w:type="dxa"/>
            <w:vAlign w:val="bottom"/>
          </w:tcPr>
          <w:p>
            <w:pPr>
              <w:spacing w:after="0"/>
              <w:rPr>
                <w:sz w:val="20"/>
                <w:szCs w:val="20"/>
                <w:color w:val="auto"/>
              </w:rPr>
            </w:pPr>
            <w:r>
              <w:rPr>
                <w:rFonts w:ascii="Arial" w:cs="Arial" w:eastAsia="Arial" w:hAnsi="Arial"/>
                <w:sz w:val="20"/>
                <w:szCs w:val="20"/>
                <w:color w:val="auto"/>
              </w:rPr>
              <w:t>Date: February 20, 2020</w:t>
            </w: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THE VÄRDE FUND VI-A, L.P.</w:t>
            </w:r>
          </w:p>
        </w:tc>
      </w:tr>
      <w:tr>
        <w:trPr>
          <w:trHeight w:val="438"/>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Värde Investment Partners G.P., L.P.,</w:t>
            </w:r>
          </w:p>
        </w:tc>
      </w:tr>
      <w:tr>
        <w:trPr>
          <w:trHeight w:val="250"/>
        </w:trPr>
        <w:tc>
          <w:tcPr>
            <w:tcW w:w="3320" w:type="dxa"/>
            <w:vAlign w:val="bottom"/>
          </w:tcPr>
          <w:p>
            <w:pPr>
              <w:spacing w:after="0"/>
              <w:rPr>
                <w:sz w:val="21"/>
                <w:szCs w:val="21"/>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59"/>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Värde Investment Partners UGP, LLC,</w:t>
            </w:r>
          </w:p>
        </w:tc>
      </w:tr>
      <w:tr>
        <w:trPr>
          <w:trHeight w:val="459"/>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38"/>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Värde Partners, L.P.,</w:t>
            </w:r>
          </w:p>
        </w:tc>
      </w:tr>
      <w:tr>
        <w:trPr>
          <w:trHeight w:val="250"/>
        </w:trPr>
        <w:tc>
          <w:tcPr>
            <w:tcW w:w="3320" w:type="dxa"/>
            <w:vAlign w:val="bottom"/>
          </w:tcPr>
          <w:p>
            <w:pPr>
              <w:spacing w:after="0"/>
              <w:rPr>
                <w:sz w:val="21"/>
                <w:szCs w:val="21"/>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Managing Member</w:t>
            </w:r>
          </w:p>
        </w:tc>
      </w:tr>
      <w:tr>
        <w:trPr>
          <w:trHeight w:val="438"/>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Värde Partners, Inc.,</w:t>
            </w:r>
          </w:p>
        </w:tc>
      </w:tr>
      <w:tr>
        <w:trPr>
          <w:trHeight w:val="250"/>
        </w:trPr>
        <w:tc>
          <w:tcPr>
            <w:tcW w:w="3320" w:type="dxa"/>
            <w:vAlign w:val="bottom"/>
          </w:tcPr>
          <w:p>
            <w:pPr>
              <w:spacing w:after="0"/>
              <w:rPr>
                <w:sz w:val="21"/>
                <w:szCs w:val="21"/>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15"/>
        </w:trPr>
        <w:tc>
          <w:tcPr>
            <w:tcW w:w="3320" w:type="dxa"/>
            <w:vAlign w:val="bottom"/>
          </w:tcPr>
          <w:p>
            <w:pPr>
              <w:spacing w:after="0"/>
              <w:rPr>
                <w:sz w:val="24"/>
                <w:szCs w:val="24"/>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By:</w:t>
            </w:r>
          </w:p>
        </w:tc>
        <w:tc>
          <w:tcPr>
            <w:tcW w:w="6100" w:type="dxa"/>
            <w:vAlign w:val="bottom"/>
            <w:gridSpan w:val="2"/>
          </w:tcPr>
          <w:p>
            <w:pPr>
              <w:spacing w:after="0"/>
              <w:rPr>
                <w:sz w:val="20"/>
                <w:szCs w:val="20"/>
                <w:color w:val="auto"/>
              </w:rPr>
            </w:pPr>
            <w:r>
              <w:rPr>
                <w:rFonts w:ascii="Arial" w:cs="Arial" w:eastAsia="Arial" w:hAnsi="Arial"/>
                <w:sz w:val="20"/>
                <w:szCs w:val="20"/>
                <w:color w:val="auto"/>
              </w:rPr>
              <w:t>/s/ David A. Marple</w:t>
            </w:r>
          </w:p>
        </w:tc>
      </w:tr>
      <w:tr>
        <w:trPr>
          <w:trHeight w:val="20"/>
        </w:trPr>
        <w:tc>
          <w:tcPr>
            <w:tcW w:w="3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233"/>
        </w:trPr>
        <w:tc>
          <w:tcPr>
            <w:tcW w:w="3320" w:type="dxa"/>
            <w:vAlign w:val="bottom"/>
          </w:tcPr>
          <w:p>
            <w:pPr>
              <w:spacing w:after="0"/>
              <w:rPr>
                <w:sz w:val="20"/>
                <w:szCs w:val="20"/>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Name: David A. Marple</w:t>
            </w:r>
          </w:p>
        </w:tc>
      </w:tr>
      <w:tr>
        <w:trPr>
          <w:trHeight w:val="250"/>
        </w:trPr>
        <w:tc>
          <w:tcPr>
            <w:tcW w:w="3320" w:type="dxa"/>
            <w:vAlign w:val="bottom"/>
          </w:tcPr>
          <w:p>
            <w:pPr>
              <w:spacing w:after="0"/>
              <w:rPr>
                <w:sz w:val="21"/>
                <w:szCs w:val="21"/>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Title:</w:t>
            </w:r>
          </w:p>
        </w:tc>
        <w:tc>
          <w:tcPr>
            <w:tcW w:w="6100" w:type="dxa"/>
            <w:vAlign w:val="bottom"/>
            <w:gridSpan w:val="2"/>
          </w:tcPr>
          <w:p>
            <w:pPr>
              <w:ind w:left="40"/>
              <w:spacing w:after="0"/>
              <w:rPr>
                <w:sz w:val="20"/>
                <w:szCs w:val="20"/>
                <w:color w:val="auto"/>
              </w:rPr>
            </w:pPr>
            <w:r>
              <w:rPr>
                <w:rFonts w:ascii="Arial" w:cs="Arial" w:eastAsia="Arial" w:hAnsi="Arial"/>
                <w:sz w:val="20"/>
                <w:szCs w:val="20"/>
                <w:color w:val="auto"/>
              </w:rPr>
              <w:t>General Counsel</w:t>
            </w:r>
          </w:p>
        </w:tc>
      </w:tr>
      <w:tr>
        <w:trPr>
          <w:trHeight w:val="408"/>
        </w:trPr>
        <w:tc>
          <w:tcPr>
            <w:tcW w:w="33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2" w:right="23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320" w:type="dxa"/>
            <w:vAlign w:val="bottom"/>
          </w:tcPr>
          <w:p>
            <w:pPr>
              <w:spacing w:after="0"/>
              <w:rPr>
                <w:sz w:val="20"/>
                <w:szCs w:val="20"/>
                <w:color w:val="auto"/>
              </w:rPr>
            </w:pPr>
            <w:r>
              <w:rPr>
                <w:rFonts w:ascii="Arial" w:cs="Arial" w:eastAsia="Arial" w:hAnsi="Arial"/>
                <w:sz w:val="20"/>
                <w:szCs w:val="20"/>
                <w:color w:val="auto"/>
              </w:rPr>
              <w:t>Date: February 20, 2020</w:t>
            </w: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VÄRDE INVESTMENT PARTNERS G.P., L.P.</w:t>
            </w:r>
          </w:p>
        </w:tc>
      </w:tr>
      <w:tr>
        <w:trPr>
          <w:trHeight w:val="459"/>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Värde Investment Partners UGP, LLC,</w:t>
            </w:r>
          </w:p>
        </w:tc>
      </w:tr>
      <w:tr>
        <w:trPr>
          <w:trHeight w:val="459"/>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38"/>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Värde Partners, L.P.,</w:t>
            </w:r>
          </w:p>
        </w:tc>
      </w:tr>
      <w:tr>
        <w:trPr>
          <w:trHeight w:val="250"/>
        </w:trPr>
        <w:tc>
          <w:tcPr>
            <w:tcW w:w="3320" w:type="dxa"/>
            <w:vAlign w:val="bottom"/>
          </w:tcPr>
          <w:p>
            <w:pPr>
              <w:spacing w:after="0"/>
              <w:rPr>
                <w:sz w:val="21"/>
                <w:szCs w:val="21"/>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Managing Member</w:t>
            </w:r>
          </w:p>
        </w:tc>
      </w:tr>
      <w:tr>
        <w:trPr>
          <w:trHeight w:val="438"/>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Värde Partners, Inc.,</w:t>
            </w:r>
          </w:p>
        </w:tc>
      </w:tr>
      <w:tr>
        <w:trPr>
          <w:trHeight w:val="250"/>
        </w:trPr>
        <w:tc>
          <w:tcPr>
            <w:tcW w:w="3320" w:type="dxa"/>
            <w:vAlign w:val="bottom"/>
          </w:tcPr>
          <w:p>
            <w:pPr>
              <w:spacing w:after="0"/>
              <w:rPr>
                <w:sz w:val="21"/>
                <w:szCs w:val="21"/>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15"/>
        </w:trPr>
        <w:tc>
          <w:tcPr>
            <w:tcW w:w="3320" w:type="dxa"/>
            <w:vAlign w:val="bottom"/>
          </w:tcPr>
          <w:p>
            <w:pPr>
              <w:spacing w:after="0"/>
              <w:rPr>
                <w:sz w:val="24"/>
                <w:szCs w:val="24"/>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By:</w:t>
            </w:r>
          </w:p>
        </w:tc>
        <w:tc>
          <w:tcPr>
            <w:tcW w:w="6100" w:type="dxa"/>
            <w:vAlign w:val="bottom"/>
            <w:gridSpan w:val="2"/>
          </w:tcPr>
          <w:p>
            <w:pPr>
              <w:spacing w:after="0"/>
              <w:rPr>
                <w:sz w:val="20"/>
                <w:szCs w:val="20"/>
                <w:color w:val="auto"/>
              </w:rPr>
            </w:pPr>
            <w:r>
              <w:rPr>
                <w:rFonts w:ascii="Arial" w:cs="Arial" w:eastAsia="Arial" w:hAnsi="Arial"/>
                <w:sz w:val="20"/>
                <w:szCs w:val="20"/>
                <w:color w:val="auto"/>
              </w:rPr>
              <w:t>/s/ David A. Marple</w:t>
            </w:r>
          </w:p>
        </w:tc>
      </w:tr>
      <w:tr>
        <w:trPr>
          <w:trHeight w:val="20"/>
        </w:trPr>
        <w:tc>
          <w:tcPr>
            <w:tcW w:w="3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233"/>
        </w:trPr>
        <w:tc>
          <w:tcPr>
            <w:tcW w:w="3320" w:type="dxa"/>
            <w:vAlign w:val="bottom"/>
          </w:tcPr>
          <w:p>
            <w:pPr>
              <w:spacing w:after="0"/>
              <w:rPr>
                <w:sz w:val="20"/>
                <w:szCs w:val="20"/>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Name: David A. Marple</w:t>
            </w:r>
          </w:p>
        </w:tc>
      </w:tr>
      <w:tr>
        <w:trPr>
          <w:trHeight w:val="250"/>
        </w:trPr>
        <w:tc>
          <w:tcPr>
            <w:tcW w:w="3320" w:type="dxa"/>
            <w:vAlign w:val="bottom"/>
          </w:tcPr>
          <w:p>
            <w:pPr>
              <w:spacing w:after="0"/>
              <w:rPr>
                <w:sz w:val="21"/>
                <w:szCs w:val="21"/>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Title:</w:t>
            </w:r>
          </w:p>
        </w:tc>
        <w:tc>
          <w:tcPr>
            <w:tcW w:w="6100" w:type="dxa"/>
            <w:vAlign w:val="bottom"/>
            <w:gridSpan w:val="2"/>
          </w:tcPr>
          <w:p>
            <w:pPr>
              <w:ind w:left="40"/>
              <w:spacing w:after="0"/>
              <w:rPr>
                <w:sz w:val="20"/>
                <w:szCs w:val="20"/>
                <w:color w:val="auto"/>
              </w:rPr>
            </w:pPr>
            <w:r>
              <w:rPr>
                <w:rFonts w:ascii="Arial" w:cs="Arial" w:eastAsia="Arial" w:hAnsi="Arial"/>
                <w:sz w:val="20"/>
                <w:szCs w:val="20"/>
                <w:color w:val="auto"/>
              </w:rPr>
              <w:t>General Counsel</w:t>
            </w:r>
          </w:p>
        </w:tc>
      </w:tr>
      <w:tr>
        <w:trPr>
          <w:trHeight w:val="459"/>
        </w:trPr>
        <w:tc>
          <w:tcPr>
            <w:tcW w:w="3320" w:type="dxa"/>
            <w:vAlign w:val="bottom"/>
          </w:tcPr>
          <w:p>
            <w:pPr>
              <w:spacing w:after="0"/>
              <w:rPr>
                <w:sz w:val="20"/>
                <w:szCs w:val="20"/>
                <w:color w:val="auto"/>
              </w:rPr>
            </w:pPr>
            <w:r>
              <w:rPr>
                <w:rFonts w:ascii="Arial" w:cs="Arial" w:eastAsia="Arial" w:hAnsi="Arial"/>
                <w:sz w:val="20"/>
                <w:szCs w:val="20"/>
                <w:color w:val="auto"/>
              </w:rPr>
              <w:t>Date: February 20, 2020</w:t>
            </w: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VÄRDE INVESTMENT PARTNERS UGP, LLC</w:t>
            </w:r>
          </w:p>
        </w:tc>
      </w:tr>
      <w:tr>
        <w:trPr>
          <w:trHeight w:val="438"/>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Värde Partners, L.P.,</w:t>
            </w:r>
          </w:p>
        </w:tc>
      </w:tr>
      <w:tr>
        <w:trPr>
          <w:trHeight w:val="250"/>
        </w:trPr>
        <w:tc>
          <w:tcPr>
            <w:tcW w:w="3320" w:type="dxa"/>
            <w:vAlign w:val="bottom"/>
          </w:tcPr>
          <w:p>
            <w:pPr>
              <w:spacing w:after="0"/>
              <w:rPr>
                <w:sz w:val="21"/>
                <w:szCs w:val="21"/>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Managing Member</w:t>
            </w:r>
          </w:p>
        </w:tc>
      </w:tr>
      <w:tr>
        <w:trPr>
          <w:trHeight w:val="438"/>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Värde Partners, Inc.,</w:t>
            </w:r>
          </w:p>
        </w:tc>
      </w:tr>
      <w:tr>
        <w:trPr>
          <w:trHeight w:val="250"/>
        </w:trPr>
        <w:tc>
          <w:tcPr>
            <w:tcW w:w="3320" w:type="dxa"/>
            <w:vAlign w:val="bottom"/>
          </w:tcPr>
          <w:p>
            <w:pPr>
              <w:spacing w:after="0"/>
              <w:rPr>
                <w:sz w:val="21"/>
                <w:szCs w:val="21"/>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15"/>
        </w:trPr>
        <w:tc>
          <w:tcPr>
            <w:tcW w:w="3320" w:type="dxa"/>
            <w:vAlign w:val="bottom"/>
          </w:tcPr>
          <w:p>
            <w:pPr>
              <w:spacing w:after="0"/>
              <w:rPr>
                <w:sz w:val="24"/>
                <w:szCs w:val="24"/>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By:</w:t>
            </w:r>
          </w:p>
        </w:tc>
        <w:tc>
          <w:tcPr>
            <w:tcW w:w="6100" w:type="dxa"/>
            <w:vAlign w:val="bottom"/>
            <w:gridSpan w:val="2"/>
          </w:tcPr>
          <w:p>
            <w:pPr>
              <w:spacing w:after="0"/>
              <w:rPr>
                <w:sz w:val="20"/>
                <w:szCs w:val="20"/>
                <w:color w:val="auto"/>
              </w:rPr>
            </w:pPr>
            <w:r>
              <w:rPr>
                <w:rFonts w:ascii="Arial" w:cs="Arial" w:eastAsia="Arial" w:hAnsi="Arial"/>
                <w:sz w:val="20"/>
                <w:szCs w:val="20"/>
                <w:color w:val="auto"/>
              </w:rPr>
              <w:t>/s/ David A. Marple</w:t>
            </w:r>
          </w:p>
        </w:tc>
      </w:tr>
      <w:tr>
        <w:trPr>
          <w:trHeight w:val="20"/>
        </w:trPr>
        <w:tc>
          <w:tcPr>
            <w:tcW w:w="3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233"/>
        </w:trPr>
        <w:tc>
          <w:tcPr>
            <w:tcW w:w="3320" w:type="dxa"/>
            <w:vAlign w:val="bottom"/>
          </w:tcPr>
          <w:p>
            <w:pPr>
              <w:spacing w:after="0"/>
              <w:rPr>
                <w:sz w:val="20"/>
                <w:szCs w:val="20"/>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Name: David A. Marple</w:t>
            </w:r>
          </w:p>
        </w:tc>
      </w:tr>
      <w:tr>
        <w:trPr>
          <w:trHeight w:val="250"/>
        </w:trPr>
        <w:tc>
          <w:tcPr>
            <w:tcW w:w="3320" w:type="dxa"/>
            <w:vAlign w:val="bottom"/>
          </w:tcPr>
          <w:p>
            <w:pPr>
              <w:spacing w:after="0"/>
              <w:rPr>
                <w:sz w:val="21"/>
                <w:szCs w:val="21"/>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Title:</w:t>
            </w:r>
          </w:p>
        </w:tc>
        <w:tc>
          <w:tcPr>
            <w:tcW w:w="6100" w:type="dxa"/>
            <w:vAlign w:val="bottom"/>
            <w:gridSpan w:val="2"/>
          </w:tcPr>
          <w:p>
            <w:pPr>
              <w:ind w:left="40"/>
              <w:spacing w:after="0"/>
              <w:rPr>
                <w:sz w:val="20"/>
                <w:szCs w:val="20"/>
                <w:color w:val="auto"/>
              </w:rPr>
            </w:pPr>
            <w:r>
              <w:rPr>
                <w:rFonts w:ascii="Arial" w:cs="Arial" w:eastAsia="Arial" w:hAnsi="Arial"/>
                <w:sz w:val="20"/>
                <w:szCs w:val="20"/>
                <w:color w:val="auto"/>
              </w:rPr>
              <w:t>General Counsel</w:t>
            </w:r>
          </w:p>
        </w:tc>
      </w:tr>
      <w:tr>
        <w:trPr>
          <w:trHeight w:val="459"/>
        </w:trPr>
        <w:tc>
          <w:tcPr>
            <w:tcW w:w="3320" w:type="dxa"/>
            <w:vAlign w:val="bottom"/>
          </w:tcPr>
          <w:p>
            <w:pPr>
              <w:spacing w:after="0"/>
              <w:rPr>
                <w:sz w:val="20"/>
                <w:szCs w:val="20"/>
                <w:color w:val="auto"/>
              </w:rPr>
            </w:pPr>
            <w:r>
              <w:rPr>
                <w:rFonts w:ascii="Arial" w:cs="Arial" w:eastAsia="Arial" w:hAnsi="Arial"/>
                <w:sz w:val="20"/>
                <w:szCs w:val="20"/>
                <w:color w:val="auto"/>
              </w:rPr>
              <w:t>Date: February 20, 2020</w:t>
            </w: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VÄRDE INVESTMENT PARTNERS (OFFSHORE) MASTER, L.P.</w:t>
            </w:r>
          </w:p>
        </w:tc>
      </w:tr>
      <w:tr>
        <w:trPr>
          <w:trHeight w:val="438"/>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Värde Investment Partners G.P., L.P.,</w:t>
            </w:r>
          </w:p>
        </w:tc>
      </w:tr>
      <w:tr>
        <w:trPr>
          <w:trHeight w:val="250"/>
        </w:trPr>
        <w:tc>
          <w:tcPr>
            <w:tcW w:w="3320" w:type="dxa"/>
            <w:vAlign w:val="bottom"/>
          </w:tcPr>
          <w:p>
            <w:pPr>
              <w:spacing w:after="0"/>
              <w:rPr>
                <w:sz w:val="21"/>
                <w:szCs w:val="21"/>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59"/>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Värde Investment Partners UGP, LLC,</w:t>
            </w:r>
          </w:p>
        </w:tc>
      </w:tr>
      <w:tr>
        <w:trPr>
          <w:trHeight w:val="459"/>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38"/>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Värde Partners, L.P.,</w:t>
            </w:r>
          </w:p>
        </w:tc>
      </w:tr>
      <w:tr>
        <w:trPr>
          <w:trHeight w:val="250"/>
        </w:trPr>
        <w:tc>
          <w:tcPr>
            <w:tcW w:w="3320" w:type="dxa"/>
            <w:vAlign w:val="bottom"/>
          </w:tcPr>
          <w:p>
            <w:pPr>
              <w:spacing w:after="0"/>
              <w:rPr>
                <w:sz w:val="21"/>
                <w:szCs w:val="21"/>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Managing Member</w:t>
            </w:r>
          </w:p>
        </w:tc>
      </w:tr>
      <w:tr>
        <w:trPr>
          <w:trHeight w:val="438"/>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Värde Partners, Inc.,</w:t>
            </w:r>
          </w:p>
        </w:tc>
      </w:tr>
      <w:tr>
        <w:trPr>
          <w:trHeight w:val="250"/>
        </w:trPr>
        <w:tc>
          <w:tcPr>
            <w:tcW w:w="3320" w:type="dxa"/>
            <w:vAlign w:val="bottom"/>
          </w:tcPr>
          <w:p>
            <w:pPr>
              <w:spacing w:after="0"/>
              <w:rPr>
                <w:sz w:val="21"/>
                <w:szCs w:val="21"/>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15"/>
        </w:trPr>
        <w:tc>
          <w:tcPr>
            <w:tcW w:w="3320" w:type="dxa"/>
            <w:vAlign w:val="bottom"/>
          </w:tcPr>
          <w:p>
            <w:pPr>
              <w:spacing w:after="0"/>
              <w:rPr>
                <w:sz w:val="24"/>
                <w:szCs w:val="24"/>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By:</w:t>
            </w:r>
          </w:p>
        </w:tc>
        <w:tc>
          <w:tcPr>
            <w:tcW w:w="6100" w:type="dxa"/>
            <w:vAlign w:val="bottom"/>
            <w:gridSpan w:val="2"/>
          </w:tcPr>
          <w:p>
            <w:pPr>
              <w:spacing w:after="0"/>
              <w:rPr>
                <w:sz w:val="20"/>
                <w:szCs w:val="20"/>
                <w:color w:val="auto"/>
              </w:rPr>
            </w:pPr>
            <w:r>
              <w:rPr>
                <w:rFonts w:ascii="Arial" w:cs="Arial" w:eastAsia="Arial" w:hAnsi="Arial"/>
                <w:sz w:val="20"/>
                <w:szCs w:val="20"/>
                <w:color w:val="auto"/>
              </w:rPr>
              <w:t>/s/ David A. Marple</w:t>
            </w:r>
          </w:p>
        </w:tc>
      </w:tr>
      <w:tr>
        <w:trPr>
          <w:trHeight w:val="20"/>
        </w:trPr>
        <w:tc>
          <w:tcPr>
            <w:tcW w:w="3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233"/>
        </w:trPr>
        <w:tc>
          <w:tcPr>
            <w:tcW w:w="3320" w:type="dxa"/>
            <w:vAlign w:val="bottom"/>
          </w:tcPr>
          <w:p>
            <w:pPr>
              <w:spacing w:after="0"/>
              <w:rPr>
                <w:sz w:val="20"/>
                <w:szCs w:val="20"/>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Name: David A. Marple</w:t>
            </w:r>
          </w:p>
        </w:tc>
      </w:tr>
      <w:tr>
        <w:trPr>
          <w:trHeight w:val="250"/>
        </w:trPr>
        <w:tc>
          <w:tcPr>
            <w:tcW w:w="3320" w:type="dxa"/>
            <w:vAlign w:val="bottom"/>
          </w:tcPr>
          <w:p>
            <w:pPr>
              <w:spacing w:after="0"/>
              <w:rPr>
                <w:sz w:val="21"/>
                <w:szCs w:val="21"/>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Title:</w:t>
            </w:r>
          </w:p>
        </w:tc>
        <w:tc>
          <w:tcPr>
            <w:tcW w:w="6100" w:type="dxa"/>
            <w:vAlign w:val="bottom"/>
            <w:gridSpan w:val="2"/>
          </w:tcPr>
          <w:p>
            <w:pPr>
              <w:ind w:left="40"/>
              <w:spacing w:after="0"/>
              <w:rPr>
                <w:sz w:val="20"/>
                <w:szCs w:val="20"/>
                <w:color w:val="auto"/>
              </w:rPr>
            </w:pPr>
            <w:r>
              <w:rPr>
                <w:rFonts w:ascii="Arial" w:cs="Arial" w:eastAsia="Arial" w:hAnsi="Arial"/>
                <w:sz w:val="20"/>
                <w:szCs w:val="20"/>
                <w:color w:val="auto"/>
              </w:rPr>
              <w:t>General Counsel</w:t>
            </w:r>
          </w:p>
        </w:tc>
      </w:tr>
      <w:tr>
        <w:trPr>
          <w:trHeight w:val="459"/>
        </w:trPr>
        <w:tc>
          <w:tcPr>
            <w:tcW w:w="3320" w:type="dxa"/>
            <w:vAlign w:val="bottom"/>
          </w:tcPr>
          <w:p>
            <w:pPr>
              <w:spacing w:after="0"/>
              <w:rPr>
                <w:sz w:val="20"/>
                <w:szCs w:val="20"/>
                <w:color w:val="auto"/>
              </w:rPr>
            </w:pPr>
            <w:r>
              <w:rPr>
                <w:rFonts w:ascii="Arial" w:cs="Arial" w:eastAsia="Arial" w:hAnsi="Arial"/>
                <w:sz w:val="20"/>
                <w:szCs w:val="20"/>
                <w:color w:val="auto"/>
              </w:rPr>
              <w:t>Date: February 20, 2020</w:t>
            </w: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THE VÄRDE SKYWAY MASTER FUND, L.P.</w:t>
            </w:r>
          </w:p>
        </w:tc>
      </w:tr>
      <w:tr>
        <w:trPr>
          <w:trHeight w:val="438"/>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The Värde Skyway Fund G.P., L.P.,</w:t>
            </w:r>
          </w:p>
        </w:tc>
      </w:tr>
      <w:tr>
        <w:trPr>
          <w:trHeight w:val="250"/>
        </w:trPr>
        <w:tc>
          <w:tcPr>
            <w:tcW w:w="3320" w:type="dxa"/>
            <w:vAlign w:val="bottom"/>
          </w:tcPr>
          <w:p>
            <w:pPr>
              <w:spacing w:after="0"/>
              <w:rPr>
                <w:sz w:val="21"/>
                <w:szCs w:val="21"/>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38"/>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The Värde Skyway Fund UGP, LLC,</w:t>
            </w:r>
          </w:p>
        </w:tc>
      </w:tr>
      <w:tr>
        <w:trPr>
          <w:trHeight w:val="250"/>
        </w:trPr>
        <w:tc>
          <w:tcPr>
            <w:tcW w:w="3320" w:type="dxa"/>
            <w:vAlign w:val="bottom"/>
          </w:tcPr>
          <w:p>
            <w:pPr>
              <w:spacing w:after="0"/>
              <w:rPr>
                <w:sz w:val="21"/>
                <w:szCs w:val="21"/>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38"/>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Värde Partners, L.P.,</w:t>
            </w:r>
          </w:p>
        </w:tc>
      </w:tr>
      <w:tr>
        <w:trPr>
          <w:trHeight w:val="250"/>
        </w:trPr>
        <w:tc>
          <w:tcPr>
            <w:tcW w:w="3320" w:type="dxa"/>
            <w:vAlign w:val="bottom"/>
          </w:tcPr>
          <w:p>
            <w:pPr>
              <w:spacing w:after="0"/>
              <w:rPr>
                <w:sz w:val="21"/>
                <w:szCs w:val="21"/>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Managing Member</w:t>
            </w:r>
          </w:p>
        </w:tc>
      </w:tr>
      <w:tr>
        <w:trPr>
          <w:trHeight w:val="438"/>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Värde Partners, Inc.,</w:t>
            </w:r>
          </w:p>
        </w:tc>
      </w:tr>
      <w:tr>
        <w:trPr>
          <w:trHeight w:val="250"/>
        </w:trPr>
        <w:tc>
          <w:tcPr>
            <w:tcW w:w="3320" w:type="dxa"/>
            <w:vAlign w:val="bottom"/>
          </w:tcPr>
          <w:p>
            <w:pPr>
              <w:spacing w:after="0"/>
              <w:rPr>
                <w:sz w:val="21"/>
                <w:szCs w:val="21"/>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15"/>
        </w:trPr>
        <w:tc>
          <w:tcPr>
            <w:tcW w:w="3320" w:type="dxa"/>
            <w:vAlign w:val="bottom"/>
          </w:tcPr>
          <w:p>
            <w:pPr>
              <w:spacing w:after="0"/>
              <w:rPr>
                <w:sz w:val="24"/>
                <w:szCs w:val="24"/>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By:</w:t>
            </w:r>
          </w:p>
        </w:tc>
        <w:tc>
          <w:tcPr>
            <w:tcW w:w="6100" w:type="dxa"/>
            <w:vAlign w:val="bottom"/>
            <w:gridSpan w:val="2"/>
          </w:tcPr>
          <w:p>
            <w:pPr>
              <w:spacing w:after="0"/>
              <w:rPr>
                <w:sz w:val="20"/>
                <w:szCs w:val="20"/>
                <w:color w:val="auto"/>
              </w:rPr>
            </w:pPr>
            <w:r>
              <w:rPr>
                <w:rFonts w:ascii="Arial" w:cs="Arial" w:eastAsia="Arial" w:hAnsi="Arial"/>
                <w:sz w:val="20"/>
                <w:szCs w:val="20"/>
                <w:color w:val="auto"/>
              </w:rPr>
              <w:t>/s/ David A. Marple</w:t>
            </w:r>
          </w:p>
        </w:tc>
      </w:tr>
      <w:tr>
        <w:trPr>
          <w:trHeight w:val="20"/>
        </w:trPr>
        <w:tc>
          <w:tcPr>
            <w:tcW w:w="3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233"/>
        </w:trPr>
        <w:tc>
          <w:tcPr>
            <w:tcW w:w="3320" w:type="dxa"/>
            <w:vAlign w:val="bottom"/>
          </w:tcPr>
          <w:p>
            <w:pPr>
              <w:spacing w:after="0"/>
              <w:rPr>
                <w:sz w:val="20"/>
                <w:szCs w:val="20"/>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Name: David A. Marple</w:t>
            </w:r>
          </w:p>
        </w:tc>
      </w:tr>
      <w:tr>
        <w:trPr>
          <w:trHeight w:val="250"/>
        </w:trPr>
        <w:tc>
          <w:tcPr>
            <w:tcW w:w="3320" w:type="dxa"/>
            <w:vAlign w:val="bottom"/>
          </w:tcPr>
          <w:p>
            <w:pPr>
              <w:spacing w:after="0"/>
              <w:rPr>
                <w:sz w:val="21"/>
                <w:szCs w:val="21"/>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Title:</w:t>
            </w:r>
          </w:p>
        </w:tc>
        <w:tc>
          <w:tcPr>
            <w:tcW w:w="6100" w:type="dxa"/>
            <w:vAlign w:val="bottom"/>
            <w:gridSpan w:val="2"/>
          </w:tcPr>
          <w:p>
            <w:pPr>
              <w:ind w:left="40"/>
              <w:spacing w:after="0"/>
              <w:rPr>
                <w:sz w:val="20"/>
                <w:szCs w:val="20"/>
                <w:color w:val="auto"/>
              </w:rPr>
            </w:pPr>
            <w:r>
              <w:rPr>
                <w:rFonts w:ascii="Arial" w:cs="Arial" w:eastAsia="Arial" w:hAnsi="Arial"/>
                <w:sz w:val="20"/>
                <w:szCs w:val="20"/>
                <w:color w:val="auto"/>
              </w:rPr>
              <w:t>General Counsel</w:t>
            </w:r>
          </w:p>
        </w:tc>
      </w:tr>
      <w:tr>
        <w:trPr>
          <w:trHeight w:val="638"/>
        </w:trPr>
        <w:tc>
          <w:tcPr>
            <w:tcW w:w="33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52" w:right="239" w:bottom="549"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320" w:type="dxa"/>
            <w:vAlign w:val="bottom"/>
          </w:tcPr>
          <w:p>
            <w:pPr>
              <w:spacing w:after="0"/>
              <w:rPr>
                <w:sz w:val="20"/>
                <w:szCs w:val="20"/>
                <w:color w:val="auto"/>
              </w:rPr>
            </w:pPr>
            <w:r>
              <w:rPr>
                <w:rFonts w:ascii="Arial" w:cs="Arial" w:eastAsia="Arial" w:hAnsi="Arial"/>
                <w:sz w:val="20"/>
                <w:szCs w:val="20"/>
                <w:color w:val="auto"/>
              </w:rPr>
              <w:t>Date: February 20, 2020</w:t>
            </w: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THE VÄRDE SKYWAY FUND G.P., L.P.</w:t>
            </w:r>
          </w:p>
        </w:tc>
      </w:tr>
      <w:tr>
        <w:trPr>
          <w:trHeight w:val="438"/>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The Värde Skyway Fund UGP, LLC,</w:t>
            </w:r>
          </w:p>
        </w:tc>
      </w:tr>
      <w:tr>
        <w:trPr>
          <w:trHeight w:val="250"/>
        </w:trPr>
        <w:tc>
          <w:tcPr>
            <w:tcW w:w="3320" w:type="dxa"/>
            <w:vAlign w:val="bottom"/>
          </w:tcPr>
          <w:p>
            <w:pPr>
              <w:spacing w:after="0"/>
              <w:rPr>
                <w:sz w:val="21"/>
                <w:szCs w:val="21"/>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38"/>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Värde Partners, L.P.,</w:t>
            </w:r>
          </w:p>
        </w:tc>
      </w:tr>
      <w:tr>
        <w:trPr>
          <w:trHeight w:val="250"/>
        </w:trPr>
        <w:tc>
          <w:tcPr>
            <w:tcW w:w="3320" w:type="dxa"/>
            <w:vAlign w:val="bottom"/>
          </w:tcPr>
          <w:p>
            <w:pPr>
              <w:spacing w:after="0"/>
              <w:rPr>
                <w:sz w:val="21"/>
                <w:szCs w:val="21"/>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Managing Member</w:t>
            </w:r>
          </w:p>
        </w:tc>
      </w:tr>
      <w:tr>
        <w:trPr>
          <w:trHeight w:val="438"/>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Värde Partners, Inc.,</w:t>
            </w:r>
          </w:p>
        </w:tc>
      </w:tr>
      <w:tr>
        <w:trPr>
          <w:trHeight w:val="250"/>
        </w:trPr>
        <w:tc>
          <w:tcPr>
            <w:tcW w:w="3320" w:type="dxa"/>
            <w:vAlign w:val="bottom"/>
          </w:tcPr>
          <w:p>
            <w:pPr>
              <w:spacing w:after="0"/>
              <w:rPr>
                <w:sz w:val="21"/>
                <w:szCs w:val="21"/>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15"/>
        </w:trPr>
        <w:tc>
          <w:tcPr>
            <w:tcW w:w="3320" w:type="dxa"/>
            <w:vAlign w:val="bottom"/>
          </w:tcPr>
          <w:p>
            <w:pPr>
              <w:spacing w:after="0"/>
              <w:rPr>
                <w:sz w:val="24"/>
                <w:szCs w:val="24"/>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By:</w:t>
            </w:r>
          </w:p>
        </w:tc>
        <w:tc>
          <w:tcPr>
            <w:tcW w:w="6100" w:type="dxa"/>
            <w:vAlign w:val="bottom"/>
            <w:gridSpan w:val="2"/>
          </w:tcPr>
          <w:p>
            <w:pPr>
              <w:spacing w:after="0"/>
              <w:rPr>
                <w:sz w:val="20"/>
                <w:szCs w:val="20"/>
                <w:color w:val="auto"/>
              </w:rPr>
            </w:pPr>
            <w:r>
              <w:rPr>
                <w:rFonts w:ascii="Arial" w:cs="Arial" w:eastAsia="Arial" w:hAnsi="Arial"/>
                <w:sz w:val="20"/>
                <w:szCs w:val="20"/>
                <w:color w:val="auto"/>
              </w:rPr>
              <w:t>/s/ David A. Marple</w:t>
            </w:r>
          </w:p>
        </w:tc>
      </w:tr>
      <w:tr>
        <w:trPr>
          <w:trHeight w:val="20"/>
        </w:trPr>
        <w:tc>
          <w:tcPr>
            <w:tcW w:w="3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233"/>
        </w:trPr>
        <w:tc>
          <w:tcPr>
            <w:tcW w:w="3320" w:type="dxa"/>
            <w:vAlign w:val="bottom"/>
          </w:tcPr>
          <w:p>
            <w:pPr>
              <w:spacing w:after="0"/>
              <w:rPr>
                <w:sz w:val="20"/>
                <w:szCs w:val="20"/>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Name: David A. Marple</w:t>
            </w:r>
          </w:p>
        </w:tc>
      </w:tr>
      <w:tr>
        <w:trPr>
          <w:trHeight w:val="250"/>
        </w:trPr>
        <w:tc>
          <w:tcPr>
            <w:tcW w:w="3320" w:type="dxa"/>
            <w:vAlign w:val="bottom"/>
          </w:tcPr>
          <w:p>
            <w:pPr>
              <w:spacing w:after="0"/>
              <w:rPr>
                <w:sz w:val="21"/>
                <w:szCs w:val="21"/>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Title:</w:t>
            </w:r>
          </w:p>
        </w:tc>
        <w:tc>
          <w:tcPr>
            <w:tcW w:w="6100" w:type="dxa"/>
            <w:vAlign w:val="bottom"/>
            <w:gridSpan w:val="2"/>
          </w:tcPr>
          <w:p>
            <w:pPr>
              <w:ind w:left="40"/>
              <w:spacing w:after="0"/>
              <w:rPr>
                <w:sz w:val="20"/>
                <w:szCs w:val="20"/>
                <w:color w:val="auto"/>
              </w:rPr>
            </w:pPr>
            <w:r>
              <w:rPr>
                <w:rFonts w:ascii="Arial" w:cs="Arial" w:eastAsia="Arial" w:hAnsi="Arial"/>
                <w:sz w:val="20"/>
                <w:szCs w:val="20"/>
                <w:color w:val="auto"/>
              </w:rPr>
              <w:t>General Counsel</w:t>
            </w:r>
          </w:p>
        </w:tc>
      </w:tr>
      <w:tr>
        <w:trPr>
          <w:trHeight w:val="473"/>
        </w:trPr>
        <w:tc>
          <w:tcPr>
            <w:tcW w:w="3320" w:type="dxa"/>
            <w:vAlign w:val="bottom"/>
          </w:tcPr>
          <w:p>
            <w:pPr>
              <w:spacing w:after="0"/>
              <w:rPr>
                <w:sz w:val="20"/>
                <w:szCs w:val="20"/>
                <w:color w:val="auto"/>
              </w:rPr>
            </w:pPr>
            <w:r>
              <w:rPr>
                <w:rFonts w:ascii="Arial" w:cs="Arial" w:eastAsia="Arial" w:hAnsi="Arial"/>
                <w:sz w:val="20"/>
                <w:szCs w:val="20"/>
                <w:color w:val="auto"/>
              </w:rPr>
              <w:t>Date: February 20, 2020</w:t>
            </w: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THE VÄRDE SKYWAY FUND UGP, LLC</w:t>
            </w:r>
          </w:p>
        </w:tc>
      </w:tr>
      <w:tr>
        <w:trPr>
          <w:trHeight w:val="438"/>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Värde Partners, L.P.,</w:t>
            </w:r>
          </w:p>
        </w:tc>
      </w:tr>
      <w:tr>
        <w:trPr>
          <w:trHeight w:val="250"/>
        </w:trPr>
        <w:tc>
          <w:tcPr>
            <w:tcW w:w="3320" w:type="dxa"/>
            <w:vAlign w:val="bottom"/>
          </w:tcPr>
          <w:p>
            <w:pPr>
              <w:spacing w:after="0"/>
              <w:rPr>
                <w:sz w:val="21"/>
                <w:szCs w:val="21"/>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Managing Member</w:t>
            </w:r>
          </w:p>
        </w:tc>
      </w:tr>
      <w:tr>
        <w:trPr>
          <w:trHeight w:val="438"/>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Värde Partners, Inc.,</w:t>
            </w:r>
          </w:p>
        </w:tc>
      </w:tr>
      <w:tr>
        <w:trPr>
          <w:trHeight w:val="250"/>
        </w:trPr>
        <w:tc>
          <w:tcPr>
            <w:tcW w:w="3320" w:type="dxa"/>
            <w:vAlign w:val="bottom"/>
          </w:tcPr>
          <w:p>
            <w:pPr>
              <w:spacing w:after="0"/>
              <w:rPr>
                <w:sz w:val="21"/>
                <w:szCs w:val="21"/>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15"/>
        </w:trPr>
        <w:tc>
          <w:tcPr>
            <w:tcW w:w="3320" w:type="dxa"/>
            <w:vAlign w:val="bottom"/>
          </w:tcPr>
          <w:p>
            <w:pPr>
              <w:spacing w:after="0"/>
              <w:rPr>
                <w:sz w:val="24"/>
                <w:szCs w:val="24"/>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By:</w:t>
            </w:r>
          </w:p>
        </w:tc>
        <w:tc>
          <w:tcPr>
            <w:tcW w:w="6100" w:type="dxa"/>
            <w:vAlign w:val="bottom"/>
            <w:gridSpan w:val="2"/>
          </w:tcPr>
          <w:p>
            <w:pPr>
              <w:spacing w:after="0"/>
              <w:rPr>
                <w:sz w:val="20"/>
                <w:szCs w:val="20"/>
                <w:color w:val="auto"/>
              </w:rPr>
            </w:pPr>
            <w:r>
              <w:rPr>
                <w:rFonts w:ascii="Arial" w:cs="Arial" w:eastAsia="Arial" w:hAnsi="Arial"/>
                <w:sz w:val="20"/>
                <w:szCs w:val="20"/>
                <w:color w:val="auto"/>
              </w:rPr>
              <w:t>/s/ David A. Marple</w:t>
            </w:r>
          </w:p>
        </w:tc>
      </w:tr>
      <w:tr>
        <w:trPr>
          <w:trHeight w:val="20"/>
        </w:trPr>
        <w:tc>
          <w:tcPr>
            <w:tcW w:w="3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233"/>
        </w:trPr>
        <w:tc>
          <w:tcPr>
            <w:tcW w:w="3320" w:type="dxa"/>
            <w:vAlign w:val="bottom"/>
          </w:tcPr>
          <w:p>
            <w:pPr>
              <w:spacing w:after="0"/>
              <w:rPr>
                <w:sz w:val="20"/>
                <w:szCs w:val="20"/>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Name: David A. Marple</w:t>
            </w:r>
          </w:p>
        </w:tc>
      </w:tr>
      <w:tr>
        <w:trPr>
          <w:trHeight w:val="250"/>
        </w:trPr>
        <w:tc>
          <w:tcPr>
            <w:tcW w:w="3320" w:type="dxa"/>
            <w:vAlign w:val="bottom"/>
          </w:tcPr>
          <w:p>
            <w:pPr>
              <w:spacing w:after="0"/>
              <w:rPr>
                <w:sz w:val="21"/>
                <w:szCs w:val="21"/>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Title:</w:t>
            </w:r>
          </w:p>
        </w:tc>
        <w:tc>
          <w:tcPr>
            <w:tcW w:w="6100" w:type="dxa"/>
            <w:vAlign w:val="bottom"/>
            <w:gridSpan w:val="2"/>
          </w:tcPr>
          <w:p>
            <w:pPr>
              <w:ind w:left="40"/>
              <w:spacing w:after="0"/>
              <w:rPr>
                <w:sz w:val="20"/>
                <w:szCs w:val="20"/>
                <w:color w:val="auto"/>
              </w:rPr>
            </w:pPr>
            <w:r>
              <w:rPr>
                <w:rFonts w:ascii="Arial" w:cs="Arial" w:eastAsia="Arial" w:hAnsi="Arial"/>
                <w:sz w:val="20"/>
                <w:szCs w:val="20"/>
                <w:color w:val="auto"/>
              </w:rPr>
              <w:t>General Counsel</w:t>
            </w:r>
          </w:p>
        </w:tc>
      </w:tr>
      <w:tr>
        <w:trPr>
          <w:trHeight w:val="459"/>
        </w:trPr>
        <w:tc>
          <w:tcPr>
            <w:tcW w:w="3320" w:type="dxa"/>
            <w:vAlign w:val="bottom"/>
          </w:tcPr>
          <w:p>
            <w:pPr>
              <w:spacing w:after="0"/>
              <w:rPr>
                <w:sz w:val="20"/>
                <w:szCs w:val="20"/>
                <w:color w:val="auto"/>
              </w:rPr>
            </w:pPr>
            <w:r>
              <w:rPr>
                <w:rFonts w:ascii="Arial" w:cs="Arial" w:eastAsia="Arial" w:hAnsi="Arial"/>
                <w:sz w:val="20"/>
                <w:szCs w:val="20"/>
                <w:color w:val="auto"/>
              </w:rPr>
              <w:t>Date: February 20, 2020</w:t>
            </w: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VÄRDE CREDIT PARTNERS MASTER, L.P.</w:t>
            </w:r>
          </w:p>
        </w:tc>
      </w:tr>
      <w:tr>
        <w:trPr>
          <w:trHeight w:val="438"/>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Värde Credit Partners G.P., L.P.,</w:t>
            </w:r>
          </w:p>
        </w:tc>
      </w:tr>
      <w:tr>
        <w:trPr>
          <w:trHeight w:val="250"/>
        </w:trPr>
        <w:tc>
          <w:tcPr>
            <w:tcW w:w="3320" w:type="dxa"/>
            <w:vAlign w:val="bottom"/>
          </w:tcPr>
          <w:p>
            <w:pPr>
              <w:spacing w:after="0"/>
              <w:rPr>
                <w:sz w:val="21"/>
                <w:szCs w:val="21"/>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38"/>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Värde Credit Partners UGP, LLC,</w:t>
            </w:r>
          </w:p>
        </w:tc>
      </w:tr>
      <w:tr>
        <w:trPr>
          <w:trHeight w:val="250"/>
        </w:trPr>
        <w:tc>
          <w:tcPr>
            <w:tcW w:w="3320" w:type="dxa"/>
            <w:vAlign w:val="bottom"/>
          </w:tcPr>
          <w:p>
            <w:pPr>
              <w:spacing w:after="0"/>
              <w:rPr>
                <w:sz w:val="21"/>
                <w:szCs w:val="21"/>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38"/>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Värde Partners, L.P.,</w:t>
            </w:r>
          </w:p>
        </w:tc>
      </w:tr>
      <w:tr>
        <w:trPr>
          <w:trHeight w:val="250"/>
        </w:trPr>
        <w:tc>
          <w:tcPr>
            <w:tcW w:w="3320" w:type="dxa"/>
            <w:vAlign w:val="bottom"/>
          </w:tcPr>
          <w:p>
            <w:pPr>
              <w:spacing w:after="0"/>
              <w:rPr>
                <w:sz w:val="21"/>
                <w:szCs w:val="21"/>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Managing Member</w:t>
            </w:r>
          </w:p>
        </w:tc>
      </w:tr>
      <w:tr>
        <w:trPr>
          <w:trHeight w:val="438"/>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Värde Partners, Inc.,</w:t>
            </w:r>
          </w:p>
        </w:tc>
      </w:tr>
      <w:tr>
        <w:trPr>
          <w:trHeight w:val="250"/>
        </w:trPr>
        <w:tc>
          <w:tcPr>
            <w:tcW w:w="3320" w:type="dxa"/>
            <w:vAlign w:val="bottom"/>
          </w:tcPr>
          <w:p>
            <w:pPr>
              <w:spacing w:after="0"/>
              <w:rPr>
                <w:sz w:val="21"/>
                <w:szCs w:val="21"/>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15"/>
        </w:trPr>
        <w:tc>
          <w:tcPr>
            <w:tcW w:w="3320" w:type="dxa"/>
            <w:vAlign w:val="bottom"/>
          </w:tcPr>
          <w:p>
            <w:pPr>
              <w:spacing w:after="0"/>
              <w:rPr>
                <w:sz w:val="24"/>
                <w:szCs w:val="24"/>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By:</w:t>
            </w:r>
          </w:p>
        </w:tc>
        <w:tc>
          <w:tcPr>
            <w:tcW w:w="6100" w:type="dxa"/>
            <w:vAlign w:val="bottom"/>
            <w:gridSpan w:val="2"/>
          </w:tcPr>
          <w:p>
            <w:pPr>
              <w:spacing w:after="0"/>
              <w:rPr>
                <w:sz w:val="20"/>
                <w:szCs w:val="20"/>
                <w:color w:val="auto"/>
              </w:rPr>
            </w:pPr>
            <w:r>
              <w:rPr>
                <w:rFonts w:ascii="Arial" w:cs="Arial" w:eastAsia="Arial" w:hAnsi="Arial"/>
                <w:sz w:val="20"/>
                <w:szCs w:val="20"/>
                <w:color w:val="auto"/>
              </w:rPr>
              <w:t>/s/ David A. Marple</w:t>
            </w:r>
          </w:p>
        </w:tc>
      </w:tr>
      <w:tr>
        <w:trPr>
          <w:trHeight w:val="20"/>
        </w:trPr>
        <w:tc>
          <w:tcPr>
            <w:tcW w:w="3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233"/>
        </w:trPr>
        <w:tc>
          <w:tcPr>
            <w:tcW w:w="3320" w:type="dxa"/>
            <w:vAlign w:val="bottom"/>
          </w:tcPr>
          <w:p>
            <w:pPr>
              <w:spacing w:after="0"/>
              <w:rPr>
                <w:sz w:val="20"/>
                <w:szCs w:val="20"/>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Name: David A. Marple</w:t>
            </w:r>
          </w:p>
        </w:tc>
      </w:tr>
      <w:tr>
        <w:trPr>
          <w:trHeight w:val="250"/>
        </w:trPr>
        <w:tc>
          <w:tcPr>
            <w:tcW w:w="3320" w:type="dxa"/>
            <w:vAlign w:val="bottom"/>
          </w:tcPr>
          <w:p>
            <w:pPr>
              <w:spacing w:after="0"/>
              <w:rPr>
                <w:sz w:val="21"/>
                <w:szCs w:val="21"/>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Title:</w:t>
            </w:r>
          </w:p>
        </w:tc>
        <w:tc>
          <w:tcPr>
            <w:tcW w:w="6100" w:type="dxa"/>
            <w:vAlign w:val="bottom"/>
            <w:gridSpan w:val="2"/>
          </w:tcPr>
          <w:p>
            <w:pPr>
              <w:ind w:left="40"/>
              <w:spacing w:after="0"/>
              <w:rPr>
                <w:sz w:val="20"/>
                <w:szCs w:val="20"/>
                <w:color w:val="auto"/>
              </w:rPr>
            </w:pPr>
            <w:r>
              <w:rPr>
                <w:rFonts w:ascii="Arial" w:cs="Arial" w:eastAsia="Arial" w:hAnsi="Arial"/>
                <w:sz w:val="20"/>
                <w:szCs w:val="20"/>
                <w:color w:val="auto"/>
              </w:rPr>
              <w:t>General Counsel</w:t>
            </w:r>
          </w:p>
        </w:tc>
      </w:tr>
      <w:tr>
        <w:trPr>
          <w:trHeight w:val="459"/>
        </w:trPr>
        <w:tc>
          <w:tcPr>
            <w:tcW w:w="3320" w:type="dxa"/>
            <w:vAlign w:val="bottom"/>
          </w:tcPr>
          <w:p>
            <w:pPr>
              <w:spacing w:after="0"/>
              <w:rPr>
                <w:sz w:val="20"/>
                <w:szCs w:val="20"/>
                <w:color w:val="auto"/>
              </w:rPr>
            </w:pPr>
            <w:r>
              <w:rPr>
                <w:rFonts w:ascii="Arial" w:cs="Arial" w:eastAsia="Arial" w:hAnsi="Arial"/>
                <w:sz w:val="20"/>
                <w:szCs w:val="20"/>
                <w:color w:val="auto"/>
              </w:rPr>
              <w:t>Date: February 20, 2020</w:t>
            </w: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VÄRDE CREDIT PARTNERS G.P., L.P.</w:t>
            </w:r>
          </w:p>
        </w:tc>
      </w:tr>
      <w:tr>
        <w:trPr>
          <w:trHeight w:val="438"/>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Värde Credit Partners UGP, LLC,</w:t>
            </w:r>
          </w:p>
        </w:tc>
      </w:tr>
      <w:tr>
        <w:trPr>
          <w:trHeight w:val="250"/>
        </w:trPr>
        <w:tc>
          <w:tcPr>
            <w:tcW w:w="3320" w:type="dxa"/>
            <w:vAlign w:val="bottom"/>
          </w:tcPr>
          <w:p>
            <w:pPr>
              <w:spacing w:after="0"/>
              <w:rPr>
                <w:sz w:val="21"/>
                <w:szCs w:val="21"/>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38"/>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Värde Partners, L.P.,</w:t>
            </w:r>
          </w:p>
        </w:tc>
      </w:tr>
      <w:tr>
        <w:trPr>
          <w:trHeight w:val="250"/>
        </w:trPr>
        <w:tc>
          <w:tcPr>
            <w:tcW w:w="3320" w:type="dxa"/>
            <w:vAlign w:val="bottom"/>
          </w:tcPr>
          <w:p>
            <w:pPr>
              <w:spacing w:after="0"/>
              <w:rPr>
                <w:sz w:val="21"/>
                <w:szCs w:val="21"/>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Managing Member</w:t>
            </w:r>
          </w:p>
        </w:tc>
      </w:tr>
      <w:tr>
        <w:trPr>
          <w:trHeight w:val="438"/>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Värde Partners, Inc.,</w:t>
            </w:r>
          </w:p>
        </w:tc>
      </w:tr>
      <w:tr>
        <w:trPr>
          <w:trHeight w:val="250"/>
        </w:trPr>
        <w:tc>
          <w:tcPr>
            <w:tcW w:w="3320" w:type="dxa"/>
            <w:vAlign w:val="bottom"/>
          </w:tcPr>
          <w:p>
            <w:pPr>
              <w:spacing w:after="0"/>
              <w:rPr>
                <w:sz w:val="21"/>
                <w:szCs w:val="21"/>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15"/>
        </w:trPr>
        <w:tc>
          <w:tcPr>
            <w:tcW w:w="3320" w:type="dxa"/>
            <w:vAlign w:val="bottom"/>
          </w:tcPr>
          <w:p>
            <w:pPr>
              <w:spacing w:after="0"/>
              <w:rPr>
                <w:sz w:val="24"/>
                <w:szCs w:val="24"/>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By:</w:t>
            </w:r>
          </w:p>
        </w:tc>
        <w:tc>
          <w:tcPr>
            <w:tcW w:w="6100" w:type="dxa"/>
            <w:vAlign w:val="bottom"/>
            <w:gridSpan w:val="2"/>
          </w:tcPr>
          <w:p>
            <w:pPr>
              <w:spacing w:after="0"/>
              <w:rPr>
                <w:sz w:val="20"/>
                <w:szCs w:val="20"/>
                <w:color w:val="auto"/>
              </w:rPr>
            </w:pPr>
            <w:r>
              <w:rPr>
                <w:rFonts w:ascii="Arial" w:cs="Arial" w:eastAsia="Arial" w:hAnsi="Arial"/>
                <w:sz w:val="20"/>
                <w:szCs w:val="20"/>
                <w:color w:val="auto"/>
              </w:rPr>
              <w:t>/s/ David A. Marple</w:t>
            </w:r>
          </w:p>
        </w:tc>
      </w:tr>
      <w:tr>
        <w:trPr>
          <w:trHeight w:val="20"/>
        </w:trPr>
        <w:tc>
          <w:tcPr>
            <w:tcW w:w="3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233"/>
        </w:trPr>
        <w:tc>
          <w:tcPr>
            <w:tcW w:w="3320" w:type="dxa"/>
            <w:vAlign w:val="bottom"/>
          </w:tcPr>
          <w:p>
            <w:pPr>
              <w:spacing w:after="0"/>
              <w:rPr>
                <w:sz w:val="20"/>
                <w:szCs w:val="20"/>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Name: David A. Marple</w:t>
            </w:r>
          </w:p>
        </w:tc>
      </w:tr>
      <w:tr>
        <w:trPr>
          <w:trHeight w:val="250"/>
        </w:trPr>
        <w:tc>
          <w:tcPr>
            <w:tcW w:w="3320" w:type="dxa"/>
            <w:vAlign w:val="bottom"/>
          </w:tcPr>
          <w:p>
            <w:pPr>
              <w:spacing w:after="0"/>
              <w:rPr>
                <w:sz w:val="21"/>
                <w:szCs w:val="21"/>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Title:</w:t>
            </w:r>
          </w:p>
        </w:tc>
        <w:tc>
          <w:tcPr>
            <w:tcW w:w="6100" w:type="dxa"/>
            <w:vAlign w:val="bottom"/>
            <w:gridSpan w:val="2"/>
          </w:tcPr>
          <w:p>
            <w:pPr>
              <w:ind w:left="40"/>
              <w:spacing w:after="0"/>
              <w:rPr>
                <w:sz w:val="20"/>
                <w:szCs w:val="20"/>
                <w:color w:val="auto"/>
              </w:rPr>
            </w:pPr>
            <w:r>
              <w:rPr>
                <w:rFonts w:ascii="Arial" w:cs="Arial" w:eastAsia="Arial" w:hAnsi="Arial"/>
                <w:sz w:val="20"/>
                <w:szCs w:val="20"/>
                <w:color w:val="auto"/>
              </w:rPr>
              <w:t>General Counsel</w:t>
            </w:r>
          </w:p>
        </w:tc>
      </w:tr>
      <w:tr>
        <w:trPr>
          <w:trHeight w:val="638"/>
        </w:trPr>
        <w:tc>
          <w:tcPr>
            <w:tcW w:w="33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52" w:right="239" w:bottom="144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320" w:type="dxa"/>
            <w:vAlign w:val="bottom"/>
          </w:tcPr>
          <w:p>
            <w:pPr>
              <w:spacing w:after="0"/>
              <w:rPr>
                <w:sz w:val="20"/>
                <w:szCs w:val="20"/>
                <w:color w:val="auto"/>
              </w:rPr>
            </w:pPr>
            <w:r>
              <w:rPr>
                <w:rFonts w:ascii="Arial" w:cs="Arial" w:eastAsia="Arial" w:hAnsi="Arial"/>
                <w:sz w:val="20"/>
                <w:szCs w:val="20"/>
                <w:color w:val="auto"/>
              </w:rPr>
              <w:t>Date: February 20, 2020</w:t>
            </w:r>
          </w:p>
        </w:tc>
        <w:tc>
          <w:tcPr>
            <w:tcW w:w="8100" w:type="dxa"/>
            <w:vAlign w:val="bottom"/>
            <w:gridSpan w:val="5"/>
          </w:tcPr>
          <w:p>
            <w:pPr>
              <w:ind w:left="1380"/>
              <w:spacing w:after="0"/>
              <w:rPr>
                <w:sz w:val="20"/>
                <w:szCs w:val="20"/>
                <w:color w:val="auto"/>
              </w:rPr>
            </w:pPr>
            <w:r>
              <w:rPr>
                <w:rFonts w:ascii="Arial" w:cs="Arial" w:eastAsia="Arial" w:hAnsi="Arial"/>
                <w:sz w:val="20"/>
                <w:szCs w:val="20"/>
                <w:color w:val="auto"/>
              </w:rPr>
              <w:t>VÄRDE CREDIT PARTNERS UGP, LLC</w:t>
            </w:r>
          </w:p>
        </w:tc>
      </w:tr>
      <w:tr>
        <w:trPr>
          <w:trHeight w:val="438"/>
        </w:trPr>
        <w:tc>
          <w:tcPr>
            <w:tcW w:w="3320" w:type="dxa"/>
            <w:vAlign w:val="bottom"/>
          </w:tcPr>
          <w:p>
            <w:pPr>
              <w:spacing w:after="0"/>
              <w:rPr>
                <w:sz w:val="24"/>
                <w:szCs w:val="24"/>
                <w:color w:val="auto"/>
              </w:rPr>
            </w:pPr>
          </w:p>
        </w:tc>
        <w:tc>
          <w:tcPr>
            <w:tcW w:w="8100" w:type="dxa"/>
            <w:vAlign w:val="bottom"/>
            <w:gridSpan w:val="5"/>
          </w:tcPr>
          <w:p>
            <w:pPr>
              <w:ind w:left="1380"/>
              <w:spacing w:after="0"/>
              <w:rPr>
                <w:sz w:val="20"/>
                <w:szCs w:val="20"/>
                <w:color w:val="auto"/>
              </w:rPr>
            </w:pPr>
            <w:r>
              <w:rPr>
                <w:rFonts w:ascii="Arial" w:cs="Arial" w:eastAsia="Arial" w:hAnsi="Arial"/>
                <w:sz w:val="20"/>
                <w:szCs w:val="20"/>
                <w:color w:val="auto"/>
              </w:rPr>
              <w:t>By: Värde Partners, L.P.,</w:t>
            </w:r>
          </w:p>
        </w:tc>
      </w:tr>
      <w:tr>
        <w:trPr>
          <w:trHeight w:val="250"/>
        </w:trPr>
        <w:tc>
          <w:tcPr>
            <w:tcW w:w="3320" w:type="dxa"/>
            <w:vAlign w:val="bottom"/>
          </w:tcPr>
          <w:p>
            <w:pPr>
              <w:spacing w:after="0"/>
              <w:rPr>
                <w:sz w:val="21"/>
                <w:szCs w:val="21"/>
                <w:color w:val="auto"/>
              </w:rPr>
            </w:pPr>
          </w:p>
        </w:tc>
        <w:tc>
          <w:tcPr>
            <w:tcW w:w="8100" w:type="dxa"/>
            <w:vAlign w:val="bottom"/>
            <w:gridSpan w:val="5"/>
          </w:tcPr>
          <w:p>
            <w:pPr>
              <w:ind w:left="1380"/>
              <w:spacing w:after="0"/>
              <w:rPr>
                <w:sz w:val="20"/>
                <w:szCs w:val="20"/>
                <w:color w:val="auto"/>
              </w:rPr>
            </w:pPr>
            <w:r>
              <w:rPr>
                <w:rFonts w:ascii="Arial" w:cs="Arial" w:eastAsia="Arial" w:hAnsi="Arial"/>
                <w:sz w:val="20"/>
                <w:szCs w:val="20"/>
                <w:color w:val="auto"/>
              </w:rPr>
              <w:t>Its Managing Member</w:t>
            </w:r>
          </w:p>
        </w:tc>
      </w:tr>
      <w:tr>
        <w:trPr>
          <w:trHeight w:val="438"/>
        </w:trPr>
        <w:tc>
          <w:tcPr>
            <w:tcW w:w="3320" w:type="dxa"/>
            <w:vAlign w:val="bottom"/>
          </w:tcPr>
          <w:p>
            <w:pPr>
              <w:spacing w:after="0"/>
              <w:rPr>
                <w:sz w:val="24"/>
                <w:szCs w:val="24"/>
                <w:color w:val="auto"/>
              </w:rPr>
            </w:pPr>
          </w:p>
        </w:tc>
        <w:tc>
          <w:tcPr>
            <w:tcW w:w="8100" w:type="dxa"/>
            <w:vAlign w:val="bottom"/>
            <w:gridSpan w:val="5"/>
          </w:tcPr>
          <w:p>
            <w:pPr>
              <w:ind w:left="1380"/>
              <w:spacing w:after="0"/>
              <w:rPr>
                <w:sz w:val="20"/>
                <w:szCs w:val="20"/>
                <w:color w:val="auto"/>
              </w:rPr>
            </w:pPr>
            <w:r>
              <w:rPr>
                <w:rFonts w:ascii="Arial" w:cs="Arial" w:eastAsia="Arial" w:hAnsi="Arial"/>
                <w:sz w:val="20"/>
                <w:szCs w:val="20"/>
                <w:color w:val="auto"/>
              </w:rPr>
              <w:t>By: Värde Partners, Inc.,</w:t>
            </w:r>
          </w:p>
        </w:tc>
      </w:tr>
      <w:tr>
        <w:trPr>
          <w:trHeight w:val="250"/>
        </w:trPr>
        <w:tc>
          <w:tcPr>
            <w:tcW w:w="3320" w:type="dxa"/>
            <w:vAlign w:val="bottom"/>
          </w:tcPr>
          <w:p>
            <w:pPr>
              <w:spacing w:after="0"/>
              <w:rPr>
                <w:sz w:val="21"/>
                <w:szCs w:val="21"/>
                <w:color w:val="auto"/>
              </w:rPr>
            </w:pPr>
          </w:p>
        </w:tc>
        <w:tc>
          <w:tcPr>
            <w:tcW w:w="8100" w:type="dxa"/>
            <w:vAlign w:val="bottom"/>
            <w:gridSpan w:val="5"/>
          </w:tcPr>
          <w:p>
            <w:pPr>
              <w:ind w:left="1380"/>
              <w:spacing w:after="0"/>
              <w:rPr>
                <w:sz w:val="20"/>
                <w:szCs w:val="20"/>
                <w:color w:val="auto"/>
              </w:rPr>
            </w:pPr>
            <w:r>
              <w:rPr>
                <w:rFonts w:ascii="Arial" w:cs="Arial" w:eastAsia="Arial" w:hAnsi="Arial"/>
                <w:sz w:val="20"/>
                <w:szCs w:val="20"/>
                <w:color w:val="auto"/>
              </w:rPr>
              <w:t>Its General Partner</w:t>
            </w:r>
          </w:p>
        </w:tc>
      </w:tr>
      <w:tr>
        <w:trPr>
          <w:trHeight w:val="415"/>
        </w:trPr>
        <w:tc>
          <w:tcPr>
            <w:tcW w:w="3320" w:type="dxa"/>
            <w:vAlign w:val="bottom"/>
          </w:tcPr>
          <w:p>
            <w:pPr>
              <w:spacing w:after="0"/>
              <w:rPr>
                <w:sz w:val="24"/>
                <w:szCs w:val="24"/>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By:</w:t>
            </w:r>
          </w:p>
        </w:tc>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3"/>
              </w:rPr>
              <w:t>/s/ David A. Marple</w:t>
            </w:r>
          </w:p>
        </w:tc>
        <w:tc>
          <w:tcPr>
            <w:tcW w:w="4500" w:type="dxa"/>
            <w:vAlign w:val="bottom"/>
            <w:gridSpan w:val="2"/>
          </w:tcPr>
          <w:p>
            <w:pPr>
              <w:spacing w:after="0"/>
              <w:rPr>
                <w:sz w:val="24"/>
                <w:szCs w:val="24"/>
                <w:color w:val="auto"/>
              </w:rPr>
            </w:pPr>
          </w:p>
        </w:tc>
      </w:tr>
      <w:tr>
        <w:trPr>
          <w:trHeight w:val="233"/>
        </w:trPr>
        <w:tc>
          <w:tcPr>
            <w:tcW w:w="3320" w:type="dxa"/>
            <w:vAlign w:val="bottom"/>
          </w:tcPr>
          <w:p>
            <w:pPr>
              <w:spacing w:after="0"/>
              <w:rPr>
                <w:sz w:val="20"/>
                <w:szCs w:val="20"/>
                <w:color w:val="auto"/>
              </w:rPr>
            </w:pPr>
          </w:p>
        </w:tc>
        <w:tc>
          <w:tcPr>
            <w:tcW w:w="8100" w:type="dxa"/>
            <w:vAlign w:val="bottom"/>
            <w:gridSpan w:val="5"/>
          </w:tcPr>
          <w:p>
            <w:pPr>
              <w:ind w:left="1380"/>
              <w:spacing w:after="0"/>
              <w:rPr>
                <w:sz w:val="20"/>
                <w:szCs w:val="20"/>
                <w:color w:val="auto"/>
              </w:rPr>
            </w:pPr>
            <w:r>
              <w:rPr>
                <w:rFonts w:ascii="Arial" w:cs="Arial" w:eastAsia="Arial" w:hAnsi="Arial"/>
                <w:sz w:val="20"/>
                <w:szCs w:val="20"/>
                <w:color w:val="auto"/>
              </w:rPr>
              <w:t>Name: David A. Marple</w:t>
            </w:r>
          </w:p>
        </w:tc>
      </w:tr>
      <w:tr>
        <w:trPr>
          <w:trHeight w:val="250"/>
        </w:trPr>
        <w:tc>
          <w:tcPr>
            <w:tcW w:w="3320" w:type="dxa"/>
            <w:vAlign w:val="bottom"/>
          </w:tcPr>
          <w:p>
            <w:pPr>
              <w:spacing w:after="0"/>
              <w:rPr>
                <w:sz w:val="21"/>
                <w:szCs w:val="21"/>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Title:</w:t>
            </w:r>
          </w:p>
        </w:tc>
        <w:tc>
          <w:tcPr>
            <w:tcW w:w="6100" w:type="dxa"/>
            <w:vAlign w:val="bottom"/>
            <w:gridSpan w:val="4"/>
          </w:tcPr>
          <w:p>
            <w:pPr>
              <w:ind w:left="40"/>
              <w:spacing w:after="0"/>
              <w:rPr>
                <w:sz w:val="20"/>
                <w:szCs w:val="20"/>
                <w:color w:val="auto"/>
              </w:rPr>
            </w:pPr>
            <w:r>
              <w:rPr>
                <w:rFonts w:ascii="Arial" w:cs="Arial" w:eastAsia="Arial" w:hAnsi="Arial"/>
                <w:sz w:val="20"/>
                <w:szCs w:val="20"/>
                <w:color w:val="auto"/>
              </w:rPr>
              <w:t>General Counsel</w:t>
            </w:r>
          </w:p>
        </w:tc>
      </w:tr>
      <w:tr>
        <w:trPr>
          <w:trHeight w:val="459"/>
        </w:trPr>
        <w:tc>
          <w:tcPr>
            <w:tcW w:w="3320" w:type="dxa"/>
            <w:vAlign w:val="bottom"/>
          </w:tcPr>
          <w:p>
            <w:pPr>
              <w:spacing w:after="0"/>
              <w:rPr>
                <w:sz w:val="20"/>
                <w:szCs w:val="20"/>
                <w:color w:val="auto"/>
              </w:rPr>
            </w:pPr>
            <w:r>
              <w:rPr>
                <w:rFonts w:ascii="Arial" w:cs="Arial" w:eastAsia="Arial" w:hAnsi="Arial"/>
                <w:sz w:val="20"/>
                <w:szCs w:val="20"/>
                <w:color w:val="auto"/>
              </w:rPr>
              <w:t>Date: February 20, 2020</w:t>
            </w:r>
          </w:p>
        </w:tc>
        <w:tc>
          <w:tcPr>
            <w:tcW w:w="8100" w:type="dxa"/>
            <w:vAlign w:val="bottom"/>
            <w:gridSpan w:val="5"/>
          </w:tcPr>
          <w:p>
            <w:pPr>
              <w:ind w:left="1380"/>
              <w:spacing w:after="0"/>
              <w:rPr>
                <w:sz w:val="20"/>
                <w:szCs w:val="20"/>
                <w:color w:val="auto"/>
              </w:rPr>
            </w:pPr>
            <w:r>
              <w:rPr>
                <w:rFonts w:ascii="Arial" w:cs="Arial" w:eastAsia="Arial" w:hAnsi="Arial"/>
                <w:sz w:val="20"/>
                <w:szCs w:val="20"/>
                <w:color w:val="auto"/>
              </w:rPr>
              <w:t>VÄRDE INVESTMENT PARTNERS, L.P.</w:t>
            </w:r>
          </w:p>
        </w:tc>
      </w:tr>
      <w:tr>
        <w:trPr>
          <w:trHeight w:val="438"/>
        </w:trPr>
        <w:tc>
          <w:tcPr>
            <w:tcW w:w="3320" w:type="dxa"/>
            <w:vAlign w:val="bottom"/>
          </w:tcPr>
          <w:p>
            <w:pPr>
              <w:spacing w:after="0"/>
              <w:rPr>
                <w:sz w:val="24"/>
                <w:szCs w:val="24"/>
                <w:color w:val="auto"/>
              </w:rPr>
            </w:pPr>
          </w:p>
        </w:tc>
        <w:tc>
          <w:tcPr>
            <w:tcW w:w="8100" w:type="dxa"/>
            <w:vAlign w:val="bottom"/>
            <w:gridSpan w:val="5"/>
          </w:tcPr>
          <w:p>
            <w:pPr>
              <w:ind w:left="1380"/>
              <w:spacing w:after="0"/>
              <w:rPr>
                <w:sz w:val="20"/>
                <w:szCs w:val="20"/>
                <w:color w:val="auto"/>
              </w:rPr>
            </w:pPr>
            <w:r>
              <w:rPr>
                <w:rFonts w:ascii="Arial" w:cs="Arial" w:eastAsia="Arial" w:hAnsi="Arial"/>
                <w:sz w:val="20"/>
                <w:szCs w:val="20"/>
                <w:color w:val="auto"/>
              </w:rPr>
              <w:t>By: Värde Investment Partners G.P., L.P.,</w:t>
            </w:r>
          </w:p>
        </w:tc>
      </w:tr>
      <w:tr>
        <w:trPr>
          <w:trHeight w:val="250"/>
        </w:trPr>
        <w:tc>
          <w:tcPr>
            <w:tcW w:w="3320" w:type="dxa"/>
            <w:vAlign w:val="bottom"/>
          </w:tcPr>
          <w:p>
            <w:pPr>
              <w:spacing w:after="0"/>
              <w:rPr>
                <w:sz w:val="21"/>
                <w:szCs w:val="21"/>
                <w:color w:val="auto"/>
              </w:rPr>
            </w:pPr>
          </w:p>
        </w:tc>
        <w:tc>
          <w:tcPr>
            <w:tcW w:w="8100" w:type="dxa"/>
            <w:vAlign w:val="bottom"/>
            <w:gridSpan w:val="5"/>
          </w:tcPr>
          <w:p>
            <w:pPr>
              <w:ind w:left="1380"/>
              <w:spacing w:after="0"/>
              <w:rPr>
                <w:sz w:val="20"/>
                <w:szCs w:val="20"/>
                <w:color w:val="auto"/>
              </w:rPr>
            </w:pPr>
            <w:r>
              <w:rPr>
                <w:rFonts w:ascii="Arial" w:cs="Arial" w:eastAsia="Arial" w:hAnsi="Arial"/>
                <w:sz w:val="20"/>
                <w:szCs w:val="20"/>
                <w:color w:val="auto"/>
              </w:rPr>
              <w:t>Its General Partner</w:t>
            </w:r>
          </w:p>
        </w:tc>
      </w:tr>
      <w:tr>
        <w:trPr>
          <w:trHeight w:val="459"/>
        </w:trPr>
        <w:tc>
          <w:tcPr>
            <w:tcW w:w="3320" w:type="dxa"/>
            <w:vAlign w:val="bottom"/>
          </w:tcPr>
          <w:p>
            <w:pPr>
              <w:spacing w:after="0"/>
              <w:rPr>
                <w:sz w:val="24"/>
                <w:szCs w:val="24"/>
                <w:color w:val="auto"/>
              </w:rPr>
            </w:pPr>
          </w:p>
        </w:tc>
        <w:tc>
          <w:tcPr>
            <w:tcW w:w="8100" w:type="dxa"/>
            <w:vAlign w:val="bottom"/>
            <w:gridSpan w:val="5"/>
          </w:tcPr>
          <w:p>
            <w:pPr>
              <w:ind w:left="1380"/>
              <w:spacing w:after="0"/>
              <w:rPr>
                <w:sz w:val="20"/>
                <w:szCs w:val="20"/>
                <w:color w:val="auto"/>
              </w:rPr>
            </w:pPr>
            <w:r>
              <w:rPr>
                <w:rFonts w:ascii="Arial" w:cs="Arial" w:eastAsia="Arial" w:hAnsi="Arial"/>
                <w:sz w:val="20"/>
                <w:szCs w:val="20"/>
                <w:color w:val="auto"/>
              </w:rPr>
              <w:t>By: Värde Investment Partners UGP, LLC,</w:t>
            </w:r>
          </w:p>
        </w:tc>
      </w:tr>
      <w:tr>
        <w:trPr>
          <w:trHeight w:val="459"/>
        </w:trPr>
        <w:tc>
          <w:tcPr>
            <w:tcW w:w="3320" w:type="dxa"/>
            <w:vAlign w:val="bottom"/>
          </w:tcPr>
          <w:p>
            <w:pPr>
              <w:spacing w:after="0"/>
              <w:rPr>
                <w:sz w:val="24"/>
                <w:szCs w:val="24"/>
                <w:color w:val="auto"/>
              </w:rPr>
            </w:pPr>
          </w:p>
        </w:tc>
        <w:tc>
          <w:tcPr>
            <w:tcW w:w="8100" w:type="dxa"/>
            <w:vAlign w:val="bottom"/>
            <w:gridSpan w:val="5"/>
          </w:tcPr>
          <w:p>
            <w:pPr>
              <w:ind w:left="1380"/>
              <w:spacing w:after="0"/>
              <w:rPr>
                <w:sz w:val="20"/>
                <w:szCs w:val="20"/>
                <w:color w:val="auto"/>
              </w:rPr>
            </w:pPr>
            <w:r>
              <w:rPr>
                <w:rFonts w:ascii="Arial" w:cs="Arial" w:eastAsia="Arial" w:hAnsi="Arial"/>
                <w:sz w:val="20"/>
                <w:szCs w:val="20"/>
                <w:color w:val="auto"/>
              </w:rPr>
              <w:t>its General Partner</w:t>
            </w:r>
          </w:p>
        </w:tc>
      </w:tr>
      <w:tr>
        <w:trPr>
          <w:trHeight w:val="438"/>
        </w:trPr>
        <w:tc>
          <w:tcPr>
            <w:tcW w:w="3320" w:type="dxa"/>
            <w:vAlign w:val="bottom"/>
          </w:tcPr>
          <w:p>
            <w:pPr>
              <w:spacing w:after="0"/>
              <w:rPr>
                <w:sz w:val="24"/>
                <w:szCs w:val="24"/>
                <w:color w:val="auto"/>
              </w:rPr>
            </w:pPr>
          </w:p>
        </w:tc>
        <w:tc>
          <w:tcPr>
            <w:tcW w:w="8100" w:type="dxa"/>
            <w:vAlign w:val="bottom"/>
            <w:gridSpan w:val="5"/>
          </w:tcPr>
          <w:p>
            <w:pPr>
              <w:ind w:left="1380"/>
              <w:spacing w:after="0"/>
              <w:rPr>
                <w:sz w:val="20"/>
                <w:szCs w:val="20"/>
                <w:color w:val="auto"/>
              </w:rPr>
            </w:pPr>
            <w:r>
              <w:rPr>
                <w:rFonts w:ascii="Arial" w:cs="Arial" w:eastAsia="Arial" w:hAnsi="Arial"/>
                <w:sz w:val="20"/>
                <w:szCs w:val="20"/>
                <w:color w:val="auto"/>
              </w:rPr>
              <w:t>By: Värde Partners, L.P.,</w:t>
            </w:r>
          </w:p>
        </w:tc>
      </w:tr>
      <w:tr>
        <w:trPr>
          <w:trHeight w:val="250"/>
        </w:trPr>
        <w:tc>
          <w:tcPr>
            <w:tcW w:w="3320" w:type="dxa"/>
            <w:vAlign w:val="bottom"/>
          </w:tcPr>
          <w:p>
            <w:pPr>
              <w:spacing w:after="0"/>
              <w:rPr>
                <w:sz w:val="21"/>
                <w:szCs w:val="21"/>
                <w:color w:val="auto"/>
              </w:rPr>
            </w:pPr>
          </w:p>
        </w:tc>
        <w:tc>
          <w:tcPr>
            <w:tcW w:w="8100" w:type="dxa"/>
            <w:vAlign w:val="bottom"/>
            <w:gridSpan w:val="5"/>
          </w:tcPr>
          <w:p>
            <w:pPr>
              <w:ind w:left="1380"/>
              <w:spacing w:after="0"/>
              <w:rPr>
                <w:sz w:val="20"/>
                <w:szCs w:val="20"/>
                <w:color w:val="auto"/>
              </w:rPr>
            </w:pPr>
            <w:r>
              <w:rPr>
                <w:rFonts w:ascii="Arial" w:cs="Arial" w:eastAsia="Arial" w:hAnsi="Arial"/>
                <w:sz w:val="20"/>
                <w:szCs w:val="20"/>
                <w:color w:val="auto"/>
              </w:rPr>
              <w:t>Its Managing Member</w:t>
            </w:r>
          </w:p>
        </w:tc>
      </w:tr>
      <w:tr>
        <w:trPr>
          <w:trHeight w:val="438"/>
        </w:trPr>
        <w:tc>
          <w:tcPr>
            <w:tcW w:w="3320" w:type="dxa"/>
            <w:vAlign w:val="bottom"/>
          </w:tcPr>
          <w:p>
            <w:pPr>
              <w:spacing w:after="0"/>
              <w:rPr>
                <w:sz w:val="24"/>
                <w:szCs w:val="24"/>
                <w:color w:val="auto"/>
              </w:rPr>
            </w:pPr>
          </w:p>
        </w:tc>
        <w:tc>
          <w:tcPr>
            <w:tcW w:w="8100" w:type="dxa"/>
            <w:vAlign w:val="bottom"/>
            <w:gridSpan w:val="5"/>
          </w:tcPr>
          <w:p>
            <w:pPr>
              <w:ind w:left="1380"/>
              <w:spacing w:after="0"/>
              <w:rPr>
                <w:sz w:val="20"/>
                <w:szCs w:val="20"/>
                <w:color w:val="auto"/>
              </w:rPr>
            </w:pPr>
            <w:r>
              <w:rPr>
                <w:rFonts w:ascii="Arial" w:cs="Arial" w:eastAsia="Arial" w:hAnsi="Arial"/>
                <w:sz w:val="20"/>
                <w:szCs w:val="20"/>
                <w:color w:val="auto"/>
              </w:rPr>
              <w:t>By: Värde Partners, Inc.,</w:t>
            </w:r>
          </w:p>
        </w:tc>
      </w:tr>
      <w:tr>
        <w:trPr>
          <w:trHeight w:val="250"/>
        </w:trPr>
        <w:tc>
          <w:tcPr>
            <w:tcW w:w="3320" w:type="dxa"/>
            <w:vAlign w:val="bottom"/>
          </w:tcPr>
          <w:p>
            <w:pPr>
              <w:spacing w:after="0"/>
              <w:rPr>
                <w:sz w:val="21"/>
                <w:szCs w:val="21"/>
                <w:color w:val="auto"/>
              </w:rPr>
            </w:pPr>
          </w:p>
        </w:tc>
        <w:tc>
          <w:tcPr>
            <w:tcW w:w="8100" w:type="dxa"/>
            <w:vAlign w:val="bottom"/>
            <w:gridSpan w:val="5"/>
          </w:tcPr>
          <w:p>
            <w:pPr>
              <w:ind w:left="1380"/>
              <w:spacing w:after="0"/>
              <w:rPr>
                <w:sz w:val="20"/>
                <w:szCs w:val="20"/>
                <w:color w:val="auto"/>
              </w:rPr>
            </w:pPr>
            <w:r>
              <w:rPr>
                <w:rFonts w:ascii="Arial" w:cs="Arial" w:eastAsia="Arial" w:hAnsi="Arial"/>
                <w:sz w:val="20"/>
                <w:szCs w:val="20"/>
                <w:color w:val="auto"/>
              </w:rPr>
              <w:t>Its General Partner</w:t>
            </w:r>
          </w:p>
        </w:tc>
      </w:tr>
      <w:tr>
        <w:trPr>
          <w:trHeight w:val="415"/>
        </w:trPr>
        <w:tc>
          <w:tcPr>
            <w:tcW w:w="3320" w:type="dxa"/>
            <w:vAlign w:val="bottom"/>
          </w:tcPr>
          <w:p>
            <w:pPr>
              <w:spacing w:after="0"/>
              <w:rPr>
                <w:sz w:val="24"/>
                <w:szCs w:val="24"/>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By:</w:t>
            </w:r>
          </w:p>
        </w:tc>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3"/>
              </w:rPr>
              <w:t>/s/ David A. Marple</w:t>
            </w:r>
          </w:p>
        </w:tc>
        <w:tc>
          <w:tcPr>
            <w:tcW w:w="4500" w:type="dxa"/>
            <w:vAlign w:val="bottom"/>
            <w:gridSpan w:val="2"/>
          </w:tcPr>
          <w:p>
            <w:pPr>
              <w:spacing w:after="0"/>
              <w:rPr>
                <w:sz w:val="24"/>
                <w:szCs w:val="24"/>
                <w:color w:val="auto"/>
              </w:rPr>
            </w:pPr>
          </w:p>
        </w:tc>
      </w:tr>
      <w:tr>
        <w:trPr>
          <w:trHeight w:val="233"/>
        </w:trPr>
        <w:tc>
          <w:tcPr>
            <w:tcW w:w="3320" w:type="dxa"/>
            <w:vAlign w:val="bottom"/>
          </w:tcPr>
          <w:p>
            <w:pPr>
              <w:spacing w:after="0"/>
              <w:rPr>
                <w:sz w:val="20"/>
                <w:szCs w:val="20"/>
                <w:color w:val="auto"/>
              </w:rPr>
            </w:pPr>
          </w:p>
        </w:tc>
        <w:tc>
          <w:tcPr>
            <w:tcW w:w="8100" w:type="dxa"/>
            <w:vAlign w:val="bottom"/>
            <w:gridSpan w:val="5"/>
          </w:tcPr>
          <w:p>
            <w:pPr>
              <w:ind w:left="1380"/>
              <w:spacing w:after="0"/>
              <w:rPr>
                <w:sz w:val="20"/>
                <w:szCs w:val="20"/>
                <w:color w:val="auto"/>
              </w:rPr>
            </w:pPr>
            <w:r>
              <w:rPr>
                <w:rFonts w:ascii="Arial" w:cs="Arial" w:eastAsia="Arial" w:hAnsi="Arial"/>
                <w:sz w:val="20"/>
                <w:szCs w:val="20"/>
                <w:color w:val="auto"/>
              </w:rPr>
              <w:t>Name: David A. Marple</w:t>
            </w:r>
          </w:p>
        </w:tc>
      </w:tr>
      <w:tr>
        <w:trPr>
          <w:trHeight w:val="250"/>
        </w:trPr>
        <w:tc>
          <w:tcPr>
            <w:tcW w:w="3320" w:type="dxa"/>
            <w:vAlign w:val="bottom"/>
          </w:tcPr>
          <w:p>
            <w:pPr>
              <w:spacing w:after="0"/>
              <w:rPr>
                <w:sz w:val="21"/>
                <w:szCs w:val="21"/>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Title:</w:t>
            </w:r>
          </w:p>
        </w:tc>
        <w:tc>
          <w:tcPr>
            <w:tcW w:w="6100" w:type="dxa"/>
            <w:vAlign w:val="bottom"/>
            <w:gridSpan w:val="4"/>
          </w:tcPr>
          <w:p>
            <w:pPr>
              <w:ind w:left="40"/>
              <w:spacing w:after="0"/>
              <w:rPr>
                <w:sz w:val="20"/>
                <w:szCs w:val="20"/>
                <w:color w:val="auto"/>
              </w:rPr>
            </w:pPr>
            <w:r>
              <w:rPr>
                <w:rFonts w:ascii="Arial" w:cs="Arial" w:eastAsia="Arial" w:hAnsi="Arial"/>
                <w:sz w:val="20"/>
                <w:szCs w:val="20"/>
                <w:color w:val="auto"/>
              </w:rPr>
              <w:t>General Counsel</w:t>
            </w:r>
          </w:p>
        </w:tc>
      </w:tr>
      <w:tr>
        <w:trPr>
          <w:trHeight w:val="459"/>
        </w:trPr>
        <w:tc>
          <w:tcPr>
            <w:tcW w:w="3320" w:type="dxa"/>
            <w:vAlign w:val="bottom"/>
          </w:tcPr>
          <w:p>
            <w:pPr>
              <w:spacing w:after="0"/>
              <w:rPr>
                <w:sz w:val="20"/>
                <w:szCs w:val="20"/>
                <w:color w:val="auto"/>
              </w:rPr>
            </w:pPr>
            <w:r>
              <w:rPr>
                <w:rFonts w:ascii="Arial" w:cs="Arial" w:eastAsia="Arial" w:hAnsi="Arial"/>
                <w:sz w:val="20"/>
                <w:szCs w:val="20"/>
                <w:color w:val="auto"/>
              </w:rPr>
              <w:t>Date: February 20, 2020</w:t>
            </w:r>
          </w:p>
        </w:tc>
        <w:tc>
          <w:tcPr>
            <w:tcW w:w="8100" w:type="dxa"/>
            <w:vAlign w:val="bottom"/>
            <w:gridSpan w:val="5"/>
          </w:tcPr>
          <w:p>
            <w:pPr>
              <w:ind w:left="1380"/>
              <w:spacing w:after="0"/>
              <w:rPr>
                <w:sz w:val="20"/>
                <w:szCs w:val="20"/>
                <w:color w:val="auto"/>
              </w:rPr>
            </w:pPr>
            <w:r>
              <w:rPr>
                <w:rFonts w:ascii="Arial" w:cs="Arial" w:eastAsia="Arial" w:hAnsi="Arial"/>
                <w:sz w:val="20"/>
                <w:szCs w:val="20"/>
                <w:color w:val="auto"/>
              </w:rPr>
              <w:t>VÄRDE PARTNERS, L.P.</w:t>
            </w:r>
          </w:p>
        </w:tc>
      </w:tr>
      <w:tr>
        <w:trPr>
          <w:trHeight w:val="438"/>
        </w:trPr>
        <w:tc>
          <w:tcPr>
            <w:tcW w:w="3320" w:type="dxa"/>
            <w:vAlign w:val="bottom"/>
          </w:tcPr>
          <w:p>
            <w:pPr>
              <w:spacing w:after="0"/>
              <w:rPr>
                <w:sz w:val="24"/>
                <w:szCs w:val="24"/>
                <w:color w:val="auto"/>
              </w:rPr>
            </w:pPr>
          </w:p>
        </w:tc>
        <w:tc>
          <w:tcPr>
            <w:tcW w:w="8100" w:type="dxa"/>
            <w:vAlign w:val="bottom"/>
            <w:gridSpan w:val="5"/>
          </w:tcPr>
          <w:p>
            <w:pPr>
              <w:ind w:left="1380"/>
              <w:spacing w:after="0"/>
              <w:rPr>
                <w:sz w:val="20"/>
                <w:szCs w:val="20"/>
                <w:color w:val="auto"/>
              </w:rPr>
            </w:pPr>
            <w:r>
              <w:rPr>
                <w:rFonts w:ascii="Arial" w:cs="Arial" w:eastAsia="Arial" w:hAnsi="Arial"/>
                <w:sz w:val="20"/>
                <w:szCs w:val="20"/>
                <w:color w:val="auto"/>
              </w:rPr>
              <w:t>By: Värde Partners, Inc.,</w:t>
            </w:r>
          </w:p>
        </w:tc>
      </w:tr>
      <w:tr>
        <w:trPr>
          <w:trHeight w:val="250"/>
        </w:trPr>
        <w:tc>
          <w:tcPr>
            <w:tcW w:w="3320" w:type="dxa"/>
            <w:vAlign w:val="bottom"/>
          </w:tcPr>
          <w:p>
            <w:pPr>
              <w:spacing w:after="0"/>
              <w:rPr>
                <w:sz w:val="21"/>
                <w:szCs w:val="21"/>
                <w:color w:val="auto"/>
              </w:rPr>
            </w:pPr>
          </w:p>
        </w:tc>
        <w:tc>
          <w:tcPr>
            <w:tcW w:w="8100" w:type="dxa"/>
            <w:vAlign w:val="bottom"/>
            <w:gridSpan w:val="5"/>
          </w:tcPr>
          <w:p>
            <w:pPr>
              <w:ind w:left="1380"/>
              <w:spacing w:after="0"/>
              <w:rPr>
                <w:sz w:val="20"/>
                <w:szCs w:val="20"/>
                <w:color w:val="auto"/>
              </w:rPr>
            </w:pPr>
            <w:r>
              <w:rPr>
                <w:rFonts w:ascii="Arial" w:cs="Arial" w:eastAsia="Arial" w:hAnsi="Arial"/>
                <w:sz w:val="20"/>
                <w:szCs w:val="20"/>
                <w:color w:val="auto"/>
              </w:rPr>
              <w:t>Its General Partner</w:t>
            </w:r>
          </w:p>
        </w:tc>
      </w:tr>
      <w:tr>
        <w:trPr>
          <w:trHeight w:val="415"/>
        </w:trPr>
        <w:tc>
          <w:tcPr>
            <w:tcW w:w="3320" w:type="dxa"/>
            <w:vAlign w:val="bottom"/>
          </w:tcPr>
          <w:p>
            <w:pPr>
              <w:spacing w:after="0"/>
              <w:rPr>
                <w:sz w:val="24"/>
                <w:szCs w:val="24"/>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By:</w:t>
            </w:r>
          </w:p>
        </w:tc>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3"/>
              </w:rPr>
              <w:t>/s/ David A. Marple</w:t>
            </w:r>
          </w:p>
        </w:tc>
        <w:tc>
          <w:tcPr>
            <w:tcW w:w="4500" w:type="dxa"/>
            <w:vAlign w:val="bottom"/>
            <w:gridSpan w:val="2"/>
          </w:tcPr>
          <w:p>
            <w:pPr>
              <w:spacing w:after="0"/>
              <w:rPr>
                <w:sz w:val="24"/>
                <w:szCs w:val="24"/>
                <w:color w:val="auto"/>
              </w:rPr>
            </w:pPr>
          </w:p>
        </w:tc>
      </w:tr>
      <w:tr>
        <w:trPr>
          <w:trHeight w:val="233"/>
        </w:trPr>
        <w:tc>
          <w:tcPr>
            <w:tcW w:w="3320" w:type="dxa"/>
            <w:vAlign w:val="bottom"/>
          </w:tcPr>
          <w:p>
            <w:pPr>
              <w:spacing w:after="0"/>
              <w:rPr>
                <w:sz w:val="20"/>
                <w:szCs w:val="20"/>
                <w:color w:val="auto"/>
              </w:rPr>
            </w:pPr>
          </w:p>
        </w:tc>
        <w:tc>
          <w:tcPr>
            <w:tcW w:w="8100" w:type="dxa"/>
            <w:vAlign w:val="bottom"/>
            <w:gridSpan w:val="5"/>
          </w:tcPr>
          <w:p>
            <w:pPr>
              <w:ind w:left="1380"/>
              <w:spacing w:after="0"/>
              <w:rPr>
                <w:sz w:val="20"/>
                <w:szCs w:val="20"/>
                <w:color w:val="auto"/>
              </w:rPr>
            </w:pPr>
            <w:r>
              <w:rPr>
                <w:rFonts w:ascii="Arial" w:cs="Arial" w:eastAsia="Arial" w:hAnsi="Arial"/>
                <w:sz w:val="20"/>
                <w:szCs w:val="20"/>
                <w:color w:val="auto"/>
              </w:rPr>
              <w:t>Name: David A. Marple</w:t>
            </w:r>
          </w:p>
        </w:tc>
      </w:tr>
      <w:tr>
        <w:trPr>
          <w:trHeight w:val="250"/>
        </w:trPr>
        <w:tc>
          <w:tcPr>
            <w:tcW w:w="3320" w:type="dxa"/>
            <w:vAlign w:val="bottom"/>
          </w:tcPr>
          <w:p>
            <w:pPr>
              <w:spacing w:after="0"/>
              <w:rPr>
                <w:sz w:val="21"/>
                <w:szCs w:val="21"/>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Title:</w:t>
            </w:r>
          </w:p>
        </w:tc>
        <w:tc>
          <w:tcPr>
            <w:tcW w:w="6100" w:type="dxa"/>
            <w:vAlign w:val="bottom"/>
            <w:gridSpan w:val="4"/>
          </w:tcPr>
          <w:p>
            <w:pPr>
              <w:ind w:left="40"/>
              <w:spacing w:after="0"/>
              <w:rPr>
                <w:sz w:val="20"/>
                <w:szCs w:val="20"/>
                <w:color w:val="auto"/>
              </w:rPr>
            </w:pPr>
            <w:r>
              <w:rPr>
                <w:rFonts w:ascii="Arial" w:cs="Arial" w:eastAsia="Arial" w:hAnsi="Arial"/>
                <w:sz w:val="20"/>
                <w:szCs w:val="20"/>
                <w:color w:val="auto"/>
              </w:rPr>
              <w:t>General Counsel</w:t>
            </w:r>
          </w:p>
        </w:tc>
      </w:tr>
      <w:tr>
        <w:trPr>
          <w:trHeight w:val="473"/>
        </w:trPr>
        <w:tc>
          <w:tcPr>
            <w:tcW w:w="3320" w:type="dxa"/>
            <w:vAlign w:val="bottom"/>
          </w:tcPr>
          <w:p>
            <w:pPr>
              <w:spacing w:after="0"/>
              <w:rPr>
                <w:sz w:val="20"/>
                <w:szCs w:val="20"/>
                <w:color w:val="auto"/>
              </w:rPr>
            </w:pPr>
            <w:r>
              <w:rPr>
                <w:rFonts w:ascii="Arial" w:cs="Arial" w:eastAsia="Arial" w:hAnsi="Arial"/>
                <w:sz w:val="20"/>
                <w:szCs w:val="20"/>
                <w:color w:val="auto"/>
              </w:rPr>
              <w:t>Date: February 20, 2020</w:t>
            </w:r>
          </w:p>
        </w:tc>
        <w:tc>
          <w:tcPr>
            <w:tcW w:w="8100" w:type="dxa"/>
            <w:vAlign w:val="bottom"/>
            <w:gridSpan w:val="5"/>
          </w:tcPr>
          <w:p>
            <w:pPr>
              <w:ind w:left="1380"/>
              <w:spacing w:after="0"/>
              <w:rPr>
                <w:sz w:val="20"/>
                <w:szCs w:val="20"/>
                <w:color w:val="auto"/>
              </w:rPr>
            </w:pPr>
            <w:r>
              <w:rPr>
                <w:rFonts w:ascii="Arial" w:cs="Arial" w:eastAsia="Arial" w:hAnsi="Arial"/>
                <w:sz w:val="20"/>
                <w:szCs w:val="20"/>
                <w:color w:val="auto"/>
              </w:rPr>
              <w:t>VÄRDE PARTNERS, INC.</w:t>
            </w:r>
          </w:p>
        </w:tc>
      </w:tr>
      <w:tr>
        <w:trPr>
          <w:trHeight w:val="415"/>
        </w:trPr>
        <w:tc>
          <w:tcPr>
            <w:tcW w:w="3320" w:type="dxa"/>
            <w:vAlign w:val="bottom"/>
          </w:tcPr>
          <w:p>
            <w:pPr>
              <w:spacing w:after="0"/>
              <w:rPr>
                <w:sz w:val="24"/>
                <w:szCs w:val="24"/>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By:</w:t>
            </w:r>
          </w:p>
        </w:tc>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3"/>
              </w:rPr>
              <w:t>/s/ David A. Marple</w:t>
            </w:r>
          </w:p>
        </w:tc>
        <w:tc>
          <w:tcPr>
            <w:tcW w:w="4500" w:type="dxa"/>
            <w:vAlign w:val="bottom"/>
            <w:gridSpan w:val="2"/>
          </w:tcPr>
          <w:p>
            <w:pPr>
              <w:spacing w:after="0"/>
              <w:rPr>
                <w:sz w:val="24"/>
                <w:szCs w:val="24"/>
                <w:color w:val="auto"/>
              </w:rPr>
            </w:pPr>
          </w:p>
        </w:tc>
      </w:tr>
      <w:tr>
        <w:trPr>
          <w:trHeight w:val="233"/>
        </w:trPr>
        <w:tc>
          <w:tcPr>
            <w:tcW w:w="3320" w:type="dxa"/>
            <w:vAlign w:val="bottom"/>
          </w:tcPr>
          <w:p>
            <w:pPr>
              <w:spacing w:after="0"/>
              <w:rPr>
                <w:sz w:val="20"/>
                <w:szCs w:val="20"/>
                <w:color w:val="auto"/>
              </w:rPr>
            </w:pPr>
          </w:p>
        </w:tc>
        <w:tc>
          <w:tcPr>
            <w:tcW w:w="8100" w:type="dxa"/>
            <w:vAlign w:val="bottom"/>
            <w:gridSpan w:val="5"/>
          </w:tcPr>
          <w:p>
            <w:pPr>
              <w:ind w:left="1380"/>
              <w:spacing w:after="0"/>
              <w:rPr>
                <w:sz w:val="20"/>
                <w:szCs w:val="20"/>
                <w:color w:val="auto"/>
              </w:rPr>
            </w:pPr>
            <w:r>
              <w:rPr>
                <w:rFonts w:ascii="Arial" w:cs="Arial" w:eastAsia="Arial" w:hAnsi="Arial"/>
                <w:sz w:val="20"/>
                <w:szCs w:val="20"/>
                <w:color w:val="auto"/>
              </w:rPr>
              <w:t>Name: David A. Marple</w:t>
            </w:r>
          </w:p>
        </w:tc>
      </w:tr>
      <w:tr>
        <w:trPr>
          <w:trHeight w:val="250"/>
        </w:trPr>
        <w:tc>
          <w:tcPr>
            <w:tcW w:w="3320" w:type="dxa"/>
            <w:vAlign w:val="bottom"/>
          </w:tcPr>
          <w:p>
            <w:pPr>
              <w:spacing w:after="0"/>
              <w:rPr>
                <w:sz w:val="21"/>
                <w:szCs w:val="21"/>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Title:</w:t>
            </w:r>
          </w:p>
        </w:tc>
        <w:tc>
          <w:tcPr>
            <w:tcW w:w="6100" w:type="dxa"/>
            <w:vAlign w:val="bottom"/>
            <w:gridSpan w:val="4"/>
          </w:tcPr>
          <w:p>
            <w:pPr>
              <w:ind w:left="40"/>
              <w:spacing w:after="0"/>
              <w:rPr>
                <w:sz w:val="20"/>
                <w:szCs w:val="20"/>
                <w:color w:val="auto"/>
              </w:rPr>
            </w:pPr>
            <w:r>
              <w:rPr>
                <w:rFonts w:ascii="Arial" w:cs="Arial" w:eastAsia="Arial" w:hAnsi="Arial"/>
                <w:sz w:val="20"/>
                <w:szCs w:val="20"/>
                <w:color w:val="auto"/>
              </w:rPr>
              <w:t>General Counsel</w:t>
            </w:r>
          </w:p>
        </w:tc>
      </w:tr>
      <w:tr>
        <w:trPr>
          <w:trHeight w:val="459"/>
        </w:trPr>
        <w:tc>
          <w:tcPr>
            <w:tcW w:w="3320" w:type="dxa"/>
            <w:vAlign w:val="bottom"/>
          </w:tcPr>
          <w:p>
            <w:pPr>
              <w:spacing w:after="0"/>
              <w:rPr>
                <w:sz w:val="20"/>
                <w:szCs w:val="20"/>
                <w:color w:val="auto"/>
              </w:rPr>
            </w:pPr>
            <w:r>
              <w:rPr>
                <w:rFonts w:ascii="Arial" w:cs="Arial" w:eastAsia="Arial" w:hAnsi="Arial"/>
                <w:sz w:val="20"/>
                <w:szCs w:val="20"/>
                <w:color w:val="auto"/>
              </w:rPr>
              <w:t>Date: February 20, 2020</w:t>
            </w:r>
          </w:p>
        </w:tc>
        <w:tc>
          <w:tcPr>
            <w:tcW w:w="8100" w:type="dxa"/>
            <w:vAlign w:val="bottom"/>
            <w:gridSpan w:val="5"/>
          </w:tcPr>
          <w:p>
            <w:pPr>
              <w:ind w:left="1380"/>
              <w:spacing w:after="0"/>
              <w:rPr>
                <w:sz w:val="20"/>
                <w:szCs w:val="20"/>
                <w:color w:val="auto"/>
              </w:rPr>
            </w:pPr>
            <w:r>
              <w:rPr>
                <w:rFonts w:ascii="Arial" w:cs="Arial" w:eastAsia="Arial" w:hAnsi="Arial"/>
                <w:sz w:val="20"/>
                <w:szCs w:val="20"/>
                <w:color w:val="auto"/>
              </w:rPr>
              <w:t>GEORGE G. HICKS</w:t>
            </w:r>
          </w:p>
        </w:tc>
      </w:tr>
      <w:tr>
        <w:trPr>
          <w:trHeight w:val="415"/>
        </w:trPr>
        <w:tc>
          <w:tcPr>
            <w:tcW w:w="3320" w:type="dxa"/>
            <w:vAlign w:val="bottom"/>
          </w:tcPr>
          <w:p>
            <w:pPr>
              <w:spacing w:after="0"/>
              <w:rPr>
                <w:sz w:val="24"/>
                <w:szCs w:val="24"/>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By:</w:t>
            </w:r>
          </w:p>
        </w:tc>
        <w:tc>
          <w:tcPr>
            <w:tcW w:w="158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9"/>
              </w:rPr>
              <w:t>/s/ George G. Hicks</w:t>
            </w:r>
          </w:p>
        </w:tc>
        <w:tc>
          <w:tcPr>
            <w:tcW w:w="4520" w:type="dxa"/>
            <w:vAlign w:val="bottom"/>
            <w:gridSpan w:val="3"/>
          </w:tcPr>
          <w:p>
            <w:pPr>
              <w:spacing w:after="0"/>
              <w:rPr>
                <w:sz w:val="24"/>
                <w:szCs w:val="24"/>
                <w:color w:val="auto"/>
              </w:rPr>
            </w:pPr>
          </w:p>
        </w:tc>
      </w:tr>
      <w:tr>
        <w:trPr>
          <w:trHeight w:val="484"/>
        </w:trPr>
        <w:tc>
          <w:tcPr>
            <w:tcW w:w="3320" w:type="dxa"/>
            <w:vAlign w:val="bottom"/>
          </w:tcPr>
          <w:p>
            <w:pPr>
              <w:spacing w:after="0"/>
              <w:rPr>
                <w:sz w:val="20"/>
                <w:szCs w:val="20"/>
                <w:color w:val="auto"/>
              </w:rPr>
            </w:pPr>
            <w:r>
              <w:rPr>
                <w:rFonts w:ascii="Arial" w:cs="Arial" w:eastAsia="Arial" w:hAnsi="Arial"/>
                <w:sz w:val="20"/>
                <w:szCs w:val="20"/>
                <w:color w:val="auto"/>
              </w:rPr>
              <w:t>Date: February 20, 2020</w:t>
            </w:r>
          </w:p>
        </w:tc>
        <w:tc>
          <w:tcPr>
            <w:tcW w:w="8100" w:type="dxa"/>
            <w:vAlign w:val="bottom"/>
            <w:gridSpan w:val="5"/>
          </w:tcPr>
          <w:p>
            <w:pPr>
              <w:ind w:left="1380"/>
              <w:spacing w:after="0"/>
              <w:rPr>
                <w:sz w:val="20"/>
                <w:szCs w:val="20"/>
                <w:color w:val="auto"/>
              </w:rPr>
            </w:pPr>
            <w:r>
              <w:rPr>
                <w:rFonts w:ascii="Arial" w:cs="Arial" w:eastAsia="Arial" w:hAnsi="Arial"/>
                <w:sz w:val="20"/>
                <w:szCs w:val="20"/>
                <w:color w:val="auto"/>
              </w:rPr>
              <w:t>ILFRYN C. CARSTAIRS</w:t>
            </w:r>
          </w:p>
        </w:tc>
      </w:tr>
      <w:tr>
        <w:trPr>
          <w:trHeight w:val="415"/>
        </w:trPr>
        <w:tc>
          <w:tcPr>
            <w:tcW w:w="3320" w:type="dxa"/>
            <w:vAlign w:val="bottom"/>
          </w:tcPr>
          <w:p>
            <w:pPr>
              <w:spacing w:after="0"/>
              <w:rPr>
                <w:sz w:val="24"/>
                <w:szCs w:val="24"/>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By:</w:t>
            </w:r>
          </w:p>
        </w:tc>
        <w:tc>
          <w:tcPr>
            <w:tcW w:w="6100" w:type="dxa"/>
            <w:vAlign w:val="bottom"/>
            <w:gridSpan w:val="4"/>
          </w:tcPr>
          <w:p>
            <w:pPr>
              <w:spacing w:after="0"/>
              <w:rPr>
                <w:sz w:val="20"/>
                <w:szCs w:val="20"/>
                <w:color w:val="auto"/>
              </w:rPr>
            </w:pPr>
            <w:r>
              <w:rPr>
                <w:rFonts w:ascii="Arial" w:cs="Arial" w:eastAsia="Arial" w:hAnsi="Arial"/>
                <w:sz w:val="20"/>
                <w:szCs w:val="20"/>
                <w:color w:val="auto"/>
              </w:rPr>
              <w:t>/s/ Ilfryn C. Carstairs</w:t>
            </w:r>
          </w:p>
        </w:tc>
      </w:tr>
      <w:tr>
        <w:trPr>
          <w:trHeight w:val="1540"/>
        </w:trPr>
        <w:tc>
          <w:tcPr>
            <w:tcW w:w="33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5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2" w:right="239" w:bottom="1440" w:gutter="0" w:footer="0" w:header="0"/>
        </w:sectPr>
      </w:pPr>
    </w:p>
    <w:bookmarkStart w:id="30" w:name="page31"/>
    <w:bookmarkEnd w:id="30"/>
    <w:p>
      <w:pPr>
        <w:ind w:left="4940"/>
        <w:spacing w:after="0"/>
        <w:rPr>
          <w:sz w:val="20"/>
          <w:szCs w:val="20"/>
          <w:color w:val="auto"/>
        </w:rPr>
      </w:pPr>
      <w:r>
        <w:rPr>
          <w:rFonts w:ascii="Arial" w:cs="Arial" w:eastAsia="Arial" w:hAnsi="Arial"/>
          <w:sz w:val="20"/>
          <w:szCs w:val="20"/>
          <w:b w:val="1"/>
          <w:bCs w:val="1"/>
          <w:color w:val="auto"/>
        </w:rPr>
        <w:t>EXHIBIT INDEX</w:t>
      </w:r>
    </w:p>
    <w:p>
      <w:pPr>
        <w:spacing w:after="0" w:line="236"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99.1</w:t>
      </w:r>
      <w:r>
        <w:rPr>
          <w:sz w:val="20"/>
          <w:szCs w:val="20"/>
          <w:color w:val="auto"/>
        </w:rPr>
        <w:tab/>
      </w:r>
      <w:r>
        <w:rPr>
          <w:rFonts w:ascii="Arial" w:cs="Arial" w:eastAsia="Arial" w:hAnsi="Arial"/>
          <w:sz w:val="16"/>
          <w:szCs w:val="16"/>
          <w:color w:val="auto"/>
        </w:rPr>
        <w:t>Joint Filing Agreement, dated as of February 20, 2020, by and among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15" w:right="1440" w:bottom="1440" w:gutter="0" w:footer="0" w:header="0"/>
        </w:sectPr>
      </w:pPr>
    </w:p>
    <w:bookmarkStart w:id="31" w:name="page32"/>
    <w:bookmarkEnd w:id="31"/>
    <w:p>
      <w:pPr>
        <w:spacing w:after="0" w:line="49"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99.1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JOINT FILING AGREEMENT</w:t>
      </w:r>
    </w:p>
    <w:p>
      <w:pPr>
        <w:spacing w:after="0" w:line="235"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The undersigned hereby agree that the statement on Schedule 13G with respect to the Ordinary Shares, par value $0.001 per share, of Weatherford International plc, dated as of February 20, 2020, is, and any amendments thereto signed by each of the undersigned shall be, filed on behalf of each of us pursuant to and in accordance with the provisions of Rule 13d-1(k) under the Securities Exchange Act of 1934, as amended.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320" w:type="dxa"/>
            <w:vAlign w:val="bottom"/>
          </w:tcPr>
          <w:p>
            <w:pPr>
              <w:spacing w:after="0"/>
              <w:rPr>
                <w:sz w:val="20"/>
                <w:szCs w:val="20"/>
                <w:color w:val="auto"/>
              </w:rPr>
            </w:pPr>
            <w:r>
              <w:rPr>
                <w:rFonts w:ascii="Arial" w:cs="Arial" w:eastAsia="Arial" w:hAnsi="Arial"/>
                <w:sz w:val="20"/>
                <w:szCs w:val="20"/>
                <w:color w:val="auto"/>
              </w:rPr>
              <w:t>Date: February 20, 2020</w:t>
            </w: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w w:val="95"/>
              </w:rPr>
              <w:t>THE VÄRDE FUND XII (MASTER), L.P.</w:t>
            </w:r>
          </w:p>
        </w:tc>
      </w:tr>
      <w:tr>
        <w:trPr>
          <w:trHeight w:val="438"/>
        </w:trPr>
        <w:tc>
          <w:tcPr>
            <w:tcW w:w="3320" w:type="dxa"/>
            <w:vAlign w:val="bottom"/>
          </w:tcPr>
          <w:p>
            <w:pPr>
              <w:spacing w:after="0"/>
              <w:rPr>
                <w:sz w:val="24"/>
                <w:szCs w:val="24"/>
                <w:color w:val="auto"/>
              </w:rPr>
            </w:pP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By: The Värde Fund XII G.P., L.P.,</w:t>
            </w:r>
          </w:p>
        </w:tc>
      </w:tr>
      <w:tr>
        <w:trPr>
          <w:trHeight w:val="250"/>
        </w:trPr>
        <w:tc>
          <w:tcPr>
            <w:tcW w:w="3320" w:type="dxa"/>
            <w:vAlign w:val="bottom"/>
          </w:tcPr>
          <w:p>
            <w:pPr>
              <w:spacing w:after="0"/>
              <w:rPr>
                <w:sz w:val="21"/>
                <w:szCs w:val="21"/>
                <w:color w:val="auto"/>
              </w:rPr>
            </w:pP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38"/>
        </w:trPr>
        <w:tc>
          <w:tcPr>
            <w:tcW w:w="3320" w:type="dxa"/>
            <w:vAlign w:val="bottom"/>
          </w:tcPr>
          <w:p>
            <w:pPr>
              <w:spacing w:after="0"/>
              <w:rPr>
                <w:sz w:val="24"/>
                <w:szCs w:val="24"/>
                <w:color w:val="auto"/>
              </w:rPr>
            </w:pP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By: The Värde Fund XII UGP, LLC,</w:t>
            </w:r>
          </w:p>
        </w:tc>
      </w:tr>
      <w:tr>
        <w:trPr>
          <w:trHeight w:val="250"/>
        </w:trPr>
        <w:tc>
          <w:tcPr>
            <w:tcW w:w="3320" w:type="dxa"/>
            <w:vAlign w:val="bottom"/>
          </w:tcPr>
          <w:p>
            <w:pPr>
              <w:spacing w:after="0"/>
              <w:rPr>
                <w:sz w:val="21"/>
                <w:szCs w:val="21"/>
                <w:color w:val="auto"/>
              </w:rPr>
            </w:pP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38"/>
        </w:trPr>
        <w:tc>
          <w:tcPr>
            <w:tcW w:w="3320" w:type="dxa"/>
            <w:vAlign w:val="bottom"/>
          </w:tcPr>
          <w:p>
            <w:pPr>
              <w:spacing w:after="0"/>
              <w:rPr>
                <w:sz w:val="24"/>
                <w:szCs w:val="24"/>
                <w:color w:val="auto"/>
              </w:rPr>
            </w:pP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By: Värde Partners, L.P.,</w:t>
            </w:r>
          </w:p>
        </w:tc>
      </w:tr>
      <w:tr>
        <w:trPr>
          <w:trHeight w:val="250"/>
        </w:trPr>
        <w:tc>
          <w:tcPr>
            <w:tcW w:w="3320" w:type="dxa"/>
            <w:vAlign w:val="bottom"/>
          </w:tcPr>
          <w:p>
            <w:pPr>
              <w:spacing w:after="0"/>
              <w:rPr>
                <w:sz w:val="21"/>
                <w:szCs w:val="21"/>
                <w:color w:val="auto"/>
              </w:rPr>
            </w:pP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Its Managing Member</w:t>
            </w:r>
          </w:p>
        </w:tc>
      </w:tr>
      <w:tr>
        <w:trPr>
          <w:trHeight w:val="438"/>
        </w:trPr>
        <w:tc>
          <w:tcPr>
            <w:tcW w:w="3320" w:type="dxa"/>
            <w:vAlign w:val="bottom"/>
          </w:tcPr>
          <w:p>
            <w:pPr>
              <w:spacing w:after="0"/>
              <w:rPr>
                <w:sz w:val="24"/>
                <w:szCs w:val="24"/>
                <w:color w:val="auto"/>
              </w:rPr>
            </w:pP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By: Värde Partners, Inc.,</w:t>
            </w:r>
          </w:p>
        </w:tc>
      </w:tr>
      <w:tr>
        <w:trPr>
          <w:trHeight w:val="250"/>
        </w:trPr>
        <w:tc>
          <w:tcPr>
            <w:tcW w:w="3320" w:type="dxa"/>
            <w:vAlign w:val="bottom"/>
          </w:tcPr>
          <w:p>
            <w:pPr>
              <w:spacing w:after="0"/>
              <w:rPr>
                <w:sz w:val="21"/>
                <w:szCs w:val="21"/>
                <w:color w:val="auto"/>
              </w:rPr>
            </w:pP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15"/>
        </w:trPr>
        <w:tc>
          <w:tcPr>
            <w:tcW w:w="3320" w:type="dxa"/>
            <w:vAlign w:val="bottom"/>
          </w:tcPr>
          <w:p>
            <w:pPr>
              <w:spacing w:after="0"/>
              <w:rPr>
                <w:sz w:val="24"/>
                <w:szCs w:val="24"/>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By:</w:t>
            </w:r>
          </w:p>
        </w:tc>
        <w:tc>
          <w:tcPr>
            <w:tcW w:w="2800" w:type="dxa"/>
            <w:vAlign w:val="bottom"/>
            <w:gridSpan w:val="2"/>
          </w:tcPr>
          <w:p>
            <w:pPr>
              <w:spacing w:after="0"/>
              <w:rPr>
                <w:sz w:val="20"/>
                <w:szCs w:val="20"/>
                <w:color w:val="auto"/>
              </w:rPr>
            </w:pPr>
            <w:r>
              <w:rPr>
                <w:rFonts w:ascii="Arial" w:cs="Arial" w:eastAsia="Arial" w:hAnsi="Arial"/>
                <w:sz w:val="20"/>
                <w:szCs w:val="20"/>
                <w:color w:val="auto"/>
              </w:rPr>
              <w:t>/s/ David A. Marple</w:t>
            </w:r>
          </w:p>
        </w:tc>
      </w:tr>
      <w:tr>
        <w:trPr>
          <w:trHeight w:val="20"/>
        </w:trPr>
        <w:tc>
          <w:tcPr>
            <w:tcW w:w="3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3"/>
        </w:trPr>
        <w:tc>
          <w:tcPr>
            <w:tcW w:w="3320" w:type="dxa"/>
            <w:vAlign w:val="bottom"/>
          </w:tcPr>
          <w:p>
            <w:pPr>
              <w:spacing w:after="0"/>
              <w:rPr>
                <w:sz w:val="20"/>
                <w:szCs w:val="20"/>
                <w:color w:val="auto"/>
              </w:rPr>
            </w:pP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Name: David A. Marple</w:t>
            </w:r>
          </w:p>
        </w:tc>
      </w:tr>
      <w:tr>
        <w:trPr>
          <w:trHeight w:val="250"/>
        </w:trPr>
        <w:tc>
          <w:tcPr>
            <w:tcW w:w="3320" w:type="dxa"/>
            <w:vAlign w:val="bottom"/>
          </w:tcPr>
          <w:p>
            <w:pPr>
              <w:spacing w:after="0"/>
              <w:rPr>
                <w:sz w:val="21"/>
                <w:szCs w:val="21"/>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Title:</w:t>
            </w:r>
          </w:p>
        </w:tc>
        <w:tc>
          <w:tcPr>
            <w:tcW w:w="2800" w:type="dxa"/>
            <w:vAlign w:val="bottom"/>
            <w:gridSpan w:val="2"/>
          </w:tcPr>
          <w:p>
            <w:pPr>
              <w:ind w:left="40"/>
              <w:spacing w:after="0"/>
              <w:rPr>
                <w:sz w:val="20"/>
                <w:szCs w:val="20"/>
                <w:color w:val="auto"/>
              </w:rPr>
            </w:pPr>
            <w:r>
              <w:rPr>
                <w:rFonts w:ascii="Arial" w:cs="Arial" w:eastAsia="Arial" w:hAnsi="Arial"/>
                <w:sz w:val="20"/>
                <w:szCs w:val="20"/>
                <w:color w:val="auto"/>
              </w:rPr>
              <w:t>General Counsel</w:t>
            </w:r>
          </w:p>
        </w:tc>
      </w:tr>
      <w:tr>
        <w:trPr>
          <w:trHeight w:val="459"/>
        </w:trPr>
        <w:tc>
          <w:tcPr>
            <w:tcW w:w="3320" w:type="dxa"/>
            <w:vAlign w:val="bottom"/>
          </w:tcPr>
          <w:p>
            <w:pPr>
              <w:spacing w:after="0"/>
              <w:rPr>
                <w:sz w:val="20"/>
                <w:szCs w:val="20"/>
                <w:color w:val="auto"/>
              </w:rPr>
            </w:pPr>
            <w:r>
              <w:rPr>
                <w:rFonts w:ascii="Arial" w:cs="Arial" w:eastAsia="Arial" w:hAnsi="Arial"/>
                <w:sz w:val="20"/>
                <w:szCs w:val="20"/>
                <w:color w:val="auto"/>
              </w:rPr>
              <w:t>Date: February 20, 2020</w:t>
            </w: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THE VÄRDE FUND XII G.P., L.P.</w:t>
            </w:r>
          </w:p>
        </w:tc>
      </w:tr>
      <w:tr>
        <w:trPr>
          <w:trHeight w:val="438"/>
        </w:trPr>
        <w:tc>
          <w:tcPr>
            <w:tcW w:w="3320" w:type="dxa"/>
            <w:vAlign w:val="bottom"/>
          </w:tcPr>
          <w:p>
            <w:pPr>
              <w:spacing w:after="0"/>
              <w:rPr>
                <w:sz w:val="24"/>
                <w:szCs w:val="24"/>
                <w:color w:val="auto"/>
              </w:rPr>
            </w:pP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By: The Värde Fund XII UGP, LLC,</w:t>
            </w:r>
          </w:p>
        </w:tc>
      </w:tr>
      <w:tr>
        <w:trPr>
          <w:trHeight w:val="250"/>
        </w:trPr>
        <w:tc>
          <w:tcPr>
            <w:tcW w:w="3320" w:type="dxa"/>
            <w:vAlign w:val="bottom"/>
          </w:tcPr>
          <w:p>
            <w:pPr>
              <w:spacing w:after="0"/>
              <w:rPr>
                <w:sz w:val="21"/>
                <w:szCs w:val="21"/>
                <w:color w:val="auto"/>
              </w:rPr>
            </w:pP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38"/>
        </w:trPr>
        <w:tc>
          <w:tcPr>
            <w:tcW w:w="3320" w:type="dxa"/>
            <w:vAlign w:val="bottom"/>
          </w:tcPr>
          <w:p>
            <w:pPr>
              <w:spacing w:after="0"/>
              <w:rPr>
                <w:sz w:val="24"/>
                <w:szCs w:val="24"/>
                <w:color w:val="auto"/>
              </w:rPr>
            </w:pP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By: Värde Partners, L.P.,</w:t>
            </w:r>
          </w:p>
        </w:tc>
      </w:tr>
      <w:tr>
        <w:trPr>
          <w:trHeight w:val="250"/>
        </w:trPr>
        <w:tc>
          <w:tcPr>
            <w:tcW w:w="3320" w:type="dxa"/>
            <w:vAlign w:val="bottom"/>
          </w:tcPr>
          <w:p>
            <w:pPr>
              <w:spacing w:after="0"/>
              <w:rPr>
                <w:sz w:val="21"/>
                <w:szCs w:val="21"/>
                <w:color w:val="auto"/>
              </w:rPr>
            </w:pP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Its Managing Member</w:t>
            </w:r>
          </w:p>
        </w:tc>
      </w:tr>
      <w:tr>
        <w:trPr>
          <w:trHeight w:val="438"/>
        </w:trPr>
        <w:tc>
          <w:tcPr>
            <w:tcW w:w="3320" w:type="dxa"/>
            <w:vAlign w:val="bottom"/>
          </w:tcPr>
          <w:p>
            <w:pPr>
              <w:spacing w:after="0"/>
              <w:rPr>
                <w:sz w:val="24"/>
                <w:szCs w:val="24"/>
                <w:color w:val="auto"/>
              </w:rPr>
            </w:pP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By: Värde Partners, Inc.,</w:t>
            </w:r>
          </w:p>
        </w:tc>
      </w:tr>
      <w:tr>
        <w:trPr>
          <w:trHeight w:val="250"/>
        </w:trPr>
        <w:tc>
          <w:tcPr>
            <w:tcW w:w="3320" w:type="dxa"/>
            <w:vAlign w:val="bottom"/>
          </w:tcPr>
          <w:p>
            <w:pPr>
              <w:spacing w:after="0"/>
              <w:rPr>
                <w:sz w:val="21"/>
                <w:szCs w:val="21"/>
                <w:color w:val="auto"/>
              </w:rPr>
            </w:pP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15"/>
        </w:trPr>
        <w:tc>
          <w:tcPr>
            <w:tcW w:w="3320" w:type="dxa"/>
            <w:vAlign w:val="bottom"/>
          </w:tcPr>
          <w:p>
            <w:pPr>
              <w:spacing w:after="0"/>
              <w:rPr>
                <w:sz w:val="24"/>
                <w:szCs w:val="24"/>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By:</w:t>
            </w:r>
          </w:p>
        </w:tc>
        <w:tc>
          <w:tcPr>
            <w:tcW w:w="2800" w:type="dxa"/>
            <w:vAlign w:val="bottom"/>
            <w:gridSpan w:val="2"/>
          </w:tcPr>
          <w:p>
            <w:pPr>
              <w:spacing w:after="0"/>
              <w:rPr>
                <w:sz w:val="20"/>
                <w:szCs w:val="20"/>
                <w:color w:val="auto"/>
              </w:rPr>
            </w:pPr>
            <w:r>
              <w:rPr>
                <w:rFonts w:ascii="Arial" w:cs="Arial" w:eastAsia="Arial" w:hAnsi="Arial"/>
                <w:sz w:val="20"/>
                <w:szCs w:val="20"/>
                <w:color w:val="auto"/>
              </w:rPr>
              <w:t>/s/ David A. Marple</w:t>
            </w:r>
          </w:p>
        </w:tc>
      </w:tr>
      <w:tr>
        <w:trPr>
          <w:trHeight w:val="20"/>
        </w:trPr>
        <w:tc>
          <w:tcPr>
            <w:tcW w:w="3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3"/>
        </w:trPr>
        <w:tc>
          <w:tcPr>
            <w:tcW w:w="3320" w:type="dxa"/>
            <w:vAlign w:val="bottom"/>
          </w:tcPr>
          <w:p>
            <w:pPr>
              <w:spacing w:after="0"/>
              <w:rPr>
                <w:sz w:val="20"/>
                <w:szCs w:val="20"/>
                <w:color w:val="auto"/>
              </w:rPr>
            </w:pP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Name: David A. Marple</w:t>
            </w:r>
          </w:p>
        </w:tc>
      </w:tr>
      <w:tr>
        <w:trPr>
          <w:trHeight w:val="250"/>
        </w:trPr>
        <w:tc>
          <w:tcPr>
            <w:tcW w:w="3320" w:type="dxa"/>
            <w:vAlign w:val="bottom"/>
          </w:tcPr>
          <w:p>
            <w:pPr>
              <w:spacing w:after="0"/>
              <w:rPr>
                <w:sz w:val="21"/>
                <w:szCs w:val="21"/>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Title:</w:t>
            </w:r>
          </w:p>
        </w:tc>
        <w:tc>
          <w:tcPr>
            <w:tcW w:w="2800" w:type="dxa"/>
            <w:vAlign w:val="bottom"/>
            <w:gridSpan w:val="2"/>
          </w:tcPr>
          <w:p>
            <w:pPr>
              <w:ind w:left="40"/>
              <w:spacing w:after="0"/>
              <w:rPr>
                <w:sz w:val="20"/>
                <w:szCs w:val="20"/>
                <w:color w:val="auto"/>
              </w:rPr>
            </w:pPr>
            <w:r>
              <w:rPr>
                <w:rFonts w:ascii="Arial" w:cs="Arial" w:eastAsia="Arial" w:hAnsi="Arial"/>
                <w:sz w:val="20"/>
                <w:szCs w:val="20"/>
                <w:color w:val="auto"/>
              </w:rPr>
              <w:t>General Counsel</w:t>
            </w:r>
          </w:p>
        </w:tc>
      </w:tr>
      <w:tr>
        <w:trPr>
          <w:trHeight w:val="459"/>
        </w:trPr>
        <w:tc>
          <w:tcPr>
            <w:tcW w:w="3320" w:type="dxa"/>
            <w:vAlign w:val="bottom"/>
          </w:tcPr>
          <w:p>
            <w:pPr>
              <w:spacing w:after="0"/>
              <w:rPr>
                <w:sz w:val="20"/>
                <w:szCs w:val="20"/>
                <w:color w:val="auto"/>
              </w:rPr>
            </w:pPr>
            <w:r>
              <w:rPr>
                <w:rFonts w:ascii="Arial" w:cs="Arial" w:eastAsia="Arial" w:hAnsi="Arial"/>
                <w:sz w:val="20"/>
                <w:szCs w:val="20"/>
                <w:color w:val="auto"/>
              </w:rPr>
              <w:t>Date: February 20, 2020</w:t>
            </w: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THE VÄRDE FUND XII UGP, LLC</w:t>
            </w:r>
          </w:p>
        </w:tc>
      </w:tr>
      <w:tr>
        <w:trPr>
          <w:trHeight w:val="438"/>
        </w:trPr>
        <w:tc>
          <w:tcPr>
            <w:tcW w:w="3320" w:type="dxa"/>
            <w:vAlign w:val="bottom"/>
          </w:tcPr>
          <w:p>
            <w:pPr>
              <w:spacing w:after="0"/>
              <w:rPr>
                <w:sz w:val="24"/>
                <w:szCs w:val="24"/>
                <w:color w:val="auto"/>
              </w:rPr>
            </w:pP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By: Värde Partners, L.P.,</w:t>
            </w:r>
          </w:p>
        </w:tc>
      </w:tr>
      <w:tr>
        <w:trPr>
          <w:trHeight w:val="250"/>
        </w:trPr>
        <w:tc>
          <w:tcPr>
            <w:tcW w:w="3320" w:type="dxa"/>
            <w:vAlign w:val="bottom"/>
          </w:tcPr>
          <w:p>
            <w:pPr>
              <w:spacing w:after="0"/>
              <w:rPr>
                <w:sz w:val="21"/>
                <w:szCs w:val="21"/>
                <w:color w:val="auto"/>
              </w:rPr>
            </w:pP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Its Managing Member</w:t>
            </w:r>
          </w:p>
        </w:tc>
      </w:tr>
      <w:tr>
        <w:trPr>
          <w:trHeight w:val="438"/>
        </w:trPr>
        <w:tc>
          <w:tcPr>
            <w:tcW w:w="3320" w:type="dxa"/>
            <w:vAlign w:val="bottom"/>
          </w:tcPr>
          <w:p>
            <w:pPr>
              <w:spacing w:after="0"/>
              <w:rPr>
                <w:sz w:val="24"/>
                <w:szCs w:val="24"/>
                <w:color w:val="auto"/>
              </w:rPr>
            </w:pP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By: Värde Partners, Inc.,</w:t>
            </w:r>
          </w:p>
        </w:tc>
      </w:tr>
      <w:tr>
        <w:trPr>
          <w:trHeight w:val="250"/>
        </w:trPr>
        <w:tc>
          <w:tcPr>
            <w:tcW w:w="3320" w:type="dxa"/>
            <w:vAlign w:val="bottom"/>
          </w:tcPr>
          <w:p>
            <w:pPr>
              <w:spacing w:after="0"/>
              <w:rPr>
                <w:sz w:val="21"/>
                <w:szCs w:val="21"/>
                <w:color w:val="auto"/>
              </w:rPr>
            </w:pP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15"/>
        </w:trPr>
        <w:tc>
          <w:tcPr>
            <w:tcW w:w="3320" w:type="dxa"/>
            <w:vAlign w:val="bottom"/>
          </w:tcPr>
          <w:p>
            <w:pPr>
              <w:spacing w:after="0"/>
              <w:rPr>
                <w:sz w:val="24"/>
                <w:szCs w:val="24"/>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By:</w:t>
            </w:r>
          </w:p>
        </w:tc>
        <w:tc>
          <w:tcPr>
            <w:tcW w:w="2800" w:type="dxa"/>
            <w:vAlign w:val="bottom"/>
            <w:gridSpan w:val="2"/>
          </w:tcPr>
          <w:p>
            <w:pPr>
              <w:spacing w:after="0"/>
              <w:rPr>
                <w:sz w:val="20"/>
                <w:szCs w:val="20"/>
                <w:color w:val="auto"/>
              </w:rPr>
            </w:pPr>
            <w:r>
              <w:rPr>
                <w:rFonts w:ascii="Arial" w:cs="Arial" w:eastAsia="Arial" w:hAnsi="Arial"/>
                <w:sz w:val="20"/>
                <w:szCs w:val="20"/>
                <w:color w:val="auto"/>
              </w:rPr>
              <w:t>/s/ David A. Marple</w:t>
            </w:r>
          </w:p>
        </w:tc>
      </w:tr>
      <w:tr>
        <w:trPr>
          <w:trHeight w:val="20"/>
        </w:trPr>
        <w:tc>
          <w:tcPr>
            <w:tcW w:w="3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3"/>
        </w:trPr>
        <w:tc>
          <w:tcPr>
            <w:tcW w:w="3320" w:type="dxa"/>
            <w:vAlign w:val="bottom"/>
          </w:tcPr>
          <w:p>
            <w:pPr>
              <w:spacing w:after="0"/>
              <w:rPr>
                <w:sz w:val="20"/>
                <w:szCs w:val="20"/>
                <w:color w:val="auto"/>
              </w:rPr>
            </w:pP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Name: David A. Marple</w:t>
            </w:r>
          </w:p>
        </w:tc>
      </w:tr>
      <w:tr>
        <w:trPr>
          <w:trHeight w:val="250"/>
        </w:trPr>
        <w:tc>
          <w:tcPr>
            <w:tcW w:w="3320" w:type="dxa"/>
            <w:vAlign w:val="bottom"/>
          </w:tcPr>
          <w:p>
            <w:pPr>
              <w:spacing w:after="0"/>
              <w:rPr>
                <w:sz w:val="21"/>
                <w:szCs w:val="21"/>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Title:</w:t>
            </w:r>
          </w:p>
        </w:tc>
        <w:tc>
          <w:tcPr>
            <w:tcW w:w="2800" w:type="dxa"/>
            <w:vAlign w:val="bottom"/>
            <w:gridSpan w:val="2"/>
          </w:tcPr>
          <w:p>
            <w:pPr>
              <w:ind w:left="40"/>
              <w:spacing w:after="0"/>
              <w:rPr>
                <w:sz w:val="20"/>
                <w:szCs w:val="20"/>
                <w:color w:val="auto"/>
              </w:rPr>
            </w:pPr>
            <w:r>
              <w:rPr>
                <w:rFonts w:ascii="Arial" w:cs="Arial" w:eastAsia="Arial" w:hAnsi="Arial"/>
                <w:sz w:val="20"/>
                <w:szCs w:val="20"/>
                <w:color w:val="auto"/>
              </w:rPr>
              <w:t>General Counsel</w:t>
            </w:r>
          </w:p>
        </w:tc>
      </w:tr>
      <w:tr>
        <w:trPr>
          <w:trHeight w:val="459"/>
        </w:trPr>
        <w:tc>
          <w:tcPr>
            <w:tcW w:w="3320" w:type="dxa"/>
            <w:vAlign w:val="bottom"/>
          </w:tcPr>
          <w:p>
            <w:pPr>
              <w:spacing w:after="0"/>
              <w:rPr>
                <w:sz w:val="20"/>
                <w:szCs w:val="20"/>
                <w:color w:val="auto"/>
              </w:rPr>
            </w:pPr>
            <w:r>
              <w:rPr>
                <w:rFonts w:ascii="Arial" w:cs="Arial" w:eastAsia="Arial" w:hAnsi="Arial"/>
                <w:sz w:val="20"/>
                <w:szCs w:val="20"/>
                <w:color w:val="auto"/>
              </w:rPr>
              <w:t>Date: February 20, 2020</w:t>
            </w: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THE VÄRDE FUND XIII, L.P.</w:t>
            </w:r>
          </w:p>
        </w:tc>
      </w:tr>
      <w:tr>
        <w:trPr>
          <w:trHeight w:val="438"/>
        </w:trPr>
        <w:tc>
          <w:tcPr>
            <w:tcW w:w="3320" w:type="dxa"/>
            <w:vAlign w:val="bottom"/>
          </w:tcPr>
          <w:p>
            <w:pPr>
              <w:spacing w:after="0"/>
              <w:rPr>
                <w:sz w:val="24"/>
                <w:szCs w:val="24"/>
                <w:color w:val="auto"/>
              </w:rPr>
            </w:pP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By: The Värde Fund XIII G.P., L.P.,</w:t>
            </w:r>
          </w:p>
        </w:tc>
      </w:tr>
      <w:tr>
        <w:trPr>
          <w:trHeight w:val="250"/>
        </w:trPr>
        <w:tc>
          <w:tcPr>
            <w:tcW w:w="3320" w:type="dxa"/>
            <w:vAlign w:val="bottom"/>
          </w:tcPr>
          <w:p>
            <w:pPr>
              <w:spacing w:after="0"/>
              <w:rPr>
                <w:sz w:val="21"/>
                <w:szCs w:val="21"/>
                <w:color w:val="auto"/>
              </w:rPr>
            </w:pP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38"/>
        </w:trPr>
        <w:tc>
          <w:tcPr>
            <w:tcW w:w="3320" w:type="dxa"/>
            <w:vAlign w:val="bottom"/>
          </w:tcPr>
          <w:p>
            <w:pPr>
              <w:spacing w:after="0"/>
              <w:rPr>
                <w:sz w:val="24"/>
                <w:szCs w:val="24"/>
                <w:color w:val="auto"/>
              </w:rPr>
            </w:pP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By: The Värde Fund XIII UGP, LLC,</w:t>
            </w:r>
          </w:p>
        </w:tc>
      </w:tr>
      <w:tr>
        <w:trPr>
          <w:trHeight w:val="250"/>
        </w:trPr>
        <w:tc>
          <w:tcPr>
            <w:tcW w:w="3320" w:type="dxa"/>
            <w:vAlign w:val="bottom"/>
          </w:tcPr>
          <w:p>
            <w:pPr>
              <w:spacing w:after="0"/>
              <w:rPr>
                <w:sz w:val="21"/>
                <w:szCs w:val="21"/>
                <w:color w:val="auto"/>
              </w:rPr>
            </w:pP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38"/>
        </w:trPr>
        <w:tc>
          <w:tcPr>
            <w:tcW w:w="3320" w:type="dxa"/>
            <w:vAlign w:val="bottom"/>
          </w:tcPr>
          <w:p>
            <w:pPr>
              <w:spacing w:after="0"/>
              <w:rPr>
                <w:sz w:val="24"/>
                <w:szCs w:val="24"/>
                <w:color w:val="auto"/>
              </w:rPr>
            </w:pP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By: Värde Partners, L.P.,</w:t>
            </w:r>
          </w:p>
        </w:tc>
      </w:tr>
      <w:tr>
        <w:trPr>
          <w:trHeight w:val="250"/>
        </w:trPr>
        <w:tc>
          <w:tcPr>
            <w:tcW w:w="3320" w:type="dxa"/>
            <w:vAlign w:val="bottom"/>
          </w:tcPr>
          <w:p>
            <w:pPr>
              <w:spacing w:after="0"/>
              <w:rPr>
                <w:sz w:val="21"/>
                <w:szCs w:val="21"/>
                <w:color w:val="auto"/>
              </w:rPr>
            </w:pP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Its Managing Member</w:t>
            </w:r>
          </w:p>
        </w:tc>
      </w:tr>
      <w:tr>
        <w:trPr>
          <w:trHeight w:val="438"/>
        </w:trPr>
        <w:tc>
          <w:tcPr>
            <w:tcW w:w="3320" w:type="dxa"/>
            <w:vAlign w:val="bottom"/>
          </w:tcPr>
          <w:p>
            <w:pPr>
              <w:spacing w:after="0"/>
              <w:rPr>
                <w:sz w:val="24"/>
                <w:szCs w:val="24"/>
                <w:color w:val="auto"/>
              </w:rPr>
            </w:pP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By: Värde Partners, Inc.,</w:t>
            </w:r>
          </w:p>
        </w:tc>
      </w:tr>
      <w:tr>
        <w:trPr>
          <w:trHeight w:val="250"/>
        </w:trPr>
        <w:tc>
          <w:tcPr>
            <w:tcW w:w="3320" w:type="dxa"/>
            <w:vAlign w:val="bottom"/>
          </w:tcPr>
          <w:p>
            <w:pPr>
              <w:spacing w:after="0"/>
              <w:rPr>
                <w:sz w:val="21"/>
                <w:szCs w:val="21"/>
                <w:color w:val="auto"/>
              </w:rPr>
            </w:pP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15"/>
        </w:trPr>
        <w:tc>
          <w:tcPr>
            <w:tcW w:w="3320" w:type="dxa"/>
            <w:vAlign w:val="bottom"/>
          </w:tcPr>
          <w:p>
            <w:pPr>
              <w:spacing w:after="0"/>
              <w:rPr>
                <w:sz w:val="24"/>
                <w:szCs w:val="24"/>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By:</w:t>
            </w:r>
          </w:p>
        </w:tc>
        <w:tc>
          <w:tcPr>
            <w:tcW w:w="2800" w:type="dxa"/>
            <w:vAlign w:val="bottom"/>
            <w:gridSpan w:val="2"/>
          </w:tcPr>
          <w:p>
            <w:pPr>
              <w:spacing w:after="0"/>
              <w:rPr>
                <w:sz w:val="20"/>
                <w:szCs w:val="20"/>
                <w:color w:val="auto"/>
              </w:rPr>
            </w:pPr>
            <w:r>
              <w:rPr>
                <w:rFonts w:ascii="Arial" w:cs="Arial" w:eastAsia="Arial" w:hAnsi="Arial"/>
                <w:sz w:val="20"/>
                <w:szCs w:val="20"/>
                <w:color w:val="auto"/>
              </w:rPr>
              <w:t>/s/ David A. Marple</w:t>
            </w:r>
          </w:p>
        </w:tc>
      </w:tr>
      <w:tr>
        <w:trPr>
          <w:trHeight w:val="20"/>
        </w:trPr>
        <w:tc>
          <w:tcPr>
            <w:tcW w:w="3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3"/>
        </w:trPr>
        <w:tc>
          <w:tcPr>
            <w:tcW w:w="3320" w:type="dxa"/>
            <w:vAlign w:val="bottom"/>
          </w:tcPr>
          <w:p>
            <w:pPr>
              <w:spacing w:after="0"/>
              <w:rPr>
                <w:sz w:val="20"/>
                <w:szCs w:val="20"/>
                <w:color w:val="auto"/>
              </w:rPr>
            </w:pPr>
          </w:p>
        </w:tc>
        <w:tc>
          <w:tcPr>
            <w:tcW w:w="4800" w:type="dxa"/>
            <w:vAlign w:val="bottom"/>
            <w:gridSpan w:val="3"/>
          </w:tcPr>
          <w:p>
            <w:pPr>
              <w:ind w:left="1380"/>
              <w:spacing w:after="0"/>
              <w:rPr>
                <w:sz w:val="20"/>
                <w:szCs w:val="20"/>
                <w:color w:val="auto"/>
              </w:rPr>
            </w:pPr>
            <w:r>
              <w:rPr>
                <w:rFonts w:ascii="Arial" w:cs="Arial" w:eastAsia="Arial" w:hAnsi="Arial"/>
                <w:sz w:val="20"/>
                <w:szCs w:val="20"/>
                <w:color w:val="auto"/>
              </w:rPr>
              <w:t>Name: David A. Marple</w:t>
            </w:r>
          </w:p>
        </w:tc>
      </w:tr>
      <w:tr>
        <w:trPr>
          <w:trHeight w:val="250"/>
        </w:trPr>
        <w:tc>
          <w:tcPr>
            <w:tcW w:w="3320" w:type="dxa"/>
            <w:vAlign w:val="bottom"/>
          </w:tcPr>
          <w:p>
            <w:pPr>
              <w:spacing w:after="0"/>
              <w:rPr>
                <w:sz w:val="21"/>
                <w:szCs w:val="21"/>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Title:</w:t>
            </w:r>
          </w:p>
        </w:tc>
        <w:tc>
          <w:tcPr>
            <w:tcW w:w="2800" w:type="dxa"/>
            <w:vAlign w:val="bottom"/>
            <w:gridSpan w:val="2"/>
          </w:tcPr>
          <w:p>
            <w:pPr>
              <w:ind w:left="40"/>
              <w:spacing w:after="0"/>
              <w:rPr>
                <w:sz w:val="20"/>
                <w:szCs w:val="20"/>
                <w:color w:val="auto"/>
              </w:rPr>
            </w:pPr>
            <w:r>
              <w:rPr>
                <w:rFonts w:ascii="Arial" w:cs="Arial" w:eastAsia="Arial" w:hAnsi="Arial"/>
                <w:sz w:val="20"/>
                <w:szCs w:val="20"/>
                <w:color w:val="auto"/>
              </w:rPr>
              <w:t>General Counsel</w:t>
            </w:r>
          </w:p>
        </w:tc>
      </w:tr>
    </w:tbl>
    <w:p>
      <w:pPr>
        <w:sectPr>
          <w:pgSz w:w="11900" w:h="16888" w:orient="portrait"/>
          <w:cols w:equalWidth="0" w:num="1">
            <w:col w:w="11420"/>
          </w:cols>
          <w:pgMar w:left="240" w:top="115" w:right="239" w:bottom="0"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492125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50"/>
        </w:trPr>
        <w:tc>
          <w:tcPr>
            <w:tcW w:w="3320" w:type="dxa"/>
            <w:vAlign w:val="bottom"/>
          </w:tcPr>
          <w:p>
            <w:pPr>
              <w:spacing w:after="0"/>
              <w:rPr>
                <w:sz w:val="20"/>
                <w:szCs w:val="20"/>
                <w:color w:val="auto"/>
              </w:rPr>
            </w:pPr>
            <w:r>
              <w:rPr>
                <w:rFonts w:ascii="Arial" w:cs="Arial" w:eastAsia="Arial" w:hAnsi="Arial"/>
                <w:sz w:val="20"/>
                <w:szCs w:val="20"/>
                <w:color w:val="auto"/>
              </w:rPr>
              <w:t>Date: February 20, 2020</w:t>
            </w: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THE VÄRDE FUND XIII G.P., L.P.</w:t>
            </w:r>
          </w:p>
        </w:tc>
      </w:tr>
      <w:tr>
        <w:trPr>
          <w:trHeight w:val="438"/>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The Värde Fund XIII UGP, LLC,</w:t>
            </w:r>
          </w:p>
        </w:tc>
      </w:tr>
      <w:tr>
        <w:trPr>
          <w:trHeight w:val="250"/>
        </w:trPr>
        <w:tc>
          <w:tcPr>
            <w:tcW w:w="3320" w:type="dxa"/>
            <w:vAlign w:val="bottom"/>
          </w:tcPr>
          <w:p>
            <w:pPr>
              <w:spacing w:after="0"/>
              <w:rPr>
                <w:sz w:val="21"/>
                <w:szCs w:val="21"/>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38"/>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Värde Partners, L.P.,</w:t>
            </w:r>
          </w:p>
        </w:tc>
      </w:tr>
      <w:tr>
        <w:trPr>
          <w:trHeight w:val="250"/>
        </w:trPr>
        <w:tc>
          <w:tcPr>
            <w:tcW w:w="3320" w:type="dxa"/>
            <w:vAlign w:val="bottom"/>
          </w:tcPr>
          <w:p>
            <w:pPr>
              <w:spacing w:after="0"/>
              <w:rPr>
                <w:sz w:val="21"/>
                <w:szCs w:val="21"/>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Managing Member</w:t>
            </w:r>
          </w:p>
        </w:tc>
      </w:tr>
      <w:tr>
        <w:trPr>
          <w:trHeight w:val="438"/>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Värde Partners, Inc.,</w:t>
            </w:r>
          </w:p>
        </w:tc>
      </w:tr>
      <w:tr>
        <w:trPr>
          <w:trHeight w:val="250"/>
        </w:trPr>
        <w:tc>
          <w:tcPr>
            <w:tcW w:w="3320" w:type="dxa"/>
            <w:vAlign w:val="bottom"/>
          </w:tcPr>
          <w:p>
            <w:pPr>
              <w:spacing w:after="0"/>
              <w:rPr>
                <w:sz w:val="21"/>
                <w:szCs w:val="21"/>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15"/>
        </w:trPr>
        <w:tc>
          <w:tcPr>
            <w:tcW w:w="3320" w:type="dxa"/>
            <w:vAlign w:val="bottom"/>
          </w:tcPr>
          <w:p>
            <w:pPr>
              <w:spacing w:after="0"/>
              <w:rPr>
                <w:sz w:val="24"/>
                <w:szCs w:val="24"/>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By:</w:t>
            </w:r>
          </w:p>
        </w:tc>
        <w:tc>
          <w:tcPr>
            <w:tcW w:w="6100" w:type="dxa"/>
            <w:vAlign w:val="bottom"/>
            <w:gridSpan w:val="2"/>
          </w:tcPr>
          <w:p>
            <w:pPr>
              <w:spacing w:after="0"/>
              <w:rPr>
                <w:sz w:val="20"/>
                <w:szCs w:val="20"/>
                <w:color w:val="auto"/>
              </w:rPr>
            </w:pPr>
            <w:r>
              <w:rPr>
                <w:rFonts w:ascii="Arial" w:cs="Arial" w:eastAsia="Arial" w:hAnsi="Arial"/>
                <w:sz w:val="20"/>
                <w:szCs w:val="20"/>
                <w:color w:val="auto"/>
              </w:rPr>
              <w:t>/s/ David A. Marple</w:t>
            </w:r>
          </w:p>
        </w:tc>
      </w:tr>
      <w:tr>
        <w:trPr>
          <w:trHeight w:val="20"/>
        </w:trPr>
        <w:tc>
          <w:tcPr>
            <w:tcW w:w="3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233"/>
        </w:trPr>
        <w:tc>
          <w:tcPr>
            <w:tcW w:w="3320" w:type="dxa"/>
            <w:vAlign w:val="bottom"/>
          </w:tcPr>
          <w:p>
            <w:pPr>
              <w:spacing w:after="0"/>
              <w:rPr>
                <w:sz w:val="20"/>
                <w:szCs w:val="20"/>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Name: David A. Marple</w:t>
            </w:r>
          </w:p>
        </w:tc>
      </w:tr>
      <w:tr>
        <w:trPr>
          <w:trHeight w:val="250"/>
        </w:trPr>
        <w:tc>
          <w:tcPr>
            <w:tcW w:w="3320" w:type="dxa"/>
            <w:vAlign w:val="bottom"/>
          </w:tcPr>
          <w:p>
            <w:pPr>
              <w:spacing w:after="0"/>
              <w:rPr>
                <w:sz w:val="21"/>
                <w:szCs w:val="21"/>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Title:</w:t>
            </w:r>
          </w:p>
        </w:tc>
        <w:tc>
          <w:tcPr>
            <w:tcW w:w="6100" w:type="dxa"/>
            <w:vAlign w:val="bottom"/>
            <w:gridSpan w:val="2"/>
          </w:tcPr>
          <w:p>
            <w:pPr>
              <w:ind w:left="40"/>
              <w:spacing w:after="0"/>
              <w:rPr>
                <w:sz w:val="20"/>
                <w:szCs w:val="20"/>
                <w:color w:val="auto"/>
              </w:rPr>
            </w:pPr>
            <w:r>
              <w:rPr>
                <w:rFonts w:ascii="Arial" w:cs="Arial" w:eastAsia="Arial" w:hAnsi="Arial"/>
                <w:sz w:val="20"/>
                <w:szCs w:val="20"/>
                <w:color w:val="auto"/>
              </w:rPr>
              <w:t>General Counsel</w:t>
            </w:r>
          </w:p>
        </w:tc>
      </w:tr>
      <w:tr>
        <w:trPr>
          <w:trHeight w:val="459"/>
        </w:trPr>
        <w:tc>
          <w:tcPr>
            <w:tcW w:w="3320" w:type="dxa"/>
            <w:vAlign w:val="bottom"/>
          </w:tcPr>
          <w:p>
            <w:pPr>
              <w:spacing w:after="0"/>
              <w:rPr>
                <w:sz w:val="20"/>
                <w:szCs w:val="20"/>
                <w:color w:val="auto"/>
              </w:rPr>
            </w:pPr>
            <w:r>
              <w:rPr>
                <w:rFonts w:ascii="Arial" w:cs="Arial" w:eastAsia="Arial" w:hAnsi="Arial"/>
                <w:sz w:val="20"/>
                <w:szCs w:val="20"/>
                <w:color w:val="auto"/>
              </w:rPr>
              <w:t>Date: February 20, 2020</w:t>
            </w: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THE VÄRDE FUND XIII UGP, LLC</w:t>
            </w:r>
          </w:p>
        </w:tc>
      </w:tr>
      <w:tr>
        <w:trPr>
          <w:trHeight w:val="438"/>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Värde Partners, L.P.,</w:t>
            </w:r>
          </w:p>
        </w:tc>
      </w:tr>
      <w:tr>
        <w:trPr>
          <w:trHeight w:val="250"/>
        </w:trPr>
        <w:tc>
          <w:tcPr>
            <w:tcW w:w="3320" w:type="dxa"/>
            <w:vAlign w:val="bottom"/>
          </w:tcPr>
          <w:p>
            <w:pPr>
              <w:spacing w:after="0"/>
              <w:rPr>
                <w:sz w:val="21"/>
                <w:szCs w:val="21"/>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Managing Member</w:t>
            </w:r>
          </w:p>
        </w:tc>
      </w:tr>
      <w:tr>
        <w:trPr>
          <w:trHeight w:val="438"/>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Värde Partners, Inc.,</w:t>
            </w:r>
          </w:p>
        </w:tc>
      </w:tr>
      <w:tr>
        <w:trPr>
          <w:trHeight w:val="250"/>
        </w:trPr>
        <w:tc>
          <w:tcPr>
            <w:tcW w:w="3320" w:type="dxa"/>
            <w:vAlign w:val="bottom"/>
          </w:tcPr>
          <w:p>
            <w:pPr>
              <w:spacing w:after="0"/>
              <w:rPr>
                <w:sz w:val="21"/>
                <w:szCs w:val="21"/>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15"/>
        </w:trPr>
        <w:tc>
          <w:tcPr>
            <w:tcW w:w="3320" w:type="dxa"/>
            <w:vAlign w:val="bottom"/>
          </w:tcPr>
          <w:p>
            <w:pPr>
              <w:spacing w:after="0"/>
              <w:rPr>
                <w:sz w:val="24"/>
                <w:szCs w:val="24"/>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By:</w:t>
            </w:r>
          </w:p>
        </w:tc>
        <w:tc>
          <w:tcPr>
            <w:tcW w:w="6100" w:type="dxa"/>
            <w:vAlign w:val="bottom"/>
            <w:gridSpan w:val="2"/>
          </w:tcPr>
          <w:p>
            <w:pPr>
              <w:spacing w:after="0"/>
              <w:rPr>
                <w:sz w:val="20"/>
                <w:szCs w:val="20"/>
                <w:color w:val="auto"/>
              </w:rPr>
            </w:pPr>
            <w:r>
              <w:rPr>
                <w:rFonts w:ascii="Arial" w:cs="Arial" w:eastAsia="Arial" w:hAnsi="Arial"/>
                <w:sz w:val="20"/>
                <w:szCs w:val="20"/>
                <w:color w:val="auto"/>
              </w:rPr>
              <w:t>/s/ David A. Marple</w:t>
            </w:r>
          </w:p>
        </w:tc>
      </w:tr>
      <w:tr>
        <w:trPr>
          <w:trHeight w:val="20"/>
        </w:trPr>
        <w:tc>
          <w:tcPr>
            <w:tcW w:w="3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233"/>
        </w:trPr>
        <w:tc>
          <w:tcPr>
            <w:tcW w:w="3320" w:type="dxa"/>
            <w:vAlign w:val="bottom"/>
          </w:tcPr>
          <w:p>
            <w:pPr>
              <w:spacing w:after="0"/>
              <w:rPr>
                <w:sz w:val="20"/>
                <w:szCs w:val="20"/>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Name: David A. Marple</w:t>
            </w:r>
          </w:p>
        </w:tc>
      </w:tr>
      <w:tr>
        <w:trPr>
          <w:trHeight w:val="250"/>
        </w:trPr>
        <w:tc>
          <w:tcPr>
            <w:tcW w:w="3320" w:type="dxa"/>
            <w:vAlign w:val="bottom"/>
          </w:tcPr>
          <w:p>
            <w:pPr>
              <w:spacing w:after="0"/>
              <w:rPr>
                <w:sz w:val="21"/>
                <w:szCs w:val="21"/>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Title:</w:t>
            </w:r>
          </w:p>
        </w:tc>
        <w:tc>
          <w:tcPr>
            <w:tcW w:w="6100" w:type="dxa"/>
            <w:vAlign w:val="bottom"/>
            <w:gridSpan w:val="2"/>
          </w:tcPr>
          <w:p>
            <w:pPr>
              <w:ind w:left="40"/>
              <w:spacing w:after="0"/>
              <w:rPr>
                <w:sz w:val="20"/>
                <w:szCs w:val="20"/>
                <w:color w:val="auto"/>
              </w:rPr>
            </w:pPr>
            <w:r>
              <w:rPr>
                <w:rFonts w:ascii="Arial" w:cs="Arial" w:eastAsia="Arial" w:hAnsi="Arial"/>
                <w:sz w:val="20"/>
                <w:szCs w:val="20"/>
                <w:color w:val="auto"/>
              </w:rPr>
              <w:t>General Counsel</w:t>
            </w:r>
          </w:p>
        </w:tc>
      </w:tr>
      <w:tr>
        <w:trPr>
          <w:trHeight w:val="459"/>
        </w:trPr>
        <w:tc>
          <w:tcPr>
            <w:tcW w:w="3320" w:type="dxa"/>
            <w:vAlign w:val="bottom"/>
          </w:tcPr>
          <w:p>
            <w:pPr>
              <w:spacing w:after="0"/>
              <w:rPr>
                <w:sz w:val="20"/>
                <w:szCs w:val="20"/>
                <w:color w:val="auto"/>
              </w:rPr>
            </w:pPr>
            <w:r>
              <w:rPr>
                <w:rFonts w:ascii="Arial" w:cs="Arial" w:eastAsia="Arial" w:hAnsi="Arial"/>
                <w:sz w:val="20"/>
                <w:szCs w:val="20"/>
                <w:color w:val="auto"/>
              </w:rPr>
              <w:t>Date: February 20, 2020</w:t>
            </w: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THE VÄRDE FUND VI-A, L.P.</w:t>
            </w:r>
          </w:p>
        </w:tc>
      </w:tr>
      <w:tr>
        <w:trPr>
          <w:trHeight w:val="438"/>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Värde Investment Partners G.P., L.P.,</w:t>
            </w:r>
          </w:p>
        </w:tc>
      </w:tr>
      <w:tr>
        <w:trPr>
          <w:trHeight w:val="250"/>
        </w:trPr>
        <w:tc>
          <w:tcPr>
            <w:tcW w:w="3320" w:type="dxa"/>
            <w:vAlign w:val="bottom"/>
          </w:tcPr>
          <w:p>
            <w:pPr>
              <w:spacing w:after="0"/>
              <w:rPr>
                <w:sz w:val="21"/>
                <w:szCs w:val="21"/>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59"/>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Värde Investment Partners UGP, LLC,</w:t>
            </w:r>
          </w:p>
        </w:tc>
      </w:tr>
      <w:tr>
        <w:trPr>
          <w:trHeight w:val="459"/>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38"/>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Värde Partners, L.P.,</w:t>
            </w:r>
          </w:p>
        </w:tc>
      </w:tr>
      <w:tr>
        <w:trPr>
          <w:trHeight w:val="250"/>
        </w:trPr>
        <w:tc>
          <w:tcPr>
            <w:tcW w:w="3320" w:type="dxa"/>
            <w:vAlign w:val="bottom"/>
          </w:tcPr>
          <w:p>
            <w:pPr>
              <w:spacing w:after="0"/>
              <w:rPr>
                <w:sz w:val="21"/>
                <w:szCs w:val="21"/>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Managing Member</w:t>
            </w:r>
          </w:p>
        </w:tc>
      </w:tr>
      <w:tr>
        <w:trPr>
          <w:trHeight w:val="438"/>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Värde Partners, Inc.,</w:t>
            </w:r>
          </w:p>
        </w:tc>
      </w:tr>
      <w:tr>
        <w:trPr>
          <w:trHeight w:val="250"/>
        </w:trPr>
        <w:tc>
          <w:tcPr>
            <w:tcW w:w="3320" w:type="dxa"/>
            <w:vAlign w:val="bottom"/>
          </w:tcPr>
          <w:p>
            <w:pPr>
              <w:spacing w:after="0"/>
              <w:rPr>
                <w:sz w:val="21"/>
                <w:szCs w:val="21"/>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15"/>
        </w:trPr>
        <w:tc>
          <w:tcPr>
            <w:tcW w:w="3320" w:type="dxa"/>
            <w:vAlign w:val="bottom"/>
          </w:tcPr>
          <w:p>
            <w:pPr>
              <w:spacing w:after="0"/>
              <w:rPr>
                <w:sz w:val="24"/>
                <w:szCs w:val="24"/>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By:</w:t>
            </w:r>
          </w:p>
        </w:tc>
        <w:tc>
          <w:tcPr>
            <w:tcW w:w="6100" w:type="dxa"/>
            <w:vAlign w:val="bottom"/>
            <w:gridSpan w:val="2"/>
          </w:tcPr>
          <w:p>
            <w:pPr>
              <w:spacing w:after="0"/>
              <w:rPr>
                <w:sz w:val="20"/>
                <w:szCs w:val="20"/>
                <w:color w:val="auto"/>
              </w:rPr>
            </w:pPr>
            <w:r>
              <w:rPr>
                <w:rFonts w:ascii="Arial" w:cs="Arial" w:eastAsia="Arial" w:hAnsi="Arial"/>
                <w:sz w:val="20"/>
                <w:szCs w:val="20"/>
                <w:color w:val="auto"/>
              </w:rPr>
              <w:t>/s/ David A. Marple</w:t>
            </w:r>
          </w:p>
        </w:tc>
      </w:tr>
      <w:tr>
        <w:trPr>
          <w:trHeight w:val="20"/>
        </w:trPr>
        <w:tc>
          <w:tcPr>
            <w:tcW w:w="3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233"/>
        </w:trPr>
        <w:tc>
          <w:tcPr>
            <w:tcW w:w="3320" w:type="dxa"/>
            <w:vAlign w:val="bottom"/>
          </w:tcPr>
          <w:p>
            <w:pPr>
              <w:spacing w:after="0"/>
              <w:rPr>
                <w:sz w:val="20"/>
                <w:szCs w:val="20"/>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Name: David A. Marple</w:t>
            </w:r>
          </w:p>
        </w:tc>
      </w:tr>
      <w:tr>
        <w:trPr>
          <w:trHeight w:val="250"/>
        </w:trPr>
        <w:tc>
          <w:tcPr>
            <w:tcW w:w="3320" w:type="dxa"/>
            <w:vAlign w:val="bottom"/>
          </w:tcPr>
          <w:p>
            <w:pPr>
              <w:spacing w:after="0"/>
              <w:rPr>
                <w:sz w:val="21"/>
                <w:szCs w:val="21"/>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Title:</w:t>
            </w:r>
          </w:p>
        </w:tc>
        <w:tc>
          <w:tcPr>
            <w:tcW w:w="6100" w:type="dxa"/>
            <w:vAlign w:val="bottom"/>
            <w:gridSpan w:val="2"/>
          </w:tcPr>
          <w:p>
            <w:pPr>
              <w:ind w:left="40"/>
              <w:spacing w:after="0"/>
              <w:rPr>
                <w:sz w:val="20"/>
                <w:szCs w:val="20"/>
                <w:color w:val="auto"/>
              </w:rPr>
            </w:pPr>
            <w:r>
              <w:rPr>
                <w:rFonts w:ascii="Arial" w:cs="Arial" w:eastAsia="Arial" w:hAnsi="Arial"/>
                <w:sz w:val="20"/>
                <w:szCs w:val="20"/>
                <w:color w:val="auto"/>
              </w:rPr>
              <w:t>General Counsel</w:t>
            </w:r>
          </w:p>
        </w:tc>
      </w:tr>
      <w:tr>
        <w:trPr>
          <w:trHeight w:val="408"/>
        </w:trPr>
        <w:tc>
          <w:tcPr>
            <w:tcW w:w="33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2" w:right="23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320" w:type="dxa"/>
            <w:vAlign w:val="bottom"/>
          </w:tcPr>
          <w:p>
            <w:pPr>
              <w:spacing w:after="0"/>
              <w:rPr>
                <w:sz w:val="20"/>
                <w:szCs w:val="20"/>
                <w:color w:val="auto"/>
              </w:rPr>
            </w:pPr>
            <w:r>
              <w:rPr>
                <w:rFonts w:ascii="Arial" w:cs="Arial" w:eastAsia="Arial" w:hAnsi="Arial"/>
                <w:sz w:val="20"/>
                <w:szCs w:val="20"/>
                <w:color w:val="auto"/>
              </w:rPr>
              <w:t>Date: February 20, 2020</w:t>
            </w: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VÄRDE INVESTMENT PARTNERS G.P., L.P.</w:t>
            </w:r>
          </w:p>
        </w:tc>
      </w:tr>
      <w:tr>
        <w:trPr>
          <w:trHeight w:val="459"/>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Värde Investment Partners UGP, LLC,</w:t>
            </w:r>
          </w:p>
        </w:tc>
      </w:tr>
      <w:tr>
        <w:trPr>
          <w:trHeight w:val="459"/>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38"/>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Värde Partners, L.P.,</w:t>
            </w:r>
          </w:p>
        </w:tc>
      </w:tr>
      <w:tr>
        <w:trPr>
          <w:trHeight w:val="250"/>
        </w:trPr>
        <w:tc>
          <w:tcPr>
            <w:tcW w:w="3320" w:type="dxa"/>
            <w:vAlign w:val="bottom"/>
          </w:tcPr>
          <w:p>
            <w:pPr>
              <w:spacing w:after="0"/>
              <w:rPr>
                <w:sz w:val="21"/>
                <w:szCs w:val="21"/>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Managing Member</w:t>
            </w:r>
          </w:p>
        </w:tc>
      </w:tr>
      <w:tr>
        <w:trPr>
          <w:trHeight w:val="438"/>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Värde Partners, Inc.,</w:t>
            </w:r>
          </w:p>
        </w:tc>
      </w:tr>
      <w:tr>
        <w:trPr>
          <w:trHeight w:val="250"/>
        </w:trPr>
        <w:tc>
          <w:tcPr>
            <w:tcW w:w="3320" w:type="dxa"/>
            <w:vAlign w:val="bottom"/>
          </w:tcPr>
          <w:p>
            <w:pPr>
              <w:spacing w:after="0"/>
              <w:rPr>
                <w:sz w:val="21"/>
                <w:szCs w:val="21"/>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15"/>
        </w:trPr>
        <w:tc>
          <w:tcPr>
            <w:tcW w:w="3320" w:type="dxa"/>
            <w:vAlign w:val="bottom"/>
          </w:tcPr>
          <w:p>
            <w:pPr>
              <w:spacing w:after="0"/>
              <w:rPr>
                <w:sz w:val="24"/>
                <w:szCs w:val="24"/>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By:</w:t>
            </w:r>
          </w:p>
        </w:tc>
        <w:tc>
          <w:tcPr>
            <w:tcW w:w="6100" w:type="dxa"/>
            <w:vAlign w:val="bottom"/>
            <w:gridSpan w:val="2"/>
          </w:tcPr>
          <w:p>
            <w:pPr>
              <w:spacing w:after="0"/>
              <w:rPr>
                <w:sz w:val="20"/>
                <w:szCs w:val="20"/>
                <w:color w:val="auto"/>
              </w:rPr>
            </w:pPr>
            <w:r>
              <w:rPr>
                <w:rFonts w:ascii="Arial" w:cs="Arial" w:eastAsia="Arial" w:hAnsi="Arial"/>
                <w:sz w:val="20"/>
                <w:szCs w:val="20"/>
                <w:color w:val="auto"/>
              </w:rPr>
              <w:t>/s/ David A. Marple</w:t>
            </w:r>
          </w:p>
        </w:tc>
      </w:tr>
      <w:tr>
        <w:trPr>
          <w:trHeight w:val="20"/>
        </w:trPr>
        <w:tc>
          <w:tcPr>
            <w:tcW w:w="3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233"/>
        </w:trPr>
        <w:tc>
          <w:tcPr>
            <w:tcW w:w="3320" w:type="dxa"/>
            <w:vAlign w:val="bottom"/>
          </w:tcPr>
          <w:p>
            <w:pPr>
              <w:spacing w:after="0"/>
              <w:rPr>
                <w:sz w:val="20"/>
                <w:szCs w:val="20"/>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Name: David A. Marple</w:t>
            </w:r>
          </w:p>
        </w:tc>
      </w:tr>
      <w:tr>
        <w:trPr>
          <w:trHeight w:val="250"/>
        </w:trPr>
        <w:tc>
          <w:tcPr>
            <w:tcW w:w="3320" w:type="dxa"/>
            <w:vAlign w:val="bottom"/>
          </w:tcPr>
          <w:p>
            <w:pPr>
              <w:spacing w:after="0"/>
              <w:rPr>
                <w:sz w:val="21"/>
                <w:szCs w:val="21"/>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Title:</w:t>
            </w:r>
          </w:p>
        </w:tc>
        <w:tc>
          <w:tcPr>
            <w:tcW w:w="6100" w:type="dxa"/>
            <w:vAlign w:val="bottom"/>
            <w:gridSpan w:val="2"/>
          </w:tcPr>
          <w:p>
            <w:pPr>
              <w:ind w:left="40"/>
              <w:spacing w:after="0"/>
              <w:rPr>
                <w:sz w:val="20"/>
                <w:szCs w:val="20"/>
                <w:color w:val="auto"/>
              </w:rPr>
            </w:pPr>
            <w:r>
              <w:rPr>
                <w:rFonts w:ascii="Arial" w:cs="Arial" w:eastAsia="Arial" w:hAnsi="Arial"/>
                <w:sz w:val="20"/>
                <w:szCs w:val="20"/>
                <w:color w:val="auto"/>
              </w:rPr>
              <w:t>General Counsel</w:t>
            </w:r>
          </w:p>
        </w:tc>
      </w:tr>
      <w:tr>
        <w:trPr>
          <w:trHeight w:val="459"/>
        </w:trPr>
        <w:tc>
          <w:tcPr>
            <w:tcW w:w="3320" w:type="dxa"/>
            <w:vAlign w:val="bottom"/>
          </w:tcPr>
          <w:p>
            <w:pPr>
              <w:spacing w:after="0"/>
              <w:rPr>
                <w:sz w:val="20"/>
                <w:szCs w:val="20"/>
                <w:color w:val="auto"/>
              </w:rPr>
            </w:pPr>
            <w:r>
              <w:rPr>
                <w:rFonts w:ascii="Arial" w:cs="Arial" w:eastAsia="Arial" w:hAnsi="Arial"/>
                <w:sz w:val="20"/>
                <w:szCs w:val="20"/>
                <w:color w:val="auto"/>
              </w:rPr>
              <w:t>Date: February 20, 2020</w:t>
            </w: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VÄRDE INVESTMENT PARTNERS UGP, LLC</w:t>
            </w:r>
          </w:p>
        </w:tc>
      </w:tr>
      <w:tr>
        <w:trPr>
          <w:trHeight w:val="438"/>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Värde Partners, L.P.,</w:t>
            </w:r>
          </w:p>
        </w:tc>
      </w:tr>
      <w:tr>
        <w:trPr>
          <w:trHeight w:val="250"/>
        </w:trPr>
        <w:tc>
          <w:tcPr>
            <w:tcW w:w="3320" w:type="dxa"/>
            <w:vAlign w:val="bottom"/>
          </w:tcPr>
          <w:p>
            <w:pPr>
              <w:spacing w:after="0"/>
              <w:rPr>
                <w:sz w:val="21"/>
                <w:szCs w:val="21"/>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Managing Member</w:t>
            </w:r>
          </w:p>
        </w:tc>
      </w:tr>
      <w:tr>
        <w:trPr>
          <w:trHeight w:val="438"/>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Värde Partners, Inc.,</w:t>
            </w:r>
          </w:p>
        </w:tc>
      </w:tr>
      <w:tr>
        <w:trPr>
          <w:trHeight w:val="250"/>
        </w:trPr>
        <w:tc>
          <w:tcPr>
            <w:tcW w:w="3320" w:type="dxa"/>
            <w:vAlign w:val="bottom"/>
          </w:tcPr>
          <w:p>
            <w:pPr>
              <w:spacing w:after="0"/>
              <w:rPr>
                <w:sz w:val="21"/>
                <w:szCs w:val="21"/>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15"/>
        </w:trPr>
        <w:tc>
          <w:tcPr>
            <w:tcW w:w="3320" w:type="dxa"/>
            <w:vAlign w:val="bottom"/>
          </w:tcPr>
          <w:p>
            <w:pPr>
              <w:spacing w:after="0"/>
              <w:rPr>
                <w:sz w:val="24"/>
                <w:szCs w:val="24"/>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By:</w:t>
            </w:r>
          </w:p>
        </w:tc>
        <w:tc>
          <w:tcPr>
            <w:tcW w:w="6100" w:type="dxa"/>
            <w:vAlign w:val="bottom"/>
            <w:gridSpan w:val="2"/>
          </w:tcPr>
          <w:p>
            <w:pPr>
              <w:spacing w:after="0"/>
              <w:rPr>
                <w:sz w:val="20"/>
                <w:szCs w:val="20"/>
                <w:color w:val="auto"/>
              </w:rPr>
            </w:pPr>
            <w:r>
              <w:rPr>
                <w:rFonts w:ascii="Arial" w:cs="Arial" w:eastAsia="Arial" w:hAnsi="Arial"/>
                <w:sz w:val="20"/>
                <w:szCs w:val="20"/>
                <w:color w:val="auto"/>
              </w:rPr>
              <w:t>/s/ David A. Marple</w:t>
            </w:r>
          </w:p>
        </w:tc>
      </w:tr>
      <w:tr>
        <w:trPr>
          <w:trHeight w:val="20"/>
        </w:trPr>
        <w:tc>
          <w:tcPr>
            <w:tcW w:w="3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233"/>
        </w:trPr>
        <w:tc>
          <w:tcPr>
            <w:tcW w:w="3320" w:type="dxa"/>
            <w:vAlign w:val="bottom"/>
          </w:tcPr>
          <w:p>
            <w:pPr>
              <w:spacing w:after="0"/>
              <w:rPr>
                <w:sz w:val="20"/>
                <w:szCs w:val="20"/>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Name: David A. Marple</w:t>
            </w:r>
          </w:p>
        </w:tc>
      </w:tr>
      <w:tr>
        <w:trPr>
          <w:trHeight w:val="250"/>
        </w:trPr>
        <w:tc>
          <w:tcPr>
            <w:tcW w:w="3320" w:type="dxa"/>
            <w:vAlign w:val="bottom"/>
          </w:tcPr>
          <w:p>
            <w:pPr>
              <w:spacing w:after="0"/>
              <w:rPr>
                <w:sz w:val="21"/>
                <w:szCs w:val="21"/>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Title:</w:t>
            </w:r>
          </w:p>
        </w:tc>
        <w:tc>
          <w:tcPr>
            <w:tcW w:w="6100" w:type="dxa"/>
            <w:vAlign w:val="bottom"/>
            <w:gridSpan w:val="2"/>
          </w:tcPr>
          <w:p>
            <w:pPr>
              <w:ind w:left="40"/>
              <w:spacing w:after="0"/>
              <w:rPr>
                <w:sz w:val="20"/>
                <w:szCs w:val="20"/>
                <w:color w:val="auto"/>
              </w:rPr>
            </w:pPr>
            <w:r>
              <w:rPr>
                <w:rFonts w:ascii="Arial" w:cs="Arial" w:eastAsia="Arial" w:hAnsi="Arial"/>
                <w:sz w:val="20"/>
                <w:szCs w:val="20"/>
                <w:color w:val="auto"/>
              </w:rPr>
              <w:t>General Counsel</w:t>
            </w:r>
          </w:p>
        </w:tc>
      </w:tr>
      <w:tr>
        <w:trPr>
          <w:trHeight w:val="459"/>
        </w:trPr>
        <w:tc>
          <w:tcPr>
            <w:tcW w:w="3320" w:type="dxa"/>
            <w:vAlign w:val="bottom"/>
          </w:tcPr>
          <w:p>
            <w:pPr>
              <w:spacing w:after="0"/>
              <w:rPr>
                <w:sz w:val="20"/>
                <w:szCs w:val="20"/>
                <w:color w:val="auto"/>
              </w:rPr>
            </w:pPr>
            <w:r>
              <w:rPr>
                <w:rFonts w:ascii="Arial" w:cs="Arial" w:eastAsia="Arial" w:hAnsi="Arial"/>
                <w:sz w:val="20"/>
                <w:szCs w:val="20"/>
                <w:color w:val="auto"/>
              </w:rPr>
              <w:t>Date: February 20, 2020</w:t>
            </w: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VÄRDE INVESTMENT PARTNERS (OFFSHORE) MASTER, L.P.</w:t>
            </w:r>
          </w:p>
        </w:tc>
      </w:tr>
      <w:tr>
        <w:trPr>
          <w:trHeight w:val="438"/>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Värde Investment Partners G.P., L.P.,</w:t>
            </w:r>
          </w:p>
        </w:tc>
      </w:tr>
      <w:tr>
        <w:trPr>
          <w:trHeight w:val="250"/>
        </w:trPr>
        <w:tc>
          <w:tcPr>
            <w:tcW w:w="3320" w:type="dxa"/>
            <w:vAlign w:val="bottom"/>
          </w:tcPr>
          <w:p>
            <w:pPr>
              <w:spacing w:after="0"/>
              <w:rPr>
                <w:sz w:val="21"/>
                <w:szCs w:val="21"/>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59"/>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Värde Investment Partners UGP, LLC,</w:t>
            </w:r>
          </w:p>
        </w:tc>
      </w:tr>
      <w:tr>
        <w:trPr>
          <w:trHeight w:val="459"/>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38"/>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Värde Partners, L.P.,</w:t>
            </w:r>
          </w:p>
        </w:tc>
      </w:tr>
      <w:tr>
        <w:trPr>
          <w:trHeight w:val="250"/>
        </w:trPr>
        <w:tc>
          <w:tcPr>
            <w:tcW w:w="3320" w:type="dxa"/>
            <w:vAlign w:val="bottom"/>
          </w:tcPr>
          <w:p>
            <w:pPr>
              <w:spacing w:after="0"/>
              <w:rPr>
                <w:sz w:val="21"/>
                <w:szCs w:val="21"/>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Managing Member</w:t>
            </w:r>
          </w:p>
        </w:tc>
      </w:tr>
      <w:tr>
        <w:trPr>
          <w:trHeight w:val="438"/>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Värde Partners, Inc.,</w:t>
            </w:r>
          </w:p>
        </w:tc>
      </w:tr>
      <w:tr>
        <w:trPr>
          <w:trHeight w:val="250"/>
        </w:trPr>
        <w:tc>
          <w:tcPr>
            <w:tcW w:w="3320" w:type="dxa"/>
            <w:vAlign w:val="bottom"/>
          </w:tcPr>
          <w:p>
            <w:pPr>
              <w:spacing w:after="0"/>
              <w:rPr>
                <w:sz w:val="21"/>
                <w:szCs w:val="21"/>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15"/>
        </w:trPr>
        <w:tc>
          <w:tcPr>
            <w:tcW w:w="3320" w:type="dxa"/>
            <w:vAlign w:val="bottom"/>
          </w:tcPr>
          <w:p>
            <w:pPr>
              <w:spacing w:after="0"/>
              <w:rPr>
                <w:sz w:val="24"/>
                <w:szCs w:val="24"/>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By:</w:t>
            </w:r>
          </w:p>
        </w:tc>
        <w:tc>
          <w:tcPr>
            <w:tcW w:w="6100" w:type="dxa"/>
            <w:vAlign w:val="bottom"/>
            <w:gridSpan w:val="2"/>
          </w:tcPr>
          <w:p>
            <w:pPr>
              <w:spacing w:after="0"/>
              <w:rPr>
                <w:sz w:val="20"/>
                <w:szCs w:val="20"/>
                <w:color w:val="auto"/>
              </w:rPr>
            </w:pPr>
            <w:r>
              <w:rPr>
                <w:rFonts w:ascii="Arial" w:cs="Arial" w:eastAsia="Arial" w:hAnsi="Arial"/>
                <w:sz w:val="20"/>
                <w:szCs w:val="20"/>
                <w:color w:val="auto"/>
              </w:rPr>
              <w:t>/s/ David A. Marple</w:t>
            </w:r>
          </w:p>
        </w:tc>
      </w:tr>
      <w:tr>
        <w:trPr>
          <w:trHeight w:val="20"/>
        </w:trPr>
        <w:tc>
          <w:tcPr>
            <w:tcW w:w="3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233"/>
        </w:trPr>
        <w:tc>
          <w:tcPr>
            <w:tcW w:w="3320" w:type="dxa"/>
            <w:vAlign w:val="bottom"/>
          </w:tcPr>
          <w:p>
            <w:pPr>
              <w:spacing w:after="0"/>
              <w:rPr>
                <w:sz w:val="20"/>
                <w:szCs w:val="20"/>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Name: David A. Marple</w:t>
            </w:r>
          </w:p>
        </w:tc>
      </w:tr>
      <w:tr>
        <w:trPr>
          <w:trHeight w:val="250"/>
        </w:trPr>
        <w:tc>
          <w:tcPr>
            <w:tcW w:w="3320" w:type="dxa"/>
            <w:vAlign w:val="bottom"/>
          </w:tcPr>
          <w:p>
            <w:pPr>
              <w:spacing w:after="0"/>
              <w:rPr>
                <w:sz w:val="21"/>
                <w:szCs w:val="21"/>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Title:</w:t>
            </w:r>
          </w:p>
        </w:tc>
        <w:tc>
          <w:tcPr>
            <w:tcW w:w="6100" w:type="dxa"/>
            <w:vAlign w:val="bottom"/>
            <w:gridSpan w:val="2"/>
          </w:tcPr>
          <w:p>
            <w:pPr>
              <w:ind w:left="40"/>
              <w:spacing w:after="0"/>
              <w:rPr>
                <w:sz w:val="20"/>
                <w:szCs w:val="20"/>
                <w:color w:val="auto"/>
              </w:rPr>
            </w:pPr>
            <w:r>
              <w:rPr>
                <w:rFonts w:ascii="Arial" w:cs="Arial" w:eastAsia="Arial" w:hAnsi="Arial"/>
                <w:sz w:val="20"/>
                <w:szCs w:val="20"/>
                <w:color w:val="auto"/>
              </w:rPr>
              <w:t>General Counsel</w:t>
            </w:r>
          </w:p>
        </w:tc>
      </w:tr>
      <w:tr>
        <w:trPr>
          <w:trHeight w:val="459"/>
        </w:trPr>
        <w:tc>
          <w:tcPr>
            <w:tcW w:w="3320" w:type="dxa"/>
            <w:vAlign w:val="bottom"/>
          </w:tcPr>
          <w:p>
            <w:pPr>
              <w:spacing w:after="0"/>
              <w:rPr>
                <w:sz w:val="20"/>
                <w:szCs w:val="20"/>
                <w:color w:val="auto"/>
              </w:rPr>
            </w:pPr>
            <w:r>
              <w:rPr>
                <w:rFonts w:ascii="Arial" w:cs="Arial" w:eastAsia="Arial" w:hAnsi="Arial"/>
                <w:sz w:val="20"/>
                <w:szCs w:val="20"/>
                <w:color w:val="auto"/>
              </w:rPr>
              <w:t>Date: February 20, 2020</w:t>
            </w: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THE VÄRDE SKYWAY MASTER FUND, L.P.</w:t>
            </w:r>
          </w:p>
        </w:tc>
      </w:tr>
      <w:tr>
        <w:trPr>
          <w:trHeight w:val="438"/>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The Värde Skyway Fund G.P., L.P.,</w:t>
            </w:r>
          </w:p>
        </w:tc>
      </w:tr>
      <w:tr>
        <w:trPr>
          <w:trHeight w:val="250"/>
        </w:trPr>
        <w:tc>
          <w:tcPr>
            <w:tcW w:w="3320" w:type="dxa"/>
            <w:vAlign w:val="bottom"/>
          </w:tcPr>
          <w:p>
            <w:pPr>
              <w:spacing w:after="0"/>
              <w:rPr>
                <w:sz w:val="21"/>
                <w:szCs w:val="21"/>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38"/>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The Värde Skyway Fund UGP, LLC,</w:t>
            </w:r>
          </w:p>
        </w:tc>
      </w:tr>
      <w:tr>
        <w:trPr>
          <w:trHeight w:val="250"/>
        </w:trPr>
        <w:tc>
          <w:tcPr>
            <w:tcW w:w="3320" w:type="dxa"/>
            <w:vAlign w:val="bottom"/>
          </w:tcPr>
          <w:p>
            <w:pPr>
              <w:spacing w:after="0"/>
              <w:rPr>
                <w:sz w:val="21"/>
                <w:szCs w:val="21"/>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38"/>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Värde Partners, L.P.,</w:t>
            </w:r>
          </w:p>
        </w:tc>
      </w:tr>
      <w:tr>
        <w:trPr>
          <w:trHeight w:val="250"/>
        </w:trPr>
        <w:tc>
          <w:tcPr>
            <w:tcW w:w="3320" w:type="dxa"/>
            <w:vAlign w:val="bottom"/>
          </w:tcPr>
          <w:p>
            <w:pPr>
              <w:spacing w:after="0"/>
              <w:rPr>
                <w:sz w:val="21"/>
                <w:szCs w:val="21"/>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Managing Member</w:t>
            </w:r>
          </w:p>
        </w:tc>
      </w:tr>
      <w:tr>
        <w:trPr>
          <w:trHeight w:val="438"/>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Värde Partners, Inc.,</w:t>
            </w:r>
          </w:p>
        </w:tc>
      </w:tr>
      <w:tr>
        <w:trPr>
          <w:trHeight w:val="250"/>
        </w:trPr>
        <w:tc>
          <w:tcPr>
            <w:tcW w:w="3320" w:type="dxa"/>
            <w:vAlign w:val="bottom"/>
          </w:tcPr>
          <w:p>
            <w:pPr>
              <w:spacing w:after="0"/>
              <w:rPr>
                <w:sz w:val="21"/>
                <w:szCs w:val="21"/>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15"/>
        </w:trPr>
        <w:tc>
          <w:tcPr>
            <w:tcW w:w="3320" w:type="dxa"/>
            <w:vAlign w:val="bottom"/>
          </w:tcPr>
          <w:p>
            <w:pPr>
              <w:spacing w:after="0"/>
              <w:rPr>
                <w:sz w:val="24"/>
                <w:szCs w:val="24"/>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By:</w:t>
            </w:r>
          </w:p>
        </w:tc>
        <w:tc>
          <w:tcPr>
            <w:tcW w:w="6100" w:type="dxa"/>
            <w:vAlign w:val="bottom"/>
            <w:gridSpan w:val="2"/>
          </w:tcPr>
          <w:p>
            <w:pPr>
              <w:spacing w:after="0"/>
              <w:rPr>
                <w:sz w:val="20"/>
                <w:szCs w:val="20"/>
                <w:color w:val="auto"/>
              </w:rPr>
            </w:pPr>
            <w:r>
              <w:rPr>
                <w:rFonts w:ascii="Arial" w:cs="Arial" w:eastAsia="Arial" w:hAnsi="Arial"/>
                <w:sz w:val="20"/>
                <w:szCs w:val="20"/>
                <w:color w:val="auto"/>
              </w:rPr>
              <w:t>/s/ David A. Marple</w:t>
            </w:r>
          </w:p>
        </w:tc>
      </w:tr>
      <w:tr>
        <w:trPr>
          <w:trHeight w:val="20"/>
        </w:trPr>
        <w:tc>
          <w:tcPr>
            <w:tcW w:w="3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233"/>
        </w:trPr>
        <w:tc>
          <w:tcPr>
            <w:tcW w:w="3320" w:type="dxa"/>
            <w:vAlign w:val="bottom"/>
          </w:tcPr>
          <w:p>
            <w:pPr>
              <w:spacing w:after="0"/>
              <w:rPr>
                <w:sz w:val="20"/>
                <w:szCs w:val="20"/>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Name: David A. Marple</w:t>
            </w:r>
          </w:p>
        </w:tc>
      </w:tr>
      <w:tr>
        <w:trPr>
          <w:trHeight w:val="250"/>
        </w:trPr>
        <w:tc>
          <w:tcPr>
            <w:tcW w:w="3320" w:type="dxa"/>
            <w:vAlign w:val="bottom"/>
          </w:tcPr>
          <w:p>
            <w:pPr>
              <w:spacing w:after="0"/>
              <w:rPr>
                <w:sz w:val="21"/>
                <w:szCs w:val="21"/>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Title:</w:t>
            </w:r>
          </w:p>
        </w:tc>
        <w:tc>
          <w:tcPr>
            <w:tcW w:w="6100" w:type="dxa"/>
            <w:vAlign w:val="bottom"/>
            <w:gridSpan w:val="2"/>
          </w:tcPr>
          <w:p>
            <w:pPr>
              <w:ind w:left="40"/>
              <w:spacing w:after="0"/>
              <w:rPr>
                <w:sz w:val="20"/>
                <w:szCs w:val="20"/>
                <w:color w:val="auto"/>
              </w:rPr>
            </w:pPr>
            <w:r>
              <w:rPr>
                <w:rFonts w:ascii="Arial" w:cs="Arial" w:eastAsia="Arial" w:hAnsi="Arial"/>
                <w:sz w:val="20"/>
                <w:szCs w:val="20"/>
                <w:color w:val="auto"/>
              </w:rPr>
              <w:t>General Counsel</w:t>
            </w:r>
          </w:p>
        </w:tc>
      </w:tr>
      <w:tr>
        <w:trPr>
          <w:trHeight w:val="638"/>
        </w:trPr>
        <w:tc>
          <w:tcPr>
            <w:tcW w:w="33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52" w:right="239" w:bottom="549"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320" w:type="dxa"/>
            <w:vAlign w:val="bottom"/>
          </w:tcPr>
          <w:p>
            <w:pPr>
              <w:spacing w:after="0"/>
              <w:rPr>
                <w:sz w:val="20"/>
                <w:szCs w:val="20"/>
                <w:color w:val="auto"/>
              </w:rPr>
            </w:pPr>
            <w:r>
              <w:rPr>
                <w:rFonts w:ascii="Arial" w:cs="Arial" w:eastAsia="Arial" w:hAnsi="Arial"/>
                <w:sz w:val="20"/>
                <w:szCs w:val="20"/>
                <w:color w:val="auto"/>
              </w:rPr>
              <w:t>Date: February 20, 2020</w:t>
            </w: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THE VÄRDE SKYWAY FUND G.P., L.P.</w:t>
            </w:r>
          </w:p>
        </w:tc>
      </w:tr>
      <w:tr>
        <w:trPr>
          <w:trHeight w:val="438"/>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The Värde Skyway Fund UGP, LLC,</w:t>
            </w:r>
          </w:p>
        </w:tc>
      </w:tr>
      <w:tr>
        <w:trPr>
          <w:trHeight w:val="250"/>
        </w:trPr>
        <w:tc>
          <w:tcPr>
            <w:tcW w:w="3320" w:type="dxa"/>
            <w:vAlign w:val="bottom"/>
          </w:tcPr>
          <w:p>
            <w:pPr>
              <w:spacing w:after="0"/>
              <w:rPr>
                <w:sz w:val="21"/>
                <w:szCs w:val="21"/>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38"/>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Värde Partners, L.P.,</w:t>
            </w:r>
          </w:p>
        </w:tc>
      </w:tr>
      <w:tr>
        <w:trPr>
          <w:trHeight w:val="250"/>
        </w:trPr>
        <w:tc>
          <w:tcPr>
            <w:tcW w:w="3320" w:type="dxa"/>
            <w:vAlign w:val="bottom"/>
          </w:tcPr>
          <w:p>
            <w:pPr>
              <w:spacing w:after="0"/>
              <w:rPr>
                <w:sz w:val="21"/>
                <w:szCs w:val="21"/>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Managing Member</w:t>
            </w:r>
          </w:p>
        </w:tc>
      </w:tr>
      <w:tr>
        <w:trPr>
          <w:trHeight w:val="438"/>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Värde Partners, Inc.,</w:t>
            </w:r>
          </w:p>
        </w:tc>
      </w:tr>
      <w:tr>
        <w:trPr>
          <w:trHeight w:val="250"/>
        </w:trPr>
        <w:tc>
          <w:tcPr>
            <w:tcW w:w="3320" w:type="dxa"/>
            <w:vAlign w:val="bottom"/>
          </w:tcPr>
          <w:p>
            <w:pPr>
              <w:spacing w:after="0"/>
              <w:rPr>
                <w:sz w:val="21"/>
                <w:szCs w:val="21"/>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15"/>
        </w:trPr>
        <w:tc>
          <w:tcPr>
            <w:tcW w:w="3320" w:type="dxa"/>
            <w:vAlign w:val="bottom"/>
          </w:tcPr>
          <w:p>
            <w:pPr>
              <w:spacing w:after="0"/>
              <w:rPr>
                <w:sz w:val="24"/>
                <w:szCs w:val="24"/>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By:</w:t>
            </w:r>
          </w:p>
        </w:tc>
        <w:tc>
          <w:tcPr>
            <w:tcW w:w="6100" w:type="dxa"/>
            <w:vAlign w:val="bottom"/>
            <w:gridSpan w:val="2"/>
          </w:tcPr>
          <w:p>
            <w:pPr>
              <w:spacing w:after="0"/>
              <w:rPr>
                <w:sz w:val="20"/>
                <w:szCs w:val="20"/>
                <w:color w:val="auto"/>
              </w:rPr>
            </w:pPr>
            <w:r>
              <w:rPr>
                <w:rFonts w:ascii="Arial" w:cs="Arial" w:eastAsia="Arial" w:hAnsi="Arial"/>
                <w:sz w:val="20"/>
                <w:szCs w:val="20"/>
                <w:color w:val="auto"/>
              </w:rPr>
              <w:t>/s/ David A. Marple</w:t>
            </w:r>
          </w:p>
        </w:tc>
      </w:tr>
      <w:tr>
        <w:trPr>
          <w:trHeight w:val="20"/>
        </w:trPr>
        <w:tc>
          <w:tcPr>
            <w:tcW w:w="3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233"/>
        </w:trPr>
        <w:tc>
          <w:tcPr>
            <w:tcW w:w="3320" w:type="dxa"/>
            <w:vAlign w:val="bottom"/>
          </w:tcPr>
          <w:p>
            <w:pPr>
              <w:spacing w:after="0"/>
              <w:rPr>
                <w:sz w:val="20"/>
                <w:szCs w:val="20"/>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Name: David A. Marple</w:t>
            </w:r>
          </w:p>
        </w:tc>
      </w:tr>
      <w:tr>
        <w:trPr>
          <w:trHeight w:val="250"/>
        </w:trPr>
        <w:tc>
          <w:tcPr>
            <w:tcW w:w="3320" w:type="dxa"/>
            <w:vAlign w:val="bottom"/>
          </w:tcPr>
          <w:p>
            <w:pPr>
              <w:spacing w:after="0"/>
              <w:rPr>
                <w:sz w:val="21"/>
                <w:szCs w:val="21"/>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Title:</w:t>
            </w:r>
          </w:p>
        </w:tc>
        <w:tc>
          <w:tcPr>
            <w:tcW w:w="6100" w:type="dxa"/>
            <w:vAlign w:val="bottom"/>
            <w:gridSpan w:val="2"/>
          </w:tcPr>
          <w:p>
            <w:pPr>
              <w:ind w:left="40"/>
              <w:spacing w:after="0"/>
              <w:rPr>
                <w:sz w:val="20"/>
                <w:szCs w:val="20"/>
                <w:color w:val="auto"/>
              </w:rPr>
            </w:pPr>
            <w:r>
              <w:rPr>
                <w:rFonts w:ascii="Arial" w:cs="Arial" w:eastAsia="Arial" w:hAnsi="Arial"/>
                <w:sz w:val="20"/>
                <w:szCs w:val="20"/>
                <w:color w:val="auto"/>
              </w:rPr>
              <w:t>General Counsel</w:t>
            </w:r>
          </w:p>
        </w:tc>
      </w:tr>
      <w:tr>
        <w:trPr>
          <w:trHeight w:val="459"/>
        </w:trPr>
        <w:tc>
          <w:tcPr>
            <w:tcW w:w="3320" w:type="dxa"/>
            <w:vAlign w:val="bottom"/>
          </w:tcPr>
          <w:p>
            <w:pPr>
              <w:spacing w:after="0"/>
              <w:rPr>
                <w:sz w:val="20"/>
                <w:szCs w:val="20"/>
                <w:color w:val="auto"/>
              </w:rPr>
            </w:pPr>
            <w:r>
              <w:rPr>
                <w:rFonts w:ascii="Arial" w:cs="Arial" w:eastAsia="Arial" w:hAnsi="Arial"/>
                <w:sz w:val="20"/>
                <w:szCs w:val="20"/>
                <w:color w:val="auto"/>
              </w:rPr>
              <w:t>Date: February 20, 2020</w:t>
            </w: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THE VÄRDE SKYWAY FUND UGP, LLC</w:t>
            </w:r>
          </w:p>
        </w:tc>
      </w:tr>
      <w:tr>
        <w:trPr>
          <w:trHeight w:val="438"/>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Värde Partners, L.P.,</w:t>
            </w:r>
          </w:p>
        </w:tc>
      </w:tr>
      <w:tr>
        <w:trPr>
          <w:trHeight w:val="250"/>
        </w:trPr>
        <w:tc>
          <w:tcPr>
            <w:tcW w:w="3320" w:type="dxa"/>
            <w:vAlign w:val="bottom"/>
          </w:tcPr>
          <w:p>
            <w:pPr>
              <w:spacing w:after="0"/>
              <w:rPr>
                <w:sz w:val="21"/>
                <w:szCs w:val="21"/>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Managing Member</w:t>
            </w:r>
          </w:p>
        </w:tc>
      </w:tr>
      <w:tr>
        <w:trPr>
          <w:trHeight w:val="438"/>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Värde Partners, Inc.,</w:t>
            </w:r>
          </w:p>
        </w:tc>
      </w:tr>
      <w:tr>
        <w:trPr>
          <w:trHeight w:val="250"/>
        </w:trPr>
        <w:tc>
          <w:tcPr>
            <w:tcW w:w="3320" w:type="dxa"/>
            <w:vAlign w:val="bottom"/>
          </w:tcPr>
          <w:p>
            <w:pPr>
              <w:spacing w:after="0"/>
              <w:rPr>
                <w:sz w:val="21"/>
                <w:szCs w:val="21"/>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15"/>
        </w:trPr>
        <w:tc>
          <w:tcPr>
            <w:tcW w:w="3320" w:type="dxa"/>
            <w:vAlign w:val="bottom"/>
          </w:tcPr>
          <w:p>
            <w:pPr>
              <w:spacing w:after="0"/>
              <w:rPr>
                <w:sz w:val="24"/>
                <w:szCs w:val="24"/>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By:</w:t>
            </w:r>
          </w:p>
        </w:tc>
        <w:tc>
          <w:tcPr>
            <w:tcW w:w="6100" w:type="dxa"/>
            <w:vAlign w:val="bottom"/>
            <w:gridSpan w:val="2"/>
          </w:tcPr>
          <w:p>
            <w:pPr>
              <w:spacing w:after="0"/>
              <w:rPr>
                <w:sz w:val="20"/>
                <w:szCs w:val="20"/>
                <w:color w:val="auto"/>
              </w:rPr>
            </w:pPr>
            <w:r>
              <w:rPr>
                <w:rFonts w:ascii="Arial" w:cs="Arial" w:eastAsia="Arial" w:hAnsi="Arial"/>
                <w:sz w:val="20"/>
                <w:szCs w:val="20"/>
                <w:color w:val="auto"/>
              </w:rPr>
              <w:t>/s/ David A. Marple</w:t>
            </w:r>
          </w:p>
        </w:tc>
      </w:tr>
      <w:tr>
        <w:trPr>
          <w:trHeight w:val="20"/>
        </w:trPr>
        <w:tc>
          <w:tcPr>
            <w:tcW w:w="3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233"/>
        </w:trPr>
        <w:tc>
          <w:tcPr>
            <w:tcW w:w="3320" w:type="dxa"/>
            <w:vAlign w:val="bottom"/>
          </w:tcPr>
          <w:p>
            <w:pPr>
              <w:spacing w:after="0"/>
              <w:rPr>
                <w:sz w:val="20"/>
                <w:szCs w:val="20"/>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Name: David A. Marple</w:t>
            </w:r>
          </w:p>
        </w:tc>
      </w:tr>
      <w:tr>
        <w:trPr>
          <w:trHeight w:val="250"/>
        </w:trPr>
        <w:tc>
          <w:tcPr>
            <w:tcW w:w="3320" w:type="dxa"/>
            <w:vAlign w:val="bottom"/>
          </w:tcPr>
          <w:p>
            <w:pPr>
              <w:spacing w:after="0"/>
              <w:rPr>
                <w:sz w:val="21"/>
                <w:szCs w:val="21"/>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Title:</w:t>
            </w:r>
          </w:p>
        </w:tc>
        <w:tc>
          <w:tcPr>
            <w:tcW w:w="6100" w:type="dxa"/>
            <w:vAlign w:val="bottom"/>
            <w:gridSpan w:val="2"/>
          </w:tcPr>
          <w:p>
            <w:pPr>
              <w:ind w:left="40"/>
              <w:spacing w:after="0"/>
              <w:rPr>
                <w:sz w:val="20"/>
                <w:szCs w:val="20"/>
                <w:color w:val="auto"/>
              </w:rPr>
            </w:pPr>
            <w:r>
              <w:rPr>
                <w:rFonts w:ascii="Arial" w:cs="Arial" w:eastAsia="Arial" w:hAnsi="Arial"/>
                <w:sz w:val="20"/>
                <w:szCs w:val="20"/>
                <w:color w:val="auto"/>
              </w:rPr>
              <w:t>General Counsel</w:t>
            </w:r>
          </w:p>
        </w:tc>
      </w:tr>
      <w:tr>
        <w:trPr>
          <w:trHeight w:val="459"/>
        </w:trPr>
        <w:tc>
          <w:tcPr>
            <w:tcW w:w="3320" w:type="dxa"/>
            <w:vAlign w:val="bottom"/>
          </w:tcPr>
          <w:p>
            <w:pPr>
              <w:spacing w:after="0"/>
              <w:rPr>
                <w:sz w:val="20"/>
                <w:szCs w:val="20"/>
                <w:color w:val="auto"/>
              </w:rPr>
            </w:pPr>
            <w:r>
              <w:rPr>
                <w:rFonts w:ascii="Arial" w:cs="Arial" w:eastAsia="Arial" w:hAnsi="Arial"/>
                <w:sz w:val="20"/>
                <w:szCs w:val="20"/>
                <w:color w:val="auto"/>
              </w:rPr>
              <w:t>Date: February 20, 2020</w:t>
            </w: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VÄRDE CREDIT PARTNERS MASTER, L.P.</w:t>
            </w:r>
          </w:p>
        </w:tc>
      </w:tr>
      <w:tr>
        <w:trPr>
          <w:trHeight w:val="438"/>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Värde Credit Partners G.P., L.P.,</w:t>
            </w:r>
          </w:p>
        </w:tc>
      </w:tr>
      <w:tr>
        <w:trPr>
          <w:trHeight w:val="250"/>
        </w:trPr>
        <w:tc>
          <w:tcPr>
            <w:tcW w:w="3320" w:type="dxa"/>
            <w:vAlign w:val="bottom"/>
          </w:tcPr>
          <w:p>
            <w:pPr>
              <w:spacing w:after="0"/>
              <w:rPr>
                <w:sz w:val="21"/>
                <w:szCs w:val="21"/>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38"/>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Värde Credit Partners UGP, LLC,</w:t>
            </w:r>
          </w:p>
        </w:tc>
      </w:tr>
      <w:tr>
        <w:trPr>
          <w:trHeight w:val="250"/>
        </w:trPr>
        <w:tc>
          <w:tcPr>
            <w:tcW w:w="3320" w:type="dxa"/>
            <w:vAlign w:val="bottom"/>
          </w:tcPr>
          <w:p>
            <w:pPr>
              <w:spacing w:after="0"/>
              <w:rPr>
                <w:sz w:val="21"/>
                <w:szCs w:val="21"/>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38"/>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Värde Partners, L.P.,</w:t>
            </w:r>
          </w:p>
        </w:tc>
      </w:tr>
      <w:tr>
        <w:trPr>
          <w:trHeight w:val="250"/>
        </w:trPr>
        <w:tc>
          <w:tcPr>
            <w:tcW w:w="3320" w:type="dxa"/>
            <w:vAlign w:val="bottom"/>
          </w:tcPr>
          <w:p>
            <w:pPr>
              <w:spacing w:after="0"/>
              <w:rPr>
                <w:sz w:val="21"/>
                <w:szCs w:val="21"/>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Managing Member</w:t>
            </w:r>
          </w:p>
        </w:tc>
      </w:tr>
      <w:tr>
        <w:trPr>
          <w:trHeight w:val="438"/>
        </w:trPr>
        <w:tc>
          <w:tcPr>
            <w:tcW w:w="3320" w:type="dxa"/>
            <w:vAlign w:val="bottom"/>
          </w:tcPr>
          <w:p>
            <w:pPr>
              <w:spacing w:after="0"/>
              <w:rPr>
                <w:sz w:val="24"/>
                <w:szCs w:val="24"/>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By: Värde Partners, Inc.,</w:t>
            </w:r>
          </w:p>
        </w:tc>
      </w:tr>
      <w:tr>
        <w:trPr>
          <w:trHeight w:val="250"/>
        </w:trPr>
        <w:tc>
          <w:tcPr>
            <w:tcW w:w="3320" w:type="dxa"/>
            <w:vAlign w:val="bottom"/>
          </w:tcPr>
          <w:p>
            <w:pPr>
              <w:spacing w:after="0"/>
              <w:rPr>
                <w:sz w:val="21"/>
                <w:szCs w:val="21"/>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Its General Partner</w:t>
            </w:r>
          </w:p>
        </w:tc>
      </w:tr>
      <w:tr>
        <w:trPr>
          <w:trHeight w:val="415"/>
        </w:trPr>
        <w:tc>
          <w:tcPr>
            <w:tcW w:w="3320" w:type="dxa"/>
            <w:vAlign w:val="bottom"/>
          </w:tcPr>
          <w:p>
            <w:pPr>
              <w:spacing w:after="0"/>
              <w:rPr>
                <w:sz w:val="24"/>
                <w:szCs w:val="24"/>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By:</w:t>
            </w:r>
          </w:p>
        </w:tc>
        <w:tc>
          <w:tcPr>
            <w:tcW w:w="6100" w:type="dxa"/>
            <w:vAlign w:val="bottom"/>
            <w:gridSpan w:val="2"/>
          </w:tcPr>
          <w:p>
            <w:pPr>
              <w:spacing w:after="0"/>
              <w:rPr>
                <w:sz w:val="20"/>
                <w:szCs w:val="20"/>
                <w:color w:val="auto"/>
              </w:rPr>
            </w:pPr>
            <w:r>
              <w:rPr>
                <w:rFonts w:ascii="Arial" w:cs="Arial" w:eastAsia="Arial" w:hAnsi="Arial"/>
                <w:sz w:val="20"/>
                <w:szCs w:val="20"/>
                <w:color w:val="auto"/>
              </w:rPr>
              <w:t>/s/ David A. Marple</w:t>
            </w:r>
          </w:p>
        </w:tc>
      </w:tr>
      <w:tr>
        <w:trPr>
          <w:trHeight w:val="20"/>
        </w:trPr>
        <w:tc>
          <w:tcPr>
            <w:tcW w:w="3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233"/>
        </w:trPr>
        <w:tc>
          <w:tcPr>
            <w:tcW w:w="3320" w:type="dxa"/>
            <w:vAlign w:val="bottom"/>
          </w:tcPr>
          <w:p>
            <w:pPr>
              <w:spacing w:after="0"/>
              <w:rPr>
                <w:sz w:val="20"/>
                <w:szCs w:val="20"/>
                <w:color w:val="auto"/>
              </w:rPr>
            </w:pPr>
          </w:p>
        </w:tc>
        <w:tc>
          <w:tcPr>
            <w:tcW w:w="8100" w:type="dxa"/>
            <w:vAlign w:val="bottom"/>
            <w:gridSpan w:val="3"/>
          </w:tcPr>
          <w:p>
            <w:pPr>
              <w:ind w:left="1380"/>
              <w:spacing w:after="0"/>
              <w:rPr>
                <w:sz w:val="20"/>
                <w:szCs w:val="20"/>
                <w:color w:val="auto"/>
              </w:rPr>
            </w:pPr>
            <w:r>
              <w:rPr>
                <w:rFonts w:ascii="Arial" w:cs="Arial" w:eastAsia="Arial" w:hAnsi="Arial"/>
                <w:sz w:val="20"/>
                <w:szCs w:val="20"/>
                <w:color w:val="auto"/>
              </w:rPr>
              <w:t>Name: David A. Marple</w:t>
            </w:r>
          </w:p>
        </w:tc>
      </w:tr>
      <w:tr>
        <w:trPr>
          <w:trHeight w:val="250"/>
        </w:trPr>
        <w:tc>
          <w:tcPr>
            <w:tcW w:w="3320" w:type="dxa"/>
            <w:vAlign w:val="bottom"/>
          </w:tcPr>
          <w:p>
            <w:pPr>
              <w:spacing w:after="0"/>
              <w:rPr>
                <w:sz w:val="21"/>
                <w:szCs w:val="21"/>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Title:</w:t>
            </w:r>
          </w:p>
        </w:tc>
        <w:tc>
          <w:tcPr>
            <w:tcW w:w="6100" w:type="dxa"/>
            <w:vAlign w:val="bottom"/>
            <w:gridSpan w:val="2"/>
          </w:tcPr>
          <w:p>
            <w:pPr>
              <w:ind w:left="40"/>
              <w:spacing w:after="0"/>
              <w:rPr>
                <w:sz w:val="20"/>
                <w:szCs w:val="20"/>
                <w:color w:val="auto"/>
              </w:rPr>
            </w:pPr>
            <w:r>
              <w:rPr>
                <w:rFonts w:ascii="Arial" w:cs="Arial" w:eastAsia="Arial" w:hAnsi="Arial"/>
                <w:sz w:val="20"/>
                <w:szCs w:val="20"/>
                <w:color w:val="auto"/>
              </w:rPr>
              <w:t>General Counsel</w:t>
            </w:r>
          </w:p>
        </w:tc>
      </w:tr>
      <w:tr>
        <w:trPr>
          <w:trHeight w:val="408"/>
        </w:trPr>
        <w:tc>
          <w:tcPr>
            <w:tcW w:w="33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52" w:right="239" w:bottom="144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320" w:type="dxa"/>
            <w:vAlign w:val="bottom"/>
          </w:tcPr>
          <w:p>
            <w:pPr>
              <w:spacing w:after="0"/>
              <w:rPr>
                <w:sz w:val="20"/>
                <w:szCs w:val="20"/>
                <w:color w:val="auto"/>
              </w:rPr>
            </w:pPr>
            <w:r>
              <w:rPr>
                <w:rFonts w:ascii="Arial" w:cs="Arial" w:eastAsia="Arial" w:hAnsi="Arial"/>
                <w:sz w:val="20"/>
                <w:szCs w:val="20"/>
                <w:color w:val="auto"/>
              </w:rPr>
              <w:t>Date: February 20, 2020</w:t>
            </w:r>
          </w:p>
        </w:tc>
        <w:tc>
          <w:tcPr>
            <w:tcW w:w="4820" w:type="dxa"/>
            <w:vAlign w:val="bottom"/>
            <w:gridSpan w:val="5"/>
          </w:tcPr>
          <w:p>
            <w:pPr>
              <w:ind w:left="1380"/>
              <w:spacing w:after="0"/>
              <w:rPr>
                <w:sz w:val="20"/>
                <w:szCs w:val="20"/>
                <w:color w:val="auto"/>
              </w:rPr>
            </w:pPr>
            <w:r>
              <w:rPr>
                <w:rFonts w:ascii="Arial" w:cs="Arial" w:eastAsia="Arial" w:hAnsi="Arial"/>
                <w:sz w:val="20"/>
                <w:szCs w:val="20"/>
                <w:color w:val="auto"/>
                <w:w w:val="96"/>
              </w:rPr>
              <w:t>VÄRDE CREDIT PARTNERS G.P., L.P.</w:t>
            </w:r>
          </w:p>
        </w:tc>
      </w:tr>
      <w:tr>
        <w:trPr>
          <w:trHeight w:val="438"/>
        </w:trPr>
        <w:tc>
          <w:tcPr>
            <w:tcW w:w="3320" w:type="dxa"/>
            <w:vAlign w:val="bottom"/>
          </w:tcPr>
          <w:p>
            <w:pPr>
              <w:spacing w:after="0"/>
              <w:rPr>
                <w:sz w:val="24"/>
                <w:szCs w:val="24"/>
                <w:color w:val="auto"/>
              </w:rPr>
            </w:pPr>
          </w:p>
        </w:tc>
        <w:tc>
          <w:tcPr>
            <w:tcW w:w="4820" w:type="dxa"/>
            <w:vAlign w:val="bottom"/>
            <w:gridSpan w:val="5"/>
          </w:tcPr>
          <w:p>
            <w:pPr>
              <w:ind w:left="1380"/>
              <w:spacing w:after="0"/>
              <w:rPr>
                <w:sz w:val="20"/>
                <w:szCs w:val="20"/>
                <w:color w:val="auto"/>
              </w:rPr>
            </w:pPr>
            <w:r>
              <w:rPr>
                <w:rFonts w:ascii="Arial" w:cs="Arial" w:eastAsia="Arial" w:hAnsi="Arial"/>
                <w:sz w:val="20"/>
                <w:szCs w:val="20"/>
                <w:color w:val="auto"/>
              </w:rPr>
              <w:t>By: Värde Credit Partners UGP, LLC,</w:t>
            </w:r>
          </w:p>
        </w:tc>
      </w:tr>
      <w:tr>
        <w:trPr>
          <w:trHeight w:val="250"/>
        </w:trPr>
        <w:tc>
          <w:tcPr>
            <w:tcW w:w="3320" w:type="dxa"/>
            <w:vAlign w:val="bottom"/>
          </w:tcPr>
          <w:p>
            <w:pPr>
              <w:spacing w:after="0"/>
              <w:rPr>
                <w:sz w:val="21"/>
                <w:szCs w:val="21"/>
                <w:color w:val="auto"/>
              </w:rPr>
            </w:pPr>
          </w:p>
        </w:tc>
        <w:tc>
          <w:tcPr>
            <w:tcW w:w="4820" w:type="dxa"/>
            <w:vAlign w:val="bottom"/>
            <w:gridSpan w:val="5"/>
          </w:tcPr>
          <w:p>
            <w:pPr>
              <w:ind w:left="1380"/>
              <w:spacing w:after="0"/>
              <w:rPr>
                <w:sz w:val="20"/>
                <w:szCs w:val="20"/>
                <w:color w:val="auto"/>
              </w:rPr>
            </w:pPr>
            <w:r>
              <w:rPr>
                <w:rFonts w:ascii="Arial" w:cs="Arial" w:eastAsia="Arial" w:hAnsi="Arial"/>
                <w:sz w:val="20"/>
                <w:szCs w:val="20"/>
                <w:color w:val="auto"/>
              </w:rPr>
              <w:t>its General Partner</w:t>
            </w:r>
          </w:p>
        </w:tc>
      </w:tr>
      <w:tr>
        <w:trPr>
          <w:trHeight w:val="438"/>
        </w:trPr>
        <w:tc>
          <w:tcPr>
            <w:tcW w:w="3320" w:type="dxa"/>
            <w:vAlign w:val="bottom"/>
          </w:tcPr>
          <w:p>
            <w:pPr>
              <w:spacing w:after="0"/>
              <w:rPr>
                <w:sz w:val="24"/>
                <w:szCs w:val="24"/>
                <w:color w:val="auto"/>
              </w:rPr>
            </w:pPr>
          </w:p>
        </w:tc>
        <w:tc>
          <w:tcPr>
            <w:tcW w:w="4820" w:type="dxa"/>
            <w:vAlign w:val="bottom"/>
            <w:gridSpan w:val="5"/>
          </w:tcPr>
          <w:p>
            <w:pPr>
              <w:ind w:left="1380"/>
              <w:spacing w:after="0"/>
              <w:rPr>
                <w:sz w:val="20"/>
                <w:szCs w:val="20"/>
                <w:color w:val="auto"/>
              </w:rPr>
            </w:pPr>
            <w:r>
              <w:rPr>
                <w:rFonts w:ascii="Arial" w:cs="Arial" w:eastAsia="Arial" w:hAnsi="Arial"/>
                <w:sz w:val="20"/>
                <w:szCs w:val="20"/>
                <w:color w:val="auto"/>
              </w:rPr>
              <w:t>By: Värde Partners, L.P.,</w:t>
            </w:r>
          </w:p>
        </w:tc>
      </w:tr>
      <w:tr>
        <w:trPr>
          <w:trHeight w:val="250"/>
        </w:trPr>
        <w:tc>
          <w:tcPr>
            <w:tcW w:w="3320" w:type="dxa"/>
            <w:vAlign w:val="bottom"/>
          </w:tcPr>
          <w:p>
            <w:pPr>
              <w:spacing w:after="0"/>
              <w:rPr>
                <w:sz w:val="21"/>
                <w:szCs w:val="21"/>
                <w:color w:val="auto"/>
              </w:rPr>
            </w:pPr>
          </w:p>
        </w:tc>
        <w:tc>
          <w:tcPr>
            <w:tcW w:w="4820" w:type="dxa"/>
            <w:vAlign w:val="bottom"/>
            <w:gridSpan w:val="5"/>
          </w:tcPr>
          <w:p>
            <w:pPr>
              <w:ind w:left="1380"/>
              <w:spacing w:after="0"/>
              <w:rPr>
                <w:sz w:val="20"/>
                <w:szCs w:val="20"/>
                <w:color w:val="auto"/>
              </w:rPr>
            </w:pPr>
            <w:r>
              <w:rPr>
                <w:rFonts w:ascii="Arial" w:cs="Arial" w:eastAsia="Arial" w:hAnsi="Arial"/>
                <w:sz w:val="20"/>
                <w:szCs w:val="20"/>
                <w:color w:val="auto"/>
              </w:rPr>
              <w:t>Its Managing Member</w:t>
            </w:r>
          </w:p>
        </w:tc>
      </w:tr>
      <w:tr>
        <w:trPr>
          <w:trHeight w:val="438"/>
        </w:trPr>
        <w:tc>
          <w:tcPr>
            <w:tcW w:w="3320" w:type="dxa"/>
            <w:vAlign w:val="bottom"/>
          </w:tcPr>
          <w:p>
            <w:pPr>
              <w:spacing w:after="0"/>
              <w:rPr>
                <w:sz w:val="24"/>
                <w:szCs w:val="24"/>
                <w:color w:val="auto"/>
              </w:rPr>
            </w:pPr>
          </w:p>
        </w:tc>
        <w:tc>
          <w:tcPr>
            <w:tcW w:w="4820" w:type="dxa"/>
            <w:vAlign w:val="bottom"/>
            <w:gridSpan w:val="5"/>
          </w:tcPr>
          <w:p>
            <w:pPr>
              <w:ind w:left="1380"/>
              <w:spacing w:after="0"/>
              <w:rPr>
                <w:sz w:val="20"/>
                <w:szCs w:val="20"/>
                <w:color w:val="auto"/>
              </w:rPr>
            </w:pPr>
            <w:r>
              <w:rPr>
                <w:rFonts w:ascii="Arial" w:cs="Arial" w:eastAsia="Arial" w:hAnsi="Arial"/>
                <w:sz w:val="20"/>
                <w:szCs w:val="20"/>
                <w:color w:val="auto"/>
              </w:rPr>
              <w:t>By: Värde Partners, Inc.,</w:t>
            </w:r>
          </w:p>
        </w:tc>
      </w:tr>
      <w:tr>
        <w:trPr>
          <w:trHeight w:val="250"/>
        </w:trPr>
        <w:tc>
          <w:tcPr>
            <w:tcW w:w="3320" w:type="dxa"/>
            <w:vAlign w:val="bottom"/>
          </w:tcPr>
          <w:p>
            <w:pPr>
              <w:spacing w:after="0"/>
              <w:rPr>
                <w:sz w:val="21"/>
                <w:szCs w:val="21"/>
                <w:color w:val="auto"/>
              </w:rPr>
            </w:pPr>
          </w:p>
        </w:tc>
        <w:tc>
          <w:tcPr>
            <w:tcW w:w="4820" w:type="dxa"/>
            <w:vAlign w:val="bottom"/>
            <w:gridSpan w:val="5"/>
          </w:tcPr>
          <w:p>
            <w:pPr>
              <w:ind w:left="1380"/>
              <w:spacing w:after="0"/>
              <w:rPr>
                <w:sz w:val="20"/>
                <w:szCs w:val="20"/>
                <w:color w:val="auto"/>
              </w:rPr>
            </w:pPr>
            <w:r>
              <w:rPr>
                <w:rFonts w:ascii="Arial" w:cs="Arial" w:eastAsia="Arial" w:hAnsi="Arial"/>
                <w:sz w:val="20"/>
                <w:szCs w:val="20"/>
                <w:color w:val="auto"/>
              </w:rPr>
              <w:t>Its General Partner</w:t>
            </w:r>
          </w:p>
        </w:tc>
      </w:tr>
      <w:tr>
        <w:trPr>
          <w:trHeight w:val="415"/>
        </w:trPr>
        <w:tc>
          <w:tcPr>
            <w:tcW w:w="3320" w:type="dxa"/>
            <w:vAlign w:val="bottom"/>
          </w:tcPr>
          <w:p>
            <w:pPr>
              <w:spacing w:after="0"/>
              <w:rPr>
                <w:sz w:val="24"/>
                <w:szCs w:val="24"/>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By:</w:t>
            </w:r>
          </w:p>
        </w:tc>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3"/>
              </w:rPr>
              <w:t>/s/ David A. Marple</w:t>
            </w:r>
          </w:p>
        </w:tc>
        <w:tc>
          <w:tcPr>
            <w:tcW w:w="1220" w:type="dxa"/>
            <w:vAlign w:val="bottom"/>
            <w:gridSpan w:val="2"/>
          </w:tcPr>
          <w:p>
            <w:pPr>
              <w:spacing w:after="0"/>
              <w:rPr>
                <w:sz w:val="24"/>
                <w:szCs w:val="24"/>
                <w:color w:val="auto"/>
              </w:rPr>
            </w:pPr>
          </w:p>
        </w:tc>
      </w:tr>
      <w:tr>
        <w:trPr>
          <w:trHeight w:val="233"/>
        </w:trPr>
        <w:tc>
          <w:tcPr>
            <w:tcW w:w="3320" w:type="dxa"/>
            <w:vAlign w:val="bottom"/>
          </w:tcPr>
          <w:p>
            <w:pPr>
              <w:spacing w:after="0"/>
              <w:rPr>
                <w:sz w:val="20"/>
                <w:szCs w:val="20"/>
                <w:color w:val="auto"/>
              </w:rPr>
            </w:pPr>
          </w:p>
        </w:tc>
        <w:tc>
          <w:tcPr>
            <w:tcW w:w="4820" w:type="dxa"/>
            <w:vAlign w:val="bottom"/>
            <w:gridSpan w:val="5"/>
          </w:tcPr>
          <w:p>
            <w:pPr>
              <w:ind w:left="1380"/>
              <w:spacing w:after="0"/>
              <w:rPr>
                <w:sz w:val="20"/>
                <w:szCs w:val="20"/>
                <w:color w:val="auto"/>
              </w:rPr>
            </w:pPr>
            <w:r>
              <w:rPr>
                <w:rFonts w:ascii="Arial" w:cs="Arial" w:eastAsia="Arial" w:hAnsi="Arial"/>
                <w:sz w:val="20"/>
                <w:szCs w:val="20"/>
                <w:color w:val="auto"/>
              </w:rPr>
              <w:t>Name: David A. Marple</w:t>
            </w:r>
          </w:p>
        </w:tc>
      </w:tr>
      <w:tr>
        <w:trPr>
          <w:trHeight w:val="250"/>
        </w:trPr>
        <w:tc>
          <w:tcPr>
            <w:tcW w:w="3320" w:type="dxa"/>
            <w:vAlign w:val="bottom"/>
          </w:tcPr>
          <w:p>
            <w:pPr>
              <w:spacing w:after="0"/>
              <w:rPr>
                <w:sz w:val="21"/>
                <w:szCs w:val="21"/>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Title:</w:t>
            </w:r>
          </w:p>
        </w:tc>
        <w:tc>
          <w:tcPr>
            <w:tcW w:w="2820" w:type="dxa"/>
            <w:vAlign w:val="bottom"/>
            <w:gridSpan w:val="4"/>
          </w:tcPr>
          <w:p>
            <w:pPr>
              <w:ind w:left="40"/>
              <w:spacing w:after="0"/>
              <w:rPr>
                <w:sz w:val="20"/>
                <w:szCs w:val="20"/>
                <w:color w:val="auto"/>
              </w:rPr>
            </w:pPr>
            <w:r>
              <w:rPr>
                <w:rFonts w:ascii="Arial" w:cs="Arial" w:eastAsia="Arial" w:hAnsi="Arial"/>
                <w:sz w:val="20"/>
                <w:szCs w:val="20"/>
                <w:color w:val="auto"/>
              </w:rPr>
              <w:t>General Counsel</w:t>
            </w:r>
          </w:p>
        </w:tc>
      </w:tr>
      <w:tr>
        <w:trPr>
          <w:trHeight w:val="459"/>
        </w:trPr>
        <w:tc>
          <w:tcPr>
            <w:tcW w:w="3320" w:type="dxa"/>
            <w:vAlign w:val="bottom"/>
          </w:tcPr>
          <w:p>
            <w:pPr>
              <w:spacing w:after="0"/>
              <w:rPr>
                <w:sz w:val="20"/>
                <w:szCs w:val="20"/>
                <w:color w:val="auto"/>
              </w:rPr>
            </w:pPr>
            <w:r>
              <w:rPr>
                <w:rFonts w:ascii="Arial" w:cs="Arial" w:eastAsia="Arial" w:hAnsi="Arial"/>
                <w:sz w:val="20"/>
                <w:szCs w:val="20"/>
                <w:color w:val="auto"/>
              </w:rPr>
              <w:t>Date: February 20, 2020</w:t>
            </w:r>
          </w:p>
        </w:tc>
        <w:tc>
          <w:tcPr>
            <w:tcW w:w="4820" w:type="dxa"/>
            <w:vAlign w:val="bottom"/>
            <w:gridSpan w:val="5"/>
          </w:tcPr>
          <w:p>
            <w:pPr>
              <w:ind w:left="1380"/>
              <w:spacing w:after="0"/>
              <w:rPr>
                <w:sz w:val="20"/>
                <w:szCs w:val="20"/>
                <w:color w:val="auto"/>
              </w:rPr>
            </w:pPr>
            <w:r>
              <w:rPr>
                <w:rFonts w:ascii="Arial" w:cs="Arial" w:eastAsia="Arial" w:hAnsi="Arial"/>
                <w:sz w:val="20"/>
                <w:szCs w:val="20"/>
                <w:color w:val="auto"/>
                <w:w w:val="94"/>
              </w:rPr>
              <w:t>VÄRDE CREDIT PARTNERS UGP, LLC</w:t>
            </w:r>
          </w:p>
        </w:tc>
      </w:tr>
      <w:tr>
        <w:trPr>
          <w:trHeight w:val="438"/>
        </w:trPr>
        <w:tc>
          <w:tcPr>
            <w:tcW w:w="3320" w:type="dxa"/>
            <w:vAlign w:val="bottom"/>
          </w:tcPr>
          <w:p>
            <w:pPr>
              <w:spacing w:after="0"/>
              <w:rPr>
                <w:sz w:val="24"/>
                <w:szCs w:val="24"/>
                <w:color w:val="auto"/>
              </w:rPr>
            </w:pPr>
          </w:p>
        </w:tc>
        <w:tc>
          <w:tcPr>
            <w:tcW w:w="4820" w:type="dxa"/>
            <w:vAlign w:val="bottom"/>
            <w:gridSpan w:val="5"/>
          </w:tcPr>
          <w:p>
            <w:pPr>
              <w:ind w:left="1380"/>
              <w:spacing w:after="0"/>
              <w:rPr>
                <w:sz w:val="20"/>
                <w:szCs w:val="20"/>
                <w:color w:val="auto"/>
              </w:rPr>
            </w:pPr>
            <w:r>
              <w:rPr>
                <w:rFonts w:ascii="Arial" w:cs="Arial" w:eastAsia="Arial" w:hAnsi="Arial"/>
                <w:sz w:val="20"/>
                <w:szCs w:val="20"/>
                <w:color w:val="auto"/>
              </w:rPr>
              <w:t>By: Värde Partners, L.P.,</w:t>
            </w:r>
          </w:p>
        </w:tc>
      </w:tr>
      <w:tr>
        <w:trPr>
          <w:trHeight w:val="250"/>
        </w:trPr>
        <w:tc>
          <w:tcPr>
            <w:tcW w:w="3320" w:type="dxa"/>
            <w:vAlign w:val="bottom"/>
          </w:tcPr>
          <w:p>
            <w:pPr>
              <w:spacing w:after="0"/>
              <w:rPr>
                <w:sz w:val="21"/>
                <w:szCs w:val="21"/>
                <w:color w:val="auto"/>
              </w:rPr>
            </w:pPr>
          </w:p>
        </w:tc>
        <w:tc>
          <w:tcPr>
            <w:tcW w:w="4820" w:type="dxa"/>
            <w:vAlign w:val="bottom"/>
            <w:gridSpan w:val="5"/>
          </w:tcPr>
          <w:p>
            <w:pPr>
              <w:ind w:left="1380"/>
              <w:spacing w:after="0"/>
              <w:rPr>
                <w:sz w:val="20"/>
                <w:szCs w:val="20"/>
                <w:color w:val="auto"/>
              </w:rPr>
            </w:pPr>
            <w:r>
              <w:rPr>
                <w:rFonts w:ascii="Arial" w:cs="Arial" w:eastAsia="Arial" w:hAnsi="Arial"/>
                <w:sz w:val="20"/>
                <w:szCs w:val="20"/>
                <w:color w:val="auto"/>
              </w:rPr>
              <w:t>Its Managing Member</w:t>
            </w:r>
          </w:p>
        </w:tc>
      </w:tr>
      <w:tr>
        <w:trPr>
          <w:trHeight w:val="438"/>
        </w:trPr>
        <w:tc>
          <w:tcPr>
            <w:tcW w:w="3320" w:type="dxa"/>
            <w:vAlign w:val="bottom"/>
          </w:tcPr>
          <w:p>
            <w:pPr>
              <w:spacing w:after="0"/>
              <w:rPr>
                <w:sz w:val="24"/>
                <w:szCs w:val="24"/>
                <w:color w:val="auto"/>
              </w:rPr>
            </w:pPr>
          </w:p>
        </w:tc>
        <w:tc>
          <w:tcPr>
            <w:tcW w:w="4820" w:type="dxa"/>
            <w:vAlign w:val="bottom"/>
            <w:gridSpan w:val="5"/>
          </w:tcPr>
          <w:p>
            <w:pPr>
              <w:ind w:left="1380"/>
              <w:spacing w:after="0"/>
              <w:rPr>
                <w:sz w:val="20"/>
                <w:szCs w:val="20"/>
                <w:color w:val="auto"/>
              </w:rPr>
            </w:pPr>
            <w:r>
              <w:rPr>
                <w:rFonts w:ascii="Arial" w:cs="Arial" w:eastAsia="Arial" w:hAnsi="Arial"/>
                <w:sz w:val="20"/>
                <w:szCs w:val="20"/>
                <w:color w:val="auto"/>
              </w:rPr>
              <w:t>By: Värde Partners, Inc.,</w:t>
            </w:r>
          </w:p>
        </w:tc>
      </w:tr>
      <w:tr>
        <w:trPr>
          <w:trHeight w:val="250"/>
        </w:trPr>
        <w:tc>
          <w:tcPr>
            <w:tcW w:w="3320" w:type="dxa"/>
            <w:vAlign w:val="bottom"/>
          </w:tcPr>
          <w:p>
            <w:pPr>
              <w:spacing w:after="0"/>
              <w:rPr>
                <w:sz w:val="21"/>
                <w:szCs w:val="21"/>
                <w:color w:val="auto"/>
              </w:rPr>
            </w:pPr>
          </w:p>
        </w:tc>
        <w:tc>
          <w:tcPr>
            <w:tcW w:w="4820" w:type="dxa"/>
            <w:vAlign w:val="bottom"/>
            <w:gridSpan w:val="5"/>
          </w:tcPr>
          <w:p>
            <w:pPr>
              <w:ind w:left="1380"/>
              <w:spacing w:after="0"/>
              <w:rPr>
                <w:sz w:val="20"/>
                <w:szCs w:val="20"/>
                <w:color w:val="auto"/>
              </w:rPr>
            </w:pPr>
            <w:r>
              <w:rPr>
                <w:rFonts w:ascii="Arial" w:cs="Arial" w:eastAsia="Arial" w:hAnsi="Arial"/>
                <w:sz w:val="20"/>
                <w:szCs w:val="20"/>
                <w:color w:val="auto"/>
              </w:rPr>
              <w:t>Its General Partner</w:t>
            </w:r>
          </w:p>
        </w:tc>
      </w:tr>
      <w:tr>
        <w:trPr>
          <w:trHeight w:val="415"/>
        </w:trPr>
        <w:tc>
          <w:tcPr>
            <w:tcW w:w="3320" w:type="dxa"/>
            <w:vAlign w:val="bottom"/>
          </w:tcPr>
          <w:p>
            <w:pPr>
              <w:spacing w:after="0"/>
              <w:rPr>
                <w:sz w:val="24"/>
                <w:szCs w:val="24"/>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By:</w:t>
            </w:r>
          </w:p>
        </w:tc>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3"/>
              </w:rPr>
              <w:t>/s/ David A. Marple</w:t>
            </w:r>
          </w:p>
        </w:tc>
        <w:tc>
          <w:tcPr>
            <w:tcW w:w="1220" w:type="dxa"/>
            <w:vAlign w:val="bottom"/>
            <w:gridSpan w:val="2"/>
          </w:tcPr>
          <w:p>
            <w:pPr>
              <w:spacing w:after="0"/>
              <w:rPr>
                <w:sz w:val="24"/>
                <w:szCs w:val="24"/>
                <w:color w:val="auto"/>
              </w:rPr>
            </w:pPr>
          </w:p>
        </w:tc>
      </w:tr>
      <w:tr>
        <w:trPr>
          <w:trHeight w:val="233"/>
        </w:trPr>
        <w:tc>
          <w:tcPr>
            <w:tcW w:w="3320" w:type="dxa"/>
            <w:vAlign w:val="bottom"/>
          </w:tcPr>
          <w:p>
            <w:pPr>
              <w:spacing w:after="0"/>
              <w:rPr>
                <w:sz w:val="20"/>
                <w:szCs w:val="20"/>
                <w:color w:val="auto"/>
              </w:rPr>
            </w:pPr>
          </w:p>
        </w:tc>
        <w:tc>
          <w:tcPr>
            <w:tcW w:w="4820" w:type="dxa"/>
            <w:vAlign w:val="bottom"/>
            <w:gridSpan w:val="5"/>
          </w:tcPr>
          <w:p>
            <w:pPr>
              <w:ind w:left="1380"/>
              <w:spacing w:after="0"/>
              <w:rPr>
                <w:sz w:val="20"/>
                <w:szCs w:val="20"/>
                <w:color w:val="auto"/>
              </w:rPr>
            </w:pPr>
            <w:r>
              <w:rPr>
                <w:rFonts w:ascii="Arial" w:cs="Arial" w:eastAsia="Arial" w:hAnsi="Arial"/>
                <w:sz w:val="20"/>
                <w:szCs w:val="20"/>
                <w:color w:val="auto"/>
              </w:rPr>
              <w:t>Name: David A. Marple</w:t>
            </w:r>
          </w:p>
        </w:tc>
      </w:tr>
      <w:tr>
        <w:trPr>
          <w:trHeight w:val="250"/>
        </w:trPr>
        <w:tc>
          <w:tcPr>
            <w:tcW w:w="3320" w:type="dxa"/>
            <w:vAlign w:val="bottom"/>
          </w:tcPr>
          <w:p>
            <w:pPr>
              <w:spacing w:after="0"/>
              <w:rPr>
                <w:sz w:val="21"/>
                <w:szCs w:val="21"/>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Title:</w:t>
            </w:r>
          </w:p>
        </w:tc>
        <w:tc>
          <w:tcPr>
            <w:tcW w:w="2820" w:type="dxa"/>
            <w:vAlign w:val="bottom"/>
            <w:gridSpan w:val="4"/>
          </w:tcPr>
          <w:p>
            <w:pPr>
              <w:ind w:left="40"/>
              <w:spacing w:after="0"/>
              <w:rPr>
                <w:sz w:val="20"/>
                <w:szCs w:val="20"/>
                <w:color w:val="auto"/>
              </w:rPr>
            </w:pPr>
            <w:r>
              <w:rPr>
                <w:rFonts w:ascii="Arial" w:cs="Arial" w:eastAsia="Arial" w:hAnsi="Arial"/>
                <w:sz w:val="20"/>
                <w:szCs w:val="20"/>
                <w:color w:val="auto"/>
              </w:rPr>
              <w:t>General Counsel</w:t>
            </w:r>
          </w:p>
        </w:tc>
      </w:tr>
      <w:tr>
        <w:trPr>
          <w:trHeight w:val="459"/>
        </w:trPr>
        <w:tc>
          <w:tcPr>
            <w:tcW w:w="3320" w:type="dxa"/>
            <w:vAlign w:val="bottom"/>
          </w:tcPr>
          <w:p>
            <w:pPr>
              <w:spacing w:after="0"/>
              <w:rPr>
                <w:sz w:val="20"/>
                <w:szCs w:val="20"/>
                <w:color w:val="auto"/>
              </w:rPr>
            </w:pPr>
            <w:r>
              <w:rPr>
                <w:rFonts w:ascii="Arial" w:cs="Arial" w:eastAsia="Arial" w:hAnsi="Arial"/>
                <w:sz w:val="20"/>
                <w:szCs w:val="20"/>
                <w:color w:val="auto"/>
              </w:rPr>
              <w:t>Date: February 20, 2020</w:t>
            </w:r>
          </w:p>
        </w:tc>
        <w:tc>
          <w:tcPr>
            <w:tcW w:w="4820" w:type="dxa"/>
            <w:vAlign w:val="bottom"/>
            <w:gridSpan w:val="5"/>
          </w:tcPr>
          <w:p>
            <w:pPr>
              <w:ind w:left="1380"/>
              <w:spacing w:after="0"/>
              <w:rPr>
                <w:sz w:val="20"/>
                <w:szCs w:val="20"/>
                <w:color w:val="auto"/>
              </w:rPr>
            </w:pPr>
            <w:r>
              <w:rPr>
                <w:rFonts w:ascii="Arial" w:cs="Arial" w:eastAsia="Arial" w:hAnsi="Arial"/>
                <w:sz w:val="20"/>
                <w:szCs w:val="20"/>
                <w:color w:val="auto"/>
                <w:w w:val="93"/>
              </w:rPr>
              <w:t>VÄRDE INVESTMENT PARTNERS, L.P.</w:t>
            </w:r>
          </w:p>
        </w:tc>
      </w:tr>
      <w:tr>
        <w:trPr>
          <w:trHeight w:val="438"/>
        </w:trPr>
        <w:tc>
          <w:tcPr>
            <w:tcW w:w="3320" w:type="dxa"/>
            <w:vAlign w:val="bottom"/>
          </w:tcPr>
          <w:p>
            <w:pPr>
              <w:spacing w:after="0"/>
              <w:rPr>
                <w:sz w:val="24"/>
                <w:szCs w:val="24"/>
                <w:color w:val="auto"/>
              </w:rPr>
            </w:pPr>
          </w:p>
        </w:tc>
        <w:tc>
          <w:tcPr>
            <w:tcW w:w="4820" w:type="dxa"/>
            <w:vAlign w:val="bottom"/>
            <w:gridSpan w:val="5"/>
          </w:tcPr>
          <w:p>
            <w:pPr>
              <w:ind w:left="1380"/>
              <w:spacing w:after="0"/>
              <w:rPr>
                <w:sz w:val="20"/>
                <w:szCs w:val="20"/>
                <w:color w:val="auto"/>
              </w:rPr>
            </w:pPr>
            <w:r>
              <w:rPr>
                <w:rFonts w:ascii="Arial" w:cs="Arial" w:eastAsia="Arial" w:hAnsi="Arial"/>
                <w:sz w:val="20"/>
                <w:szCs w:val="20"/>
                <w:color w:val="auto"/>
                <w:w w:val="92"/>
              </w:rPr>
              <w:t>By: Värde Investment Partners G.P., L.P.,</w:t>
            </w:r>
          </w:p>
        </w:tc>
      </w:tr>
      <w:tr>
        <w:trPr>
          <w:trHeight w:val="250"/>
        </w:trPr>
        <w:tc>
          <w:tcPr>
            <w:tcW w:w="3320" w:type="dxa"/>
            <w:vAlign w:val="bottom"/>
          </w:tcPr>
          <w:p>
            <w:pPr>
              <w:spacing w:after="0"/>
              <w:rPr>
                <w:sz w:val="21"/>
                <w:szCs w:val="21"/>
                <w:color w:val="auto"/>
              </w:rPr>
            </w:pPr>
          </w:p>
        </w:tc>
        <w:tc>
          <w:tcPr>
            <w:tcW w:w="4820" w:type="dxa"/>
            <w:vAlign w:val="bottom"/>
            <w:gridSpan w:val="5"/>
          </w:tcPr>
          <w:p>
            <w:pPr>
              <w:ind w:left="1380"/>
              <w:spacing w:after="0"/>
              <w:rPr>
                <w:sz w:val="20"/>
                <w:szCs w:val="20"/>
                <w:color w:val="auto"/>
              </w:rPr>
            </w:pPr>
            <w:r>
              <w:rPr>
                <w:rFonts w:ascii="Arial" w:cs="Arial" w:eastAsia="Arial" w:hAnsi="Arial"/>
                <w:sz w:val="20"/>
                <w:szCs w:val="20"/>
                <w:color w:val="auto"/>
              </w:rPr>
              <w:t>Its General Partner</w:t>
            </w:r>
          </w:p>
        </w:tc>
      </w:tr>
      <w:tr>
        <w:trPr>
          <w:trHeight w:val="459"/>
        </w:trPr>
        <w:tc>
          <w:tcPr>
            <w:tcW w:w="3320" w:type="dxa"/>
            <w:vAlign w:val="bottom"/>
          </w:tcPr>
          <w:p>
            <w:pPr>
              <w:spacing w:after="0"/>
              <w:rPr>
                <w:sz w:val="24"/>
                <w:szCs w:val="24"/>
                <w:color w:val="auto"/>
              </w:rPr>
            </w:pPr>
          </w:p>
        </w:tc>
        <w:tc>
          <w:tcPr>
            <w:tcW w:w="4820" w:type="dxa"/>
            <w:vAlign w:val="bottom"/>
            <w:gridSpan w:val="5"/>
          </w:tcPr>
          <w:p>
            <w:pPr>
              <w:ind w:left="1380"/>
              <w:spacing w:after="0"/>
              <w:rPr>
                <w:sz w:val="20"/>
                <w:szCs w:val="20"/>
                <w:color w:val="auto"/>
              </w:rPr>
            </w:pPr>
            <w:r>
              <w:rPr>
                <w:rFonts w:ascii="Arial" w:cs="Arial" w:eastAsia="Arial" w:hAnsi="Arial"/>
                <w:sz w:val="20"/>
                <w:szCs w:val="20"/>
                <w:color w:val="auto"/>
                <w:w w:val="91"/>
              </w:rPr>
              <w:t>By: Värde Investment Partners UGP, LLC,</w:t>
            </w:r>
          </w:p>
        </w:tc>
      </w:tr>
      <w:tr>
        <w:trPr>
          <w:trHeight w:val="459"/>
        </w:trPr>
        <w:tc>
          <w:tcPr>
            <w:tcW w:w="3320" w:type="dxa"/>
            <w:vAlign w:val="bottom"/>
          </w:tcPr>
          <w:p>
            <w:pPr>
              <w:spacing w:after="0"/>
              <w:rPr>
                <w:sz w:val="24"/>
                <w:szCs w:val="24"/>
                <w:color w:val="auto"/>
              </w:rPr>
            </w:pPr>
          </w:p>
        </w:tc>
        <w:tc>
          <w:tcPr>
            <w:tcW w:w="4820" w:type="dxa"/>
            <w:vAlign w:val="bottom"/>
            <w:gridSpan w:val="5"/>
          </w:tcPr>
          <w:p>
            <w:pPr>
              <w:ind w:left="1380"/>
              <w:spacing w:after="0"/>
              <w:rPr>
                <w:sz w:val="20"/>
                <w:szCs w:val="20"/>
                <w:color w:val="auto"/>
              </w:rPr>
            </w:pPr>
            <w:r>
              <w:rPr>
                <w:rFonts w:ascii="Arial" w:cs="Arial" w:eastAsia="Arial" w:hAnsi="Arial"/>
                <w:sz w:val="20"/>
                <w:szCs w:val="20"/>
                <w:color w:val="auto"/>
              </w:rPr>
              <w:t>its General Partner</w:t>
            </w:r>
          </w:p>
        </w:tc>
      </w:tr>
      <w:tr>
        <w:trPr>
          <w:trHeight w:val="438"/>
        </w:trPr>
        <w:tc>
          <w:tcPr>
            <w:tcW w:w="3320" w:type="dxa"/>
            <w:vAlign w:val="bottom"/>
          </w:tcPr>
          <w:p>
            <w:pPr>
              <w:spacing w:after="0"/>
              <w:rPr>
                <w:sz w:val="24"/>
                <w:szCs w:val="24"/>
                <w:color w:val="auto"/>
              </w:rPr>
            </w:pPr>
          </w:p>
        </w:tc>
        <w:tc>
          <w:tcPr>
            <w:tcW w:w="4820" w:type="dxa"/>
            <w:vAlign w:val="bottom"/>
            <w:gridSpan w:val="5"/>
          </w:tcPr>
          <w:p>
            <w:pPr>
              <w:ind w:left="1380"/>
              <w:spacing w:after="0"/>
              <w:rPr>
                <w:sz w:val="20"/>
                <w:szCs w:val="20"/>
                <w:color w:val="auto"/>
              </w:rPr>
            </w:pPr>
            <w:r>
              <w:rPr>
                <w:rFonts w:ascii="Arial" w:cs="Arial" w:eastAsia="Arial" w:hAnsi="Arial"/>
                <w:sz w:val="20"/>
                <w:szCs w:val="20"/>
                <w:color w:val="auto"/>
              </w:rPr>
              <w:t>By: Värde Partners, L.P.,</w:t>
            </w:r>
          </w:p>
        </w:tc>
      </w:tr>
      <w:tr>
        <w:trPr>
          <w:trHeight w:val="250"/>
        </w:trPr>
        <w:tc>
          <w:tcPr>
            <w:tcW w:w="3320" w:type="dxa"/>
            <w:vAlign w:val="bottom"/>
          </w:tcPr>
          <w:p>
            <w:pPr>
              <w:spacing w:after="0"/>
              <w:rPr>
                <w:sz w:val="21"/>
                <w:szCs w:val="21"/>
                <w:color w:val="auto"/>
              </w:rPr>
            </w:pPr>
          </w:p>
        </w:tc>
        <w:tc>
          <w:tcPr>
            <w:tcW w:w="4820" w:type="dxa"/>
            <w:vAlign w:val="bottom"/>
            <w:gridSpan w:val="5"/>
          </w:tcPr>
          <w:p>
            <w:pPr>
              <w:ind w:left="1380"/>
              <w:spacing w:after="0"/>
              <w:rPr>
                <w:sz w:val="20"/>
                <w:szCs w:val="20"/>
                <w:color w:val="auto"/>
              </w:rPr>
            </w:pPr>
            <w:r>
              <w:rPr>
                <w:rFonts w:ascii="Arial" w:cs="Arial" w:eastAsia="Arial" w:hAnsi="Arial"/>
                <w:sz w:val="20"/>
                <w:szCs w:val="20"/>
                <w:color w:val="auto"/>
              </w:rPr>
              <w:t>Its Managing Member</w:t>
            </w:r>
          </w:p>
        </w:tc>
      </w:tr>
      <w:tr>
        <w:trPr>
          <w:trHeight w:val="438"/>
        </w:trPr>
        <w:tc>
          <w:tcPr>
            <w:tcW w:w="3320" w:type="dxa"/>
            <w:vAlign w:val="bottom"/>
          </w:tcPr>
          <w:p>
            <w:pPr>
              <w:spacing w:after="0"/>
              <w:rPr>
                <w:sz w:val="24"/>
                <w:szCs w:val="24"/>
                <w:color w:val="auto"/>
              </w:rPr>
            </w:pPr>
          </w:p>
        </w:tc>
        <w:tc>
          <w:tcPr>
            <w:tcW w:w="4820" w:type="dxa"/>
            <w:vAlign w:val="bottom"/>
            <w:gridSpan w:val="5"/>
          </w:tcPr>
          <w:p>
            <w:pPr>
              <w:ind w:left="1380"/>
              <w:spacing w:after="0"/>
              <w:rPr>
                <w:sz w:val="20"/>
                <w:szCs w:val="20"/>
                <w:color w:val="auto"/>
              </w:rPr>
            </w:pPr>
            <w:r>
              <w:rPr>
                <w:rFonts w:ascii="Arial" w:cs="Arial" w:eastAsia="Arial" w:hAnsi="Arial"/>
                <w:sz w:val="20"/>
                <w:szCs w:val="20"/>
                <w:color w:val="auto"/>
              </w:rPr>
              <w:t>By: Värde Partners, Inc.,</w:t>
            </w:r>
          </w:p>
        </w:tc>
      </w:tr>
      <w:tr>
        <w:trPr>
          <w:trHeight w:val="250"/>
        </w:trPr>
        <w:tc>
          <w:tcPr>
            <w:tcW w:w="3320" w:type="dxa"/>
            <w:vAlign w:val="bottom"/>
          </w:tcPr>
          <w:p>
            <w:pPr>
              <w:spacing w:after="0"/>
              <w:rPr>
                <w:sz w:val="21"/>
                <w:szCs w:val="21"/>
                <w:color w:val="auto"/>
              </w:rPr>
            </w:pPr>
          </w:p>
        </w:tc>
        <w:tc>
          <w:tcPr>
            <w:tcW w:w="4820" w:type="dxa"/>
            <w:vAlign w:val="bottom"/>
            <w:gridSpan w:val="5"/>
          </w:tcPr>
          <w:p>
            <w:pPr>
              <w:ind w:left="1380"/>
              <w:spacing w:after="0"/>
              <w:rPr>
                <w:sz w:val="20"/>
                <w:szCs w:val="20"/>
                <w:color w:val="auto"/>
              </w:rPr>
            </w:pPr>
            <w:r>
              <w:rPr>
                <w:rFonts w:ascii="Arial" w:cs="Arial" w:eastAsia="Arial" w:hAnsi="Arial"/>
                <w:sz w:val="20"/>
                <w:szCs w:val="20"/>
                <w:color w:val="auto"/>
              </w:rPr>
              <w:t>Its General Partner</w:t>
            </w:r>
          </w:p>
        </w:tc>
      </w:tr>
      <w:tr>
        <w:trPr>
          <w:trHeight w:val="415"/>
        </w:trPr>
        <w:tc>
          <w:tcPr>
            <w:tcW w:w="3320" w:type="dxa"/>
            <w:vAlign w:val="bottom"/>
          </w:tcPr>
          <w:p>
            <w:pPr>
              <w:spacing w:after="0"/>
              <w:rPr>
                <w:sz w:val="24"/>
                <w:szCs w:val="24"/>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By:</w:t>
            </w:r>
          </w:p>
        </w:tc>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3"/>
              </w:rPr>
              <w:t>/s/ David A. Marple</w:t>
            </w:r>
          </w:p>
        </w:tc>
        <w:tc>
          <w:tcPr>
            <w:tcW w:w="1220" w:type="dxa"/>
            <w:vAlign w:val="bottom"/>
            <w:gridSpan w:val="2"/>
          </w:tcPr>
          <w:p>
            <w:pPr>
              <w:spacing w:after="0"/>
              <w:rPr>
                <w:sz w:val="24"/>
                <w:szCs w:val="24"/>
                <w:color w:val="auto"/>
              </w:rPr>
            </w:pPr>
          </w:p>
        </w:tc>
      </w:tr>
      <w:tr>
        <w:trPr>
          <w:trHeight w:val="233"/>
        </w:trPr>
        <w:tc>
          <w:tcPr>
            <w:tcW w:w="3320" w:type="dxa"/>
            <w:vAlign w:val="bottom"/>
          </w:tcPr>
          <w:p>
            <w:pPr>
              <w:spacing w:after="0"/>
              <w:rPr>
                <w:sz w:val="20"/>
                <w:szCs w:val="20"/>
                <w:color w:val="auto"/>
              </w:rPr>
            </w:pPr>
          </w:p>
        </w:tc>
        <w:tc>
          <w:tcPr>
            <w:tcW w:w="4820" w:type="dxa"/>
            <w:vAlign w:val="bottom"/>
            <w:gridSpan w:val="5"/>
          </w:tcPr>
          <w:p>
            <w:pPr>
              <w:ind w:left="1380"/>
              <w:spacing w:after="0"/>
              <w:rPr>
                <w:sz w:val="20"/>
                <w:szCs w:val="20"/>
                <w:color w:val="auto"/>
              </w:rPr>
            </w:pPr>
            <w:r>
              <w:rPr>
                <w:rFonts w:ascii="Arial" w:cs="Arial" w:eastAsia="Arial" w:hAnsi="Arial"/>
                <w:sz w:val="20"/>
                <w:szCs w:val="20"/>
                <w:color w:val="auto"/>
              </w:rPr>
              <w:t>Name: David A. Marple</w:t>
            </w:r>
          </w:p>
        </w:tc>
      </w:tr>
      <w:tr>
        <w:trPr>
          <w:trHeight w:val="250"/>
        </w:trPr>
        <w:tc>
          <w:tcPr>
            <w:tcW w:w="3320" w:type="dxa"/>
            <w:vAlign w:val="bottom"/>
          </w:tcPr>
          <w:p>
            <w:pPr>
              <w:spacing w:after="0"/>
              <w:rPr>
                <w:sz w:val="21"/>
                <w:szCs w:val="21"/>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Title:</w:t>
            </w:r>
          </w:p>
        </w:tc>
        <w:tc>
          <w:tcPr>
            <w:tcW w:w="2820" w:type="dxa"/>
            <w:vAlign w:val="bottom"/>
            <w:gridSpan w:val="4"/>
          </w:tcPr>
          <w:p>
            <w:pPr>
              <w:ind w:left="40"/>
              <w:spacing w:after="0"/>
              <w:rPr>
                <w:sz w:val="20"/>
                <w:szCs w:val="20"/>
                <w:color w:val="auto"/>
              </w:rPr>
            </w:pPr>
            <w:r>
              <w:rPr>
                <w:rFonts w:ascii="Arial" w:cs="Arial" w:eastAsia="Arial" w:hAnsi="Arial"/>
                <w:sz w:val="20"/>
                <w:szCs w:val="20"/>
                <w:color w:val="auto"/>
              </w:rPr>
              <w:t>General Counsel</w:t>
            </w:r>
          </w:p>
        </w:tc>
      </w:tr>
      <w:tr>
        <w:trPr>
          <w:trHeight w:val="459"/>
        </w:trPr>
        <w:tc>
          <w:tcPr>
            <w:tcW w:w="3320" w:type="dxa"/>
            <w:vAlign w:val="bottom"/>
          </w:tcPr>
          <w:p>
            <w:pPr>
              <w:spacing w:after="0"/>
              <w:rPr>
                <w:sz w:val="20"/>
                <w:szCs w:val="20"/>
                <w:color w:val="auto"/>
              </w:rPr>
            </w:pPr>
            <w:r>
              <w:rPr>
                <w:rFonts w:ascii="Arial" w:cs="Arial" w:eastAsia="Arial" w:hAnsi="Arial"/>
                <w:sz w:val="20"/>
                <w:szCs w:val="20"/>
                <w:color w:val="auto"/>
              </w:rPr>
              <w:t>Date: February 20, 2020</w:t>
            </w:r>
          </w:p>
        </w:tc>
        <w:tc>
          <w:tcPr>
            <w:tcW w:w="4820" w:type="dxa"/>
            <w:vAlign w:val="bottom"/>
            <w:gridSpan w:val="5"/>
          </w:tcPr>
          <w:p>
            <w:pPr>
              <w:ind w:left="1380"/>
              <w:spacing w:after="0"/>
              <w:rPr>
                <w:sz w:val="20"/>
                <w:szCs w:val="20"/>
                <w:color w:val="auto"/>
              </w:rPr>
            </w:pPr>
            <w:r>
              <w:rPr>
                <w:rFonts w:ascii="Arial" w:cs="Arial" w:eastAsia="Arial" w:hAnsi="Arial"/>
                <w:sz w:val="20"/>
                <w:szCs w:val="20"/>
                <w:color w:val="auto"/>
              </w:rPr>
              <w:t>VÄRDE PARTNERS, L.P.</w:t>
            </w:r>
          </w:p>
        </w:tc>
      </w:tr>
      <w:tr>
        <w:trPr>
          <w:trHeight w:val="438"/>
        </w:trPr>
        <w:tc>
          <w:tcPr>
            <w:tcW w:w="3320" w:type="dxa"/>
            <w:vAlign w:val="bottom"/>
          </w:tcPr>
          <w:p>
            <w:pPr>
              <w:spacing w:after="0"/>
              <w:rPr>
                <w:sz w:val="24"/>
                <w:szCs w:val="24"/>
                <w:color w:val="auto"/>
              </w:rPr>
            </w:pPr>
          </w:p>
        </w:tc>
        <w:tc>
          <w:tcPr>
            <w:tcW w:w="4820" w:type="dxa"/>
            <w:vAlign w:val="bottom"/>
            <w:gridSpan w:val="5"/>
          </w:tcPr>
          <w:p>
            <w:pPr>
              <w:ind w:left="1380"/>
              <w:spacing w:after="0"/>
              <w:rPr>
                <w:sz w:val="20"/>
                <w:szCs w:val="20"/>
                <w:color w:val="auto"/>
              </w:rPr>
            </w:pPr>
            <w:r>
              <w:rPr>
                <w:rFonts w:ascii="Arial" w:cs="Arial" w:eastAsia="Arial" w:hAnsi="Arial"/>
                <w:sz w:val="20"/>
                <w:szCs w:val="20"/>
                <w:color w:val="auto"/>
              </w:rPr>
              <w:t>By: Värde Partners, Inc.,</w:t>
            </w:r>
          </w:p>
        </w:tc>
      </w:tr>
      <w:tr>
        <w:trPr>
          <w:trHeight w:val="250"/>
        </w:trPr>
        <w:tc>
          <w:tcPr>
            <w:tcW w:w="3320" w:type="dxa"/>
            <w:vAlign w:val="bottom"/>
          </w:tcPr>
          <w:p>
            <w:pPr>
              <w:spacing w:after="0"/>
              <w:rPr>
                <w:sz w:val="21"/>
                <w:szCs w:val="21"/>
                <w:color w:val="auto"/>
              </w:rPr>
            </w:pPr>
          </w:p>
        </w:tc>
        <w:tc>
          <w:tcPr>
            <w:tcW w:w="4820" w:type="dxa"/>
            <w:vAlign w:val="bottom"/>
            <w:gridSpan w:val="5"/>
          </w:tcPr>
          <w:p>
            <w:pPr>
              <w:ind w:left="1380"/>
              <w:spacing w:after="0"/>
              <w:rPr>
                <w:sz w:val="20"/>
                <w:szCs w:val="20"/>
                <w:color w:val="auto"/>
              </w:rPr>
            </w:pPr>
            <w:r>
              <w:rPr>
                <w:rFonts w:ascii="Arial" w:cs="Arial" w:eastAsia="Arial" w:hAnsi="Arial"/>
                <w:sz w:val="20"/>
                <w:szCs w:val="20"/>
                <w:color w:val="auto"/>
              </w:rPr>
              <w:t>Its General Partner</w:t>
            </w:r>
          </w:p>
        </w:tc>
      </w:tr>
      <w:tr>
        <w:trPr>
          <w:trHeight w:val="415"/>
        </w:trPr>
        <w:tc>
          <w:tcPr>
            <w:tcW w:w="3320" w:type="dxa"/>
            <w:vAlign w:val="bottom"/>
          </w:tcPr>
          <w:p>
            <w:pPr>
              <w:spacing w:after="0"/>
              <w:rPr>
                <w:sz w:val="24"/>
                <w:szCs w:val="24"/>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By:</w:t>
            </w:r>
          </w:p>
        </w:tc>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3"/>
              </w:rPr>
              <w:t>/s/ David A. Marple</w:t>
            </w:r>
          </w:p>
        </w:tc>
        <w:tc>
          <w:tcPr>
            <w:tcW w:w="1220" w:type="dxa"/>
            <w:vAlign w:val="bottom"/>
            <w:gridSpan w:val="2"/>
          </w:tcPr>
          <w:p>
            <w:pPr>
              <w:spacing w:after="0"/>
              <w:rPr>
                <w:sz w:val="24"/>
                <w:szCs w:val="24"/>
                <w:color w:val="auto"/>
              </w:rPr>
            </w:pPr>
          </w:p>
        </w:tc>
      </w:tr>
      <w:tr>
        <w:trPr>
          <w:trHeight w:val="233"/>
        </w:trPr>
        <w:tc>
          <w:tcPr>
            <w:tcW w:w="3320" w:type="dxa"/>
            <w:vAlign w:val="bottom"/>
          </w:tcPr>
          <w:p>
            <w:pPr>
              <w:spacing w:after="0"/>
              <w:rPr>
                <w:sz w:val="20"/>
                <w:szCs w:val="20"/>
                <w:color w:val="auto"/>
              </w:rPr>
            </w:pPr>
          </w:p>
        </w:tc>
        <w:tc>
          <w:tcPr>
            <w:tcW w:w="4820" w:type="dxa"/>
            <w:vAlign w:val="bottom"/>
            <w:gridSpan w:val="5"/>
          </w:tcPr>
          <w:p>
            <w:pPr>
              <w:ind w:left="1380"/>
              <w:spacing w:after="0"/>
              <w:rPr>
                <w:sz w:val="20"/>
                <w:szCs w:val="20"/>
                <w:color w:val="auto"/>
              </w:rPr>
            </w:pPr>
            <w:r>
              <w:rPr>
                <w:rFonts w:ascii="Arial" w:cs="Arial" w:eastAsia="Arial" w:hAnsi="Arial"/>
                <w:sz w:val="20"/>
                <w:szCs w:val="20"/>
                <w:color w:val="auto"/>
              </w:rPr>
              <w:t>Name: David A. Marple</w:t>
            </w:r>
          </w:p>
        </w:tc>
      </w:tr>
      <w:tr>
        <w:trPr>
          <w:trHeight w:val="250"/>
        </w:trPr>
        <w:tc>
          <w:tcPr>
            <w:tcW w:w="3320" w:type="dxa"/>
            <w:vAlign w:val="bottom"/>
          </w:tcPr>
          <w:p>
            <w:pPr>
              <w:spacing w:after="0"/>
              <w:rPr>
                <w:sz w:val="21"/>
                <w:szCs w:val="21"/>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Title:</w:t>
            </w:r>
          </w:p>
        </w:tc>
        <w:tc>
          <w:tcPr>
            <w:tcW w:w="2820" w:type="dxa"/>
            <w:vAlign w:val="bottom"/>
            <w:gridSpan w:val="4"/>
          </w:tcPr>
          <w:p>
            <w:pPr>
              <w:ind w:left="40"/>
              <w:spacing w:after="0"/>
              <w:rPr>
                <w:sz w:val="20"/>
                <w:szCs w:val="20"/>
                <w:color w:val="auto"/>
              </w:rPr>
            </w:pPr>
            <w:r>
              <w:rPr>
                <w:rFonts w:ascii="Arial" w:cs="Arial" w:eastAsia="Arial" w:hAnsi="Arial"/>
                <w:sz w:val="20"/>
                <w:szCs w:val="20"/>
                <w:color w:val="auto"/>
              </w:rPr>
              <w:t>General Counsel</w:t>
            </w:r>
          </w:p>
        </w:tc>
      </w:tr>
      <w:tr>
        <w:trPr>
          <w:trHeight w:val="689"/>
        </w:trPr>
        <w:tc>
          <w:tcPr>
            <w:tcW w:w="3320" w:type="dxa"/>
            <w:vAlign w:val="bottom"/>
          </w:tcPr>
          <w:p>
            <w:pPr>
              <w:spacing w:after="0"/>
              <w:rPr>
                <w:sz w:val="20"/>
                <w:szCs w:val="20"/>
                <w:color w:val="auto"/>
              </w:rPr>
            </w:pPr>
            <w:r>
              <w:rPr>
                <w:rFonts w:ascii="Arial" w:cs="Arial" w:eastAsia="Arial" w:hAnsi="Arial"/>
                <w:sz w:val="20"/>
                <w:szCs w:val="20"/>
                <w:color w:val="auto"/>
              </w:rPr>
              <w:t>Date: February 20, 2020</w:t>
            </w:r>
          </w:p>
        </w:tc>
        <w:tc>
          <w:tcPr>
            <w:tcW w:w="4820" w:type="dxa"/>
            <w:vAlign w:val="bottom"/>
            <w:gridSpan w:val="5"/>
          </w:tcPr>
          <w:p>
            <w:pPr>
              <w:ind w:left="1380"/>
              <w:spacing w:after="0"/>
              <w:rPr>
                <w:sz w:val="20"/>
                <w:szCs w:val="20"/>
                <w:color w:val="auto"/>
              </w:rPr>
            </w:pPr>
            <w:r>
              <w:rPr>
                <w:rFonts w:ascii="Arial" w:cs="Arial" w:eastAsia="Arial" w:hAnsi="Arial"/>
                <w:sz w:val="20"/>
                <w:szCs w:val="20"/>
                <w:color w:val="auto"/>
              </w:rPr>
              <w:t>VÄRDE PARTNERS, INC.</w:t>
            </w:r>
          </w:p>
        </w:tc>
      </w:tr>
      <w:tr>
        <w:trPr>
          <w:trHeight w:val="415"/>
        </w:trPr>
        <w:tc>
          <w:tcPr>
            <w:tcW w:w="3320" w:type="dxa"/>
            <w:vAlign w:val="bottom"/>
          </w:tcPr>
          <w:p>
            <w:pPr>
              <w:spacing w:after="0"/>
              <w:rPr>
                <w:sz w:val="24"/>
                <w:szCs w:val="24"/>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By:</w:t>
            </w:r>
          </w:p>
        </w:tc>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3"/>
              </w:rPr>
              <w:t>/s/ David A. Marple</w:t>
            </w:r>
          </w:p>
        </w:tc>
        <w:tc>
          <w:tcPr>
            <w:tcW w:w="1220" w:type="dxa"/>
            <w:vAlign w:val="bottom"/>
            <w:gridSpan w:val="2"/>
          </w:tcPr>
          <w:p>
            <w:pPr>
              <w:spacing w:after="0"/>
              <w:rPr>
                <w:sz w:val="24"/>
                <w:szCs w:val="24"/>
                <w:color w:val="auto"/>
              </w:rPr>
            </w:pPr>
          </w:p>
        </w:tc>
      </w:tr>
      <w:tr>
        <w:trPr>
          <w:trHeight w:val="233"/>
        </w:trPr>
        <w:tc>
          <w:tcPr>
            <w:tcW w:w="3320" w:type="dxa"/>
            <w:vAlign w:val="bottom"/>
          </w:tcPr>
          <w:p>
            <w:pPr>
              <w:spacing w:after="0"/>
              <w:rPr>
                <w:sz w:val="20"/>
                <w:szCs w:val="20"/>
                <w:color w:val="auto"/>
              </w:rPr>
            </w:pPr>
          </w:p>
        </w:tc>
        <w:tc>
          <w:tcPr>
            <w:tcW w:w="4820" w:type="dxa"/>
            <w:vAlign w:val="bottom"/>
            <w:gridSpan w:val="5"/>
          </w:tcPr>
          <w:p>
            <w:pPr>
              <w:ind w:left="1380"/>
              <w:spacing w:after="0"/>
              <w:rPr>
                <w:sz w:val="20"/>
                <w:szCs w:val="20"/>
                <w:color w:val="auto"/>
              </w:rPr>
            </w:pPr>
            <w:r>
              <w:rPr>
                <w:rFonts w:ascii="Arial" w:cs="Arial" w:eastAsia="Arial" w:hAnsi="Arial"/>
                <w:sz w:val="20"/>
                <w:szCs w:val="20"/>
                <w:color w:val="auto"/>
              </w:rPr>
              <w:t>Name: David A. Marple</w:t>
            </w:r>
          </w:p>
        </w:tc>
      </w:tr>
      <w:tr>
        <w:trPr>
          <w:trHeight w:val="250"/>
        </w:trPr>
        <w:tc>
          <w:tcPr>
            <w:tcW w:w="3320" w:type="dxa"/>
            <w:vAlign w:val="bottom"/>
          </w:tcPr>
          <w:p>
            <w:pPr>
              <w:spacing w:after="0"/>
              <w:rPr>
                <w:sz w:val="21"/>
                <w:szCs w:val="21"/>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Title:</w:t>
            </w:r>
          </w:p>
        </w:tc>
        <w:tc>
          <w:tcPr>
            <w:tcW w:w="2820" w:type="dxa"/>
            <w:vAlign w:val="bottom"/>
            <w:gridSpan w:val="4"/>
          </w:tcPr>
          <w:p>
            <w:pPr>
              <w:ind w:left="40"/>
              <w:spacing w:after="0"/>
              <w:rPr>
                <w:sz w:val="20"/>
                <w:szCs w:val="20"/>
                <w:color w:val="auto"/>
              </w:rPr>
            </w:pPr>
            <w:r>
              <w:rPr>
                <w:rFonts w:ascii="Arial" w:cs="Arial" w:eastAsia="Arial" w:hAnsi="Arial"/>
                <w:sz w:val="20"/>
                <w:szCs w:val="20"/>
                <w:color w:val="auto"/>
              </w:rPr>
              <w:t>General Counsel</w:t>
            </w:r>
          </w:p>
        </w:tc>
      </w:tr>
      <w:tr>
        <w:trPr>
          <w:trHeight w:val="459"/>
        </w:trPr>
        <w:tc>
          <w:tcPr>
            <w:tcW w:w="3320" w:type="dxa"/>
            <w:vAlign w:val="bottom"/>
          </w:tcPr>
          <w:p>
            <w:pPr>
              <w:spacing w:after="0"/>
              <w:rPr>
                <w:sz w:val="20"/>
                <w:szCs w:val="20"/>
                <w:color w:val="auto"/>
              </w:rPr>
            </w:pPr>
            <w:r>
              <w:rPr>
                <w:rFonts w:ascii="Arial" w:cs="Arial" w:eastAsia="Arial" w:hAnsi="Arial"/>
                <w:sz w:val="20"/>
                <w:szCs w:val="20"/>
                <w:color w:val="auto"/>
              </w:rPr>
              <w:t>Date: February 20, 2020</w:t>
            </w:r>
          </w:p>
        </w:tc>
        <w:tc>
          <w:tcPr>
            <w:tcW w:w="4820" w:type="dxa"/>
            <w:vAlign w:val="bottom"/>
            <w:gridSpan w:val="5"/>
          </w:tcPr>
          <w:p>
            <w:pPr>
              <w:ind w:left="1380"/>
              <w:spacing w:after="0"/>
              <w:rPr>
                <w:sz w:val="20"/>
                <w:szCs w:val="20"/>
                <w:color w:val="auto"/>
              </w:rPr>
            </w:pPr>
            <w:r>
              <w:rPr>
                <w:rFonts w:ascii="Arial" w:cs="Arial" w:eastAsia="Arial" w:hAnsi="Arial"/>
                <w:sz w:val="20"/>
                <w:szCs w:val="20"/>
                <w:color w:val="auto"/>
              </w:rPr>
              <w:t>GEORGE G. HICKS</w:t>
            </w:r>
          </w:p>
        </w:tc>
      </w:tr>
      <w:tr>
        <w:trPr>
          <w:trHeight w:val="415"/>
        </w:trPr>
        <w:tc>
          <w:tcPr>
            <w:tcW w:w="3320" w:type="dxa"/>
            <w:vAlign w:val="bottom"/>
          </w:tcPr>
          <w:p>
            <w:pPr>
              <w:spacing w:after="0"/>
              <w:rPr>
                <w:sz w:val="24"/>
                <w:szCs w:val="24"/>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By:</w:t>
            </w:r>
          </w:p>
        </w:tc>
        <w:tc>
          <w:tcPr>
            <w:tcW w:w="158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9"/>
              </w:rPr>
              <w:t>/s/ George G. Hicks</w:t>
            </w:r>
          </w:p>
        </w:tc>
        <w:tc>
          <w:tcPr>
            <w:tcW w:w="1240" w:type="dxa"/>
            <w:vAlign w:val="bottom"/>
            <w:gridSpan w:val="3"/>
          </w:tcPr>
          <w:p>
            <w:pPr>
              <w:spacing w:after="0"/>
              <w:rPr>
                <w:sz w:val="24"/>
                <w:szCs w:val="24"/>
                <w:color w:val="auto"/>
              </w:rPr>
            </w:pPr>
          </w:p>
        </w:tc>
      </w:tr>
      <w:tr>
        <w:trPr>
          <w:trHeight w:val="484"/>
        </w:trPr>
        <w:tc>
          <w:tcPr>
            <w:tcW w:w="3320" w:type="dxa"/>
            <w:vAlign w:val="bottom"/>
          </w:tcPr>
          <w:p>
            <w:pPr>
              <w:spacing w:after="0"/>
              <w:rPr>
                <w:sz w:val="20"/>
                <w:szCs w:val="20"/>
                <w:color w:val="auto"/>
              </w:rPr>
            </w:pPr>
            <w:r>
              <w:rPr>
                <w:rFonts w:ascii="Arial" w:cs="Arial" w:eastAsia="Arial" w:hAnsi="Arial"/>
                <w:sz w:val="20"/>
                <w:szCs w:val="20"/>
                <w:color w:val="auto"/>
              </w:rPr>
              <w:t>Date: February 20, 2020</w:t>
            </w:r>
          </w:p>
        </w:tc>
        <w:tc>
          <w:tcPr>
            <w:tcW w:w="4820" w:type="dxa"/>
            <w:vAlign w:val="bottom"/>
            <w:gridSpan w:val="5"/>
          </w:tcPr>
          <w:p>
            <w:pPr>
              <w:ind w:left="1380"/>
              <w:spacing w:after="0"/>
              <w:rPr>
                <w:sz w:val="20"/>
                <w:szCs w:val="20"/>
                <w:color w:val="auto"/>
              </w:rPr>
            </w:pPr>
            <w:r>
              <w:rPr>
                <w:rFonts w:ascii="Arial" w:cs="Arial" w:eastAsia="Arial" w:hAnsi="Arial"/>
                <w:sz w:val="20"/>
                <w:szCs w:val="20"/>
                <w:color w:val="auto"/>
              </w:rPr>
              <w:t>ILFRYN C. CARSTAIRS</w:t>
            </w:r>
          </w:p>
        </w:tc>
      </w:tr>
      <w:tr>
        <w:trPr>
          <w:trHeight w:val="415"/>
        </w:trPr>
        <w:tc>
          <w:tcPr>
            <w:tcW w:w="3320" w:type="dxa"/>
            <w:vAlign w:val="bottom"/>
          </w:tcPr>
          <w:p>
            <w:pPr>
              <w:spacing w:after="0"/>
              <w:rPr>
                <w:sz w:val="24"/>
                <w:szCs w:val="24"/>
                <w:color w:val="auto"/>
              </w:rPr>
            </w:pPr>
          </w:p>
        </w:tc>
        <w:tc>
          <w:tcPr>
            <w:tcW w:w="2000" w:type="dxa"/>
            <w:vAlign w:val="bottom"/>
          </w:tcPr>
          <w:p>
            <w:pPr>
              <w:ind w:left="1380"/>
              <w:spacing w:after="0"/>
              <w:rPr>
                <w:sz w:val="20"/>
                <w:szCs w:val="20"/>
                <w:color w:val="auto"/>
              </w:rPr>
            </w:pPr>
            <w:r>
              <w:rPr>
                <w:rFonts w:ascii="Arial" w:cs="Arial" w:eastAsia="Arial" w:hAnsi="Arial"/>
                <w:sz w:val="20"/>
                <w:szCs w:val="20"/>
                <w:color w:val="auto"/>
              </w:rPr>
              <w:t>By:</w:t>
            </w:r>
          </w:p>
        </w:tc>
        <w:tc>
          <w:tcPr>
            <w:tcW w:w="168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auto"/>
                <w:w w:val="91"/>
              </w:rPr>
              <w:t>/s/ Ilfryn C. Carstairs</w:t>
            </w:r>
          </w:p>
        </w:tc>
        <w:tc>
          <w:tcPr>
            <w:tcW w:w="1140" w:type="dxa"/>
            <w:vAlign w:val="bottom"/>
          </w:tcPr>
          <w:p>
            <w:pPr>
              <w:spacing w:after="0"/>
              <w:rPr>
                <w:sz w:val="24"/>
                <w:szCs w:val="24"/>
                <w:color w:val="auto"/>
              </w:rPr>
            </w:pPr>
          </w:p>
        </w:tc>
      </w:tr>
    </w:tbl>
    <w:p>
      <w:pPr>
        <w:sectPr>
          <w:pgSz w:w="11900" w:h="16838" w:orient="portrait"/>
          <w:cols w:equalWidth="0" w:num="1">
            <w:col w:w="10219"/>
          </w:cols>
          <w:pgMar w:left="240" w:top="352" w:right="1440" w:bottom="90" w:gutter="0" w:footer="0" w:header="0"/>
        </w:sectPr>
      </w:pPr>
    </w:p>
    <w:bookmarkStart w:id="37" w:name="page38"/>
    <w:bookmarkEnd w:id="37"/>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lvl w:ilvl="1">
      <w:lvlJc w:val="left"/>
      <w:lvlText w:val="[%2]"/>
      <w:numFmt w:val="upperLetter"/>
      <w:start w:val="24"/>
    </w:lvl>
  </w:abstractNum>
  <w:abstractNum w:abstractNumId="1">
    <w:nsid w:val="2CD89A32"/>
    <w:multiLevelType w:val="hybridMultilevel"/>
    <w:lvl w:ilvl="0">
      <w:lvlJc w:val="left"/>
      <w:lvlText w:val="%1."/>
      <w:numFmt w:val="decimal"/>
      <w:start w:val="1"/>
    </w:lvl>
    <w:lvl w:ilvl="1">
      <w:lvlJc w:val="left"/>
      <w:lvlText w:val="%2."/>
      <w:numFmt w:val="lowerLetter"/>
      <w:start w:val="1"/>
    </w:lvl>
  </w:abstractNum>
  <w:abstractNum w:abstractNumId="2">
    <w:nsid w:val="57E4CCAF"/>
    <w:multiLevelType w:val="hybridMultilevel"/>
    <w:lvl w:ilvl="0">
      <w:lvlJc w:val="left"/>
      <w:lvlText w:val="%1."/>
      <w:numFmt w:val="decimal"/>
      <w:start w:val="9"/>
    </w:lvl>
  </w:abstractNum>
  <w:abstractNum w:abstractNumId="3">
    <w:nsid w:val="7A6D8D3C"/>
    <w:multiLevelType w:val="hybridMultilevel"/>
    <w:lvl w:ilvl="0">
      <w:lvlJc w:val="left"/>
      <w:lvlText w:val="%1."/>
      <w:numFmt w:val="decimal"/>
      <w:start w:val="12"/>
    </w:lvl>
  </w:abstractNum>
  <w:abstractNum w:abstractNumId="4">
    <w:nsid w:val="4B588F54"/>
    <w:multiLevelType w:val="hybridMultilevel"/>
    <w:lvl w:ilvl="0">
      <w:lvlJc w:val="left"/>
      <w:lvlText w:val="(%1)"/>
      <w:numFmt w:val="decimal"/>
      <w:start w:val="1"/>
    </w:lvl>
  </w:abstractNum>
  <w:abstractNum w:abstractNumId="5">
    <w:nsid w:val="542289E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6">
    <w:nsid w:val="6DE91B18"/>
    <w:multiLevelType w:val="hybridMultilevel"/>
    <w:lvl w:ilvl="0">
      <w:lvlJc w:val="left"/>
      <w:lvlText w:val="%1."/>
      <w:numFmt w:val="decimal"/>
      <w:start w:val="9"/>
    </w:lvl>
  </w:abstractNum>
  <w:abstractNum w:abstractNumId="7">
    <w:nsid w:val="38437FDB"/>
    <w:multiLevelType w:val="hybridMultilevel"/>
    <w:lvl w:ilvl="0">
      <w:lvlJc w:val="left"/>
      <w:lvlText w:val="%1."/>
      <w:numFmt w:val="decimal"/>
      <w:start w:val="12"/>
    </w:lvl>
  </w:abstractNum>
  <w:abstractNum w:abstractNumId="8">
    <w:nsid w:val="7644A45C"/>
    <w:multiLevelType w:val="hybridMultilevel"/>
    <w:lvl w:ilvl="0">
      <w:lvlJc w:val="left"/>
      <w:lvlText w:val="(%1)"/>
      <w:numFmt w:val="decimal"/>
      <w:start w:val="1"/>
    </w:lvl>
  </w:abstractNum>
  <w:abstractNum w:abstractNumId="9">
    <w:nsid w:val="32FFF902"/>
    <w:multiLevelType w:val="hybridMultilevel"/>
    <w:lvl w:ilvl="0">
      <w:lvlJc w:val="left"/>
      <w:lvlText w:val="%1."/>
      <w:numFmt w:val="decimal"/>
      <w:start w:val="1"/>
    </w:lvl>
    <w:lvl w:ilvl="1">
      <w:lvlJc w:val="left"/>
      <w:lvlText w:val="%2."/>
      <w:numFmt w:val="lowerLetter"/>
      <w:start w:val="1"/>
    </w:lvl>
  </w:abstractNum>
  <w:abstractNum w:abstractNumId="10">
    <w:nsid w:val="684A481A"/>
    <w:multiLevelType w:val="hybridMultilevel"/>
    <w:lvl w:ilvl="0">
      <w:lvlJc w:val="left"/>
      <w:lvlText w:val="%1."/>
      <w:numFmt w:val="decimal"/>
      <w:start w:val="9"/>
    </w:lvl>
  </w:abstractNum>
  <w:abstractNum w:abstractNumId="11">
    <w:nsid w:val="579478FE"/>
    <w:multiLevelType w:val="hybridMultilevel"/>
    <w:lvl w:ilvl="0">
      <w:lvlJc w:val="left"/>
      <w:lvlText w:val="%1."/>
      <w:numFmt w:val="decimal"/>
      <w:start w:val="12"/>
    </w:lvl>
  </w:abstractNum>
  <w:abstractNum w:abstractNumId="12">
    <w:nsid w:val="749ABB43"/>
    <w:multiLevelType w:val="hybridMultilevel"/>
    <w:lvl w:ilvl="0">
      <w:lvlJc w:val="left"/>
      <w:lvlText w:val="(%1)"/>
      <w:numFmt w:val="decimal"/>
      <w:start w:val="1"/>
    </w:lvl>
  </w:abstractNum>
  <w:abstractNum w:abstractNumId="13">
    <w:nsid w:val="3DC240FB"/>
    <w:multiLevelType w:val="hybridMultilevel"/>
    <w:lvl w:ilvl="0">
      <w:lvlJc w:val="left"/>
      <w:lvlText w:val="%1."/>
      <w:numFmt w:val="decimal"/>
      <w:start w:val="1"/>
    </w:lvl>
    <w:lvl w:ilvl="1">
      <w:lvlJc w:val="left"/>
      <w:lvlText w:val="%2."/>
      <w:numFmt w:val="lowerLetter"/>
      <w:start w:val="1"/>
    </w:lvl>
  </w:abstractNum>
  <w:abstractNum w:abstractNumId="14">
    <w:nsid w:val="1BA026FA"/>
    <w:multiLevelType w:val="hybridMultilevel"/>
    <w:lvl w:ilvl="0">
      <w:lvlJc w:val="left"/>
      <w:lvlText w:val="%1."/>
      <w:numFmt w:val="decimal"/>
      <w:start w:val="9"/>
    </w:lvl>
  </w:abstractNum>
  <w:abstractNum w:abstractNumId="15">
    <w:nsid w:val="79A1DEAA"/>
    <w:multiLevelType w:val="hybridMultilevel"/>
    <w:lvl w:ilvl="0">
      <w:lvlJc w:val="left"/>
      <w:lvlText w:val="%1."/>
      <w:numFmt w:val="decimal"/>
      <w:start w:val="12"/>
    </w:lvl>
  </w:abstractNum>
  <w:abstractNum w:abstractNumId="16">
    <w:nsid w:val="75C6C33A"/>
    <w:multiLevelType w:val="hybridMultilevel"/>
    <w:lvl w:ilvl="0">
      <w:lvlJc w:val="left"/>
      <w:lvlText w:val="(%1)"/>
      <w:numFmt w:val="decimal"/>
      <w:start w:val="1"/>
    </w:lvl>
  </w:abstractNum>
  <w:abstractNum w:abstractNumId="17">
    <w:nsid w:val="12E685FB"/>
    <w:multiLevelType w:val="hybridMultilevel"/>
    <w:lvl w:ilvl="0">
      <w:lvlJc w:val="left"/>
      <w:lvlText w:val="%1."/>
      <w:numFmt w:val="decimal"/>
      <w:start w:val="1"/>
    </w:lvl>
    <w:lvl w:ilvl="1">
      <w:lvlJc w:val="left"/>
      <w:lvlText w:val="%2."/>
      <w:numFmt w:val="lowerLetter"/>
      <w:start w:val="1"/>
    </w:lvl>
  </w:abstractNum>
  <w:abstractNum w:abstractNumId="18">
    <w:nsid w:val="70C6A529"/>
    <w:multiLevelType w:val="hybridMultilevel"/>
    <w:lvl w:ilvl="0">
      <w:lvlJc w:val="left"/>
      <w:lvlText w:val="%1."/>
      <w:numFmt w:val="decimal"/>
      <w:start w:val="9"/>
    </w:lvl>
  </w:abstractNum>
  <w:abstractNum w:abstractNumId="19">
    <w:nsid w:val="520EEDD1"/>
    <w:multiLevelType w:val="hybridMultilevel"/>
    <w:lvl w:ilvl="0">
      <w:lvlJc w:val="left"/>
      <w:lvlText w:val="%1."/>
      <w:numFmt w:val="decimal"/>
      <w:start w:val="12"/>
    </w:lvl>
  </w:abstractNum>
  <w:abstractNum w:abstractNumId="20">
    <w:nsid w:val="374A3FE6"/>
    <w:multiLevelType w:val="hybridMultilevel"/>
    <w:lvl w:ilvl="0">
      <w:lvlJc w:val="left"/>
      <w:lvlText w:val="(%1)"/>
      <w:numFmt w:val="decimal"/>
      <w:start w:val="1"/>
    </w:lvl>
  </w:abstractNum>
  <w:abstractNum w:abstractNumId="21">
    <w:nsid w:val="4F4EF005"/>
    <w:multiLevelType w:val="hybridMultilevel"/>
    <w:lvl w:ilvl="0">
      <w:lvlJc w:val="left"/>
      <w:lvlText w:val="%1."/>
      <w:numFmt w:val="decimal"/>
      <w:start w:val="1"/>
    </w:lvl>
    <w:lvl w:ilvl="1">
      <w:lvlJc w:val="left"/>
      <w:lvlText w:val="%2."/>
      <w:numFmt w:val="lowerLetter"/>
      <w:start w:val="1"/>
    </w:lvl>
  </w:abstractNum>
  <w:abstractNum w:abstractNumId="22">
    <w:nsid w:val="23F9C13C"/>
    <w:multiLevelType w:val="hybridMultilevel"/>
    <w:lvl w:ilvl="0">
      <w:lvlJc w:val="left"/>
      <w:lvlText w:val="%1."/>
      <w:numFmt w:val="decimal"/>
      <w:start w:val="9"/>
    </w:lvl>
  </w:abstractNum>
  <w:abstractNum w:abstractNumId="23">
    <w:nsid w:val="649BB77C"/>
    <w:multiLevelType w:val="hybridMultilevel"/>
    <w:lvl w:ilvl="0">
      <w:lvlJc w:val="left"/>
      <w:lvlText w:val="%1."/>
      <w:numFmt w:val="decimal"/>
      <w:start w:val="12"/>
    </w:lvl>
  </w:abstractNum>
  <w:abstractNum w:abstractNumId="24">
    <w:nsid w:val="275AC794"/>
    <w:multiLevelType w:val="hybridMultilevel"/>
    <w:lvl w:ilvl="0">
      <w:lvlJc w:val="left"/>
      <w:lvlText w:val="(%1)"/>
      <w:numFmt w:val="decimal"/>
      <w:start w:val="1"/>
    </w:lvl>
  </w:abstractNum>
  <w:abstractNum w:abstractNumId="25">
    <w:nsid w:val="39386575"/>
    <w:multiLevelType w:val="hybridMultilevel"/>
    <w:lvl w:ilvl="0">
      <w:lvlJc w:val="left"/>
      <w:lvlText w:val="%1."/>
      <w:numFmt w:val="decimal"/>
      <w:start w:val="1"/>
    </w:lvl>
    <w:lvl w:ilvl="1">
      <w:lvlJc w:val="left"/>
      <w:lvlText w:val="%2."/>
      <w:numFmt w:val="lowerLetter"/>
      <w:start w:val="1"/>
    </w:lvl>
  </w:abstractNum>
  <w:abstractNum w:abstractNumId="26">
    <w:nsid w:val="1CF10FD8"/>
    <w:multiLevelType w:val="hybridMultilevel"/>
    <w:lvl w:ilvl="0">
      <w:lvlJc w:val="left"/>
      <w:lvlText w:val="%1."/>
      <w:numFmt w:val="decimal"/>
      <w:start w:val="9"/>
    </w:lvl>
  </w:abstractNum>
  <w:abstractNum w:abstractNumId="27">
    <w:nsid w:val="180115BE"/>
    <w:multiLevelType w:val="hybridMultilevel"/>
    <w:lvl w:ilvl="0">
      <w:lvlJc w:val="left"/>
      <w:lvlText w:val="%1."/>
      <w:numFmt w:val="decimal"/>
      <w:start w:val="12"/>
    </w:lvl>
  </w:abstractNum>
  <w:abstractNum w:abstractNumId="28">
    <w:nsid w:val="235BA861"/>
    <w:multiLevelType w:val="hybridMultilevel"/>
    <w:lvl w:ilvl="0">
      <w:lvlJc w:val="left"/>
      <w:lvlText w:val="(%1)"/>
      <w:numFmt w:val="decimal"/>
      <w:start w:val="1"/>
    </w:lvl>
  </w:abstractNum>
  <w:abstractNum w:abstractNumId="29">
    <w:nsid w:val="47398C8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0">
    <w:nsid w:val="354FE9F9"/>
    <w:multiLevelType w:val="hybridMultilevel"/>
    <w:lvl w:ilvl="0">
      <w:lvlJc w:val="left"/>
      <w:lvlText w:val="%1."/>
      <w:numFmt w:val="decimal"/>
      <w:start w:val="9"/>
    </w:lvl>
  </w:abstractNum>
  <w:abstractNum w:abstractNumId="31">
    <w:nsid w:val="15B5AF5C"/>
    <w:multiLevelType w:val="hybridMultilevel"/>
    <w:lvl w:ilvl="0">
      <w:lvlJc w:val="left"/>
      <w:lvlText w:val="%1."/>
      <w:numFmt w:val="decimal"/>
      <w:start w:val="12"/>
    </w:lvl>
  </w:abstractNum>
  <w:abstractNum w:abstractNumId="32">
    <w:nsid w:val="741226BB"/>
    <w:multiLevelType w:val="hybridMultilevel"/>
    <w:lvl w:ilvl="0">
      <w:lvlJc w:val="left"/>
      <w:lvlText w:val="(%1)"/>
      <w:numFmt w:val="decimal"/>
      <w:start w:val="1"/>
    </w:lvl>
  </w:abstractNum>
  <w:abstractNum w:abstractNumId="33">
    <w:nsid w:val="D34B6A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4">
    <w:nsid w:val="10233C99"/>
    <w:multiLevelType w:val="hybridMultilevel"/>
    <w:lvl w:ilvl="0">
      <w:lvlJc w:val="left"/>
      <w:lvlText w:val="%1."/>
      <w:numFmt w:val="decimal"/>
      <w:start w:val="9"/>
    </w:lvl>
  </w:abstractNum>
  <w:abstractNum w:abstractNumId="35">
    <w:nsid w:val="3F6AB60F"/>
    <w:multiLevelType w:val="hybridMultilevel"/>
    <w:lvl w:ilvl="0">
      <w:lvlJc w:val="left"/>
      <w:lvlText w:val="%1."/>
      <w:numFmt w:val="decimal"/>
      <w:start w:val="12"/>
    </w:lvl>
  </w:abstractNum>
  <w:abstractNum w:abstractNumId="36">
    <w:nsid w:val="61574095"/>
    <w:multiLevelType w:val="hybridMultilevel"/>
    <w:lvl w:ilvl="0">
      <w:lvlJc w:val="left"/>
      <w:lvlText w:val="(%1)"/>
      <w:numFmt w:val="decimal"/>
      <w:start w:val="1"/>
    </w:lvl>
  </w:abstractNum>
  <w:abstractNum w:abstractNumId="37">
    <w:nsid w:val="7E0C57B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8">
    <w:nsid w:val="77AE35EB"/>
    <w:multiLevelType w:val="hybridMultilevel"/>
    <w:lvl w:ilvl="0">
      <w:lvlJc w:val="left"/>
      <w:lvlText w:val="%1."/>
      <w:numFmt w:val="decimal"/>
      <w:start w:val="9"/>
    </w:lvl>
  </w:abstractNum>
  <w:abstractNum w:abstractNumId="39">
    <w:nsid w:val="579BE4F1"/>
    <w:multiLevelType w:val="hybridMultilevel"/>
    <w:lvl w:ilvl="0">
      <w:lvlJc w:val="left"/>
      <w:lvlText w:val="%1."/>
      <w:numFmt w:val="decimal"/>
      <w:start w:val="12"/>
    </w:lvl>
  </w:abstractNum>
  <w:abstractNum w:abstractNumId="40">
    <w:nsid w:val="310C50B3"/>
    <w:multiLevelType w:val="hybridMultilevel"/>
    <w:lvl w:ilvl="0">
      <w:lvlJc w:val="left"/>
      <w:lvlText w:val="(%1)"/>
      <w:numFmt w:val="decimal"/>
      <w:start w:val="1"/>
    </w:lvl>
  </w:abstractNum>
  <w:abstractNum w:abstractNumId="41">
    <w:nsid w:val="5FF87E0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2">
    <w:nsid w:val="2F305DEF"/>
    <w:multiLevelType w:val="hybridMultilevel"/>
    <w:lvl w:ilvl="0">
      <w:lvlJc w:val="left"/>
      <w:lvlText w:val="%1."/>
      <w:numFmt w:val="decimal"/>
      <w:start w:val="9"/>
    </w:lvl>
  </w:abstractNum>
  <w:abstractNum w:abstractNumId="43">
    <w:nsid w:val="25A70BF7"/>
    <w:multiLevelType w:val="hybridMultilevel"/>
    <w:lvl w:ilvl="0">
      <w:lvlJc w:val="left"/>
      <w:lvlText w:val="%1."/>
      <w:numFmt w:val="decimal"/>
      <w:start w:val="12"/>
    </w:lvl>
  </w:abstractNum>
  <w:abstractNum w:abstractNumId="44">
    <w:nsid w:val="1DBABF00"/>
    <w:multiLevelType w:val="hybridMultilevel"/>
    <w:lvl w:ilvl="0">
      <w:lvlJc w:val="left"/>
      <w:lvlText w:val="(%1)"/>
      <w:numFmt w:val="decimal"/>
      <w:start w:val="1"/>
    </w:lvl>
  </w:abstractNum>
  <w:abstractNum w:abstractNumId="45">
    <w:nsid w:val="4AD084E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6">
    <w:nsid w:val="1F48EAA1"/>
    <w:multiLevelType w:val="hybridMultilevel"/>
    <w:lvl w:ilvl="0">
      <w:lvlJc w:val="left"/>
      <w:lvlText w:val="%1."/>
      <w:numFmt w:val="decimal"/>
      <w:start w:val="9"/>
    </w:lvl>
  </w:abstractNum>
  <w:abstractNum w:abstractNumId="47">
    <w:nsid w:val="1381823A"/>
    <w:multiLevelType w:val="hybridMultilevel"/>
    <w:lvl w:ilvl="0">
      <w:lvlJc w:val="left"/>
      <w:lvlText w:val="%1."/>
      <w:numFmt w:val="decimal"/>
      <w:start w:val="12"/>
    </w:lvl>
  </w:abstractNum>
  <w:abstractNum w:abstractNumId="48">
    <w:nsid w:val="5DB70AE5"/>
    <w:multiLevelType w:val="hybridMultilevel"/>
    <w:lvl w:ilvl="0">
      <w:lvlJc w:val="left"/>
      <w:lvlText w:val="(%1)"/>
      <w:numFmt w:val="decimal"/>
      <w:start w:val="1"/>
    </w:lvl>
  </w:abstractNum>
  <w:abstractNum w:abstractNumId="49">
    <w:nsid w:val="100F8FC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0">
    <w:nsid w:val="6590700B"/>
    <w:multiLevelType w:val="hybridMultilevel"/>
    <w:lvl w:ilvl="0">
      <w:lvlJc w:val="left"/>
      <w:lvlText w:val="%1."/>
      <w:numFmt w:val="decimal"/>
      <w:start w:val="9"/>
    </w:lvl>
  </w:abstractNum>
  <w:abstractNum w:abstractNumId="51">
    <w:nsid w:val="15014ACB"/>
    <w:multiLevelType w:val="hybridMultilevel"/>
    <w:lvl w:ilvl="0">
      <w:lvlJc w:val="left"/>
      <w:lvlText w:val="%1."/>
      <w:numFmt w:val="decimal"/>
      <w:start w:val="12"/>
    </w:lvl>
  </w:abstractNum>
  <w:abstractNum w:abstractNumId="52">
    <w:nsid w:val="5F5E7FD0"/>
    <w:multiLevelType w:val="hybridMultilevel"/>
    <w:lvl w:ilvl="0">
      <w:lvlJc w:val="left"/>
      <w:lvlText w:val="(%1)"/>
      <w:numFmt w:val="decimal"/>
      <w:start w:val="1"/>
    </w:lvl>
  </w:abstractNum>
  <w:abstractNum w:abstractNumId="53">
    <w:nsid w:val="98A314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4">
    <w:nsid w:val="799D0247"/>
    <w:multiLevelType w:val="hybridMultilevel"/>
    <w:lvl w:ilvl="0">
      <w:lvlJc w:val="left"/>
      <w:lvlText w:val="%1."/>
      <w:numFmt w:val="decimal"/>
      <w:start w:val="9"/>
    </w:lvl>
  </w:abstractNum>
  <w:abstractNum w:abstractNumId="55">
    <w:nsid w:val="6B94764"/>
    <w:multiLevelType w:val="hybridMultilevel"/>
    <w:lvl w:ilvl="0">
      <w:lvlJc w:val="left"/>
      <w:lvlText w:val="%1."/>
      <w:numFmt w:val="decimal"/>
      <w:start w:val="12"/>
    </w:lvl>
  </w:abstractNum>
  <w:abstractNum w:abstractNumId="56">
    <w:nsid w:val="42C296BD"/>
    <w:multiLevelType w:val="hybridMultilevel"/>
    <w:lvl w:ilvl="0">
      <w:lvlJc w:val="left"/>
      <w:lvlText w:val="(%1)"/>
      <w:numFmt w:val="decimal"/>
      <w:start w:val="1"/>
    </w:lvl>
  </w:abstractNum>
  <w:abstractNum w:abstractNumId="57">
    <w:nsid w:val="168E121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8">
    <w:nsid w:val="1EBA5D23"/>
    <w:multiLevelType w:val="hybridMultilevel"/>
    <w:lvl w:ilvl="0">
      <w:lvlJc w:val="left"/>
      <w:lvlText w:val="%1."/>
      <w:numFmt w:val="decimal"/>
      <w:start w:val="9"/>
    </w:lvl>
  </w:abstractNum>
  <w:abstractNum w:abstractNumId="59">
    <w:nsid w:val="661E3F1E"/>
    <w:multiLevelType w:val="hybridMultilevel"/>
    <w:lvl w:ilvl="0">
      <w:lvlJc w:val="left"/>
      <w:lvlText w:val="%1."/>
      <w:numFmt w:val="decimal"/>
      <w:start w:val="12"/>
    </w:lvl>
  </w:abstractNum>
  <w:abstractNum w:abstractNumId="60">
    <w:nsid w:val="5DC79EA8"/>
    <w:multiLevelType w:val="hybridMultilevel"/>
    <w:lvl w:ilvl="0">
      <w:lvlJc w:val="left"/>
      <w:lvlText w:val="(%1)"/>
      <w:numFmt w:val="decimal"/>
      <w:start w:val="1"/>
    </w:lvl>
  </w:abstractNum>
  <w:abstractNum w:abstractNumId="61">
    <w:nsid w:val="540A471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62">
    <w:nsid w:val="7BD3EE7B"/>
    <w:multiLevelType w:val="hybridMultilevel"/>
    <w:lvl w:ilvl="0">
      <w:lvlJc w:val="left"/>
      <w:lvlText w:val="%1."/>
      <w:numFmt w:val="decimal"/>
      <w:start w:val="9"/>
    </w:lvl>
  </w:abstractNum>
  <w:abstractNum w:abstractNumId="63">
    <w:nsid w:val="51D9C564"/>
    <w:multiLevelType w:val="hybridMultilevel"/>
    <w:lvl w:ilvl="0">
      <w:lvlJc w:val="left"/>
      <w:lvlText w:val="%1."/>
      <w:numFmt w:val="decimal"/>
      <w:start w:val="12"/>
    </w:lvl>
  </w:abstractNum>
  <w:abstractNum w:abstractNumId="64">
    <w:nsid w:val="613EFDC5"/>
    <w:multiLevelType w:val="hybridMultilevel"/>
    <w:lvl w:ilvl="0">
      <w:lvlJc w:val="left"/>
      <w:lvlText w:val="(%1)"/>
      <w:numFmt w:val="decimal"/>
      <w:start w:val="1"/>
    </w:lvl>
  </w:abstractNum>
  <w:abstractNum w:abstractNumId="65">
    <w:nsid w:val="BF72B1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66">
    <w:nsid w:val="11447B73"/>
    <w:multiLevelType w:val="hybridMultilevel"/>
    <w:lvl w:ilvl="0">
      <w:lvlJc w:val="left"/>
      <w:lvlText w:val="%1."/>
      <w:numFmt w:val="decimal"/>
      <w:start w:val="9"/>
    </w:lvl>
  </w:abstractNum>
  <w:abstractNum w:abstractNumId="67">
    <w:nsid w:val="42963E5A"/>
    <w:multiLevelType w:val="hybridMultilevel"/>
    <w:lvl w:ilvl="0">
      <w:lvlJc w:val="left"/>
      <w:lvlText w:val="%1."/>
      <w:numFmt w:val="decimal"/>
      <w:start w:val="12"/>
    </w:lvl>
  </w:abstractNum>
  <w:abstractNum w:abstractNumId="68">
    <w:nsid w:val="A0382C5"/>
    <w:multiLevelType w:val="hybridMultilevel"/>
    <w:lvl w:ilvl="0">
      <w:lvlJc w:val="left"/>
      <w:lvlText w:val="(%1)"/>
      <w:numFmt w:val="decimal"/>
      <w:start w:val="1"/>
    </w:lvl>
  </w:abstractNum>
  <w:abstractNum w:abstractNumId="69">
    <w:nsid w:val="8F2B15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70">
    <w:nsid w:val="1A32234B"/>
    <w:multiLevelType w:val="hybridMultilevel"/>
    <w:lvl w:ilvl="0">
      <w:lvlJc w:val="left"/>
      <w:lvlText w:val="%1."/>
      <w:numFmt w:val="decimal"/>
      <w:start w:val="9"/>
    </w:lvl>
  </w:abstractNum>
  <w:abstractNum w:abstractNumId="71">
    <w:nsid w:val="3B0FD379"/>
    <w:multiLevelType w:val="hybridMultilevel"/>
    <w:lvl w:ilvl="0">
      <w:lvlJc w:val="left"/>
      <w:lvlText w:val="%1."/>
      <w:numFmt w:val="decimal"/>
      <w:start w:val="12"/>
    </w:lvl>
  </w:abstractNum>
  <w:abstractNum w:abstractNumId="72">
    <w:nsid w:val="68EB2F63"/>
    <w:multiLevelType w:val="hybridMultilevel"/>
    <w:lvl w:ilvl="0">
      <w:lvlJc w:val="left"/>
      <w:lvlText w:val="(%1)"/>
      <w:numFmt w:val="decimal"/>
      <w:start w:val="1"/>
    </w:lvl>
  </w:abstractNum>
  <w:abstractNum w:abstractNumId="73">
    <w:nsid w:val="4962813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74">
    <w:nsid w:val="60B6DF70"/>
    <w:multiLevelType w:val="hybridMultilevel"/>
    <w:lvl w:ilvl="0">
      <w:lvlJc w:val="left"/>
      <w:lvlText w:val="%1."/>
      <w:numFmt w:val="decimal"/>
      <w:start w:val="9"/>
    </w:lvl>
  </w:abstractNum>
  <w:abstractNum w:abstractNumId="75">
    <w:nsid w:val="6A5EE64"/>
    <w:multiLevelType w:val="hybridMultilevel"/>
    <w:lvl w:ilvl="0">
      <w:lvlJc w:val="left"/>
      <w:lvlText w:val="%1."/>
      <w:numFmt w:val="decimal"/>
      <w:start w:val="12"/>
    </w:lvl>
  </w:abstractNum>
  <w:abstractNum w:abstractNumId="76">
    <w:nsid w:val="14330624"/>
    <w:multiLevelType w:val="hybridMultilevel"/>
    <w:lvl w:ilvl="0">
      <w:lvlJc w:val="left"/>
      <w:lvlText w:val="(%1)"/>
      <w:numFmt w:val="decimal"/>
      <w:start w:val="1"/>
    </w:lvl>
  </w:abstractNum>
  <w:abstractNum w:abstractNumId="77">
    <w:nsid w:val="7FFFCA1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78">
    <w:nsid w:val="1A27709E"/>
    <w:multiLevelType w:val="hybridMultilevel"/>
    <w:lvl w:ilvl="0">
      <w:lvlJc w:val="left"/>
      <w:lvlText w:val="%1."/>
      <w:numFmt w:val="decimal"/>
      <w:start w:val="9"/>
    </w:lvl>
  </w:abstractNum>
  <w:abstractNum w:abstractNumId="79">
    <w:nsid w:val="71EA1109"/>
    <w:multiLevelType w:val="hybridMultilevel"/>
    <w:lvl w:ilvl="0">
      <w:lvlJc w:val="left"/>
      <w:lvlText w:val="%1."/>
      <w:numFmt w:val="decimal"/>
      <w:start w:val="12"/>
    </w:lvl>
  </w:abstractNum>
  <w:abstractNum w:abstractNumId="80">
    <w:nsid w:val="100F59DC"/>
    <w:multiLevelType w:val="hybridMultilevel"/>
    <w:lvl w:ilvl="0">
      <w:lvlJc w:val="left"/>
      <w:lvlText w:val="(%1)"/>
      <w:numFmt w:val="decimal"/>
      <w:start w:val="1"/>
    </w:lvl>
  </w:abstractNum>
  <w:abstractNum w:abstractNumId="81">
    <w:nsid w:val="7FB7E0A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82">
    <w:nsid w:val="6EB5BD4"/>
    <w:multiLevelType w:val="hybridMultilevel"/>
    <w:lvl w:ilvl="0">
      <w:lvlJc w:val="left"/>
      <w:lvlText w:val="%1."/>
      <w:numFmt w:val="decimal"/>
      <w:start w:val="9"/>
    </w:lvl>
  </w:abstractNum>
  <w:abstractNum w:abstractNumId="83">
    <w:nsid w:val="6F6DD9AC"/>
    <w:multiLevelType w:val="hybridMultilevel"/>
    <w:lvl w:ilvl="0">
      <w:lvlJc w:val="left"/>
      <w:lvlText w:val="%1."/>
      <w:numFmt w:val="decimal"/>
      <w:start w:val="12"/>
    </w:lvl>
  </w:abstractNum>
  <w:abstractNum w:abstractNumId="84">
    <w:nsid w:val="94211F2"/>
    <w:multiLevelType w:val="hybridMultilevel"/>
    <w:lvl w:ilvl="0">
      <w:lvlJc w:val="left"/>
      <w:lvlText w:val="(%1)"/>
      <w:numFmt w:val="decimal"/>
      <w:start w:val="1"/>
    </w:lvl>
  </w:abstractNum>
  <w:abstractNum w:abstractNumId="85">
    <w:nsid w:val="885E1B"/>
    <w:multiLevelType w:val="hybridMultilevel"/>
    <w:lvl w:ilvl="0">
      <w:lvlJc w:val="left"/>
      <w:lvlText w:val="%1)"/>
      <w:numFmt w:val="decimal"/>
      <w:start w:val="1"/>
    </w:lvl>
  </w:abstractNum>
  <w:abstractNum w:abstractNumId="86">
    <w:nsid w:val="76272110"/>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2020-02-20T16:30:18Z</dcterms:created>
  <dcterms:modified xsi:type="dcterms:W3CDTF">2020-02-20T16:30:18Z</dcterms:modified>
</cp:coreProperties>
</file>