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May 25, 2021</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Weatherford International plc</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Arial" w:cs="Arial" w:eastAsia="Arial" w:hAnsi="Arial"/>
                <w:sz w:val="18"/>
                <w:szCs w:val="18"/>
                <w:b w:val="1"/>
                <w:bCs w:val="1"/>
                <w:color w:val="auto"/>
                <w:w w:val="90"/>
              </w:rPr>
              <w:t>001-36504</w:t>
            </w:r>
          </w:p>
        </w:tc>
        <w:tc>
          <w:tcPr>
            <w:tcW w:w="2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3"/>
        </w:trPr>
        <w:tc>
          <w:tcPr>
            <w:tcW w:w="4260" w:type="dxa"/>
            <w:vAlign w:val="bottom"/>
            <w:gridSpan w:val="2"/>
          </w:tcPr>
          <w:p>
            <w:pPr>
              <w:ind w:left="240"/>
              <w:spacing w:after="0"/>
              <w:rPr>
                <w:sz w:val="20"/>
                <w:szCs w:val="20"/>
                <w:color w:val="auto"/>
              </w:rPr>
            </w:pPr>
            <w:r>
              <w:rPr>
                <w:rFonts w:ascii="Arial" w:cs="Arial" w:eastAsia="Arial" w:hAnsi="Arial"/>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(I.R.S. Employer Identification No.)</w:t>
            </w:r>
          </w:p>
        </w:tc>
      </w:tr>
      <w:tr>
        <w:trPr>
          <w:trHeight w:val="33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w w:val="97"/>
              </w:rPr>
              <w:t>2000 St. James Place ,  Houston,</w:t>
            </w:r>
          </w:p>
        </w:tc>
        <w:tc>
          <w:tcPr>
            <w:tcW w:w="3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77056</w:t>
            </w:r>
          </w:p>
        </w:tc>
        <w:tc>
          <w:tcPr>
            <w:tcW w:w="82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Arial" w:cs="Arial" w:eastAsia="Arial" w:hAnsi="Arial"/>
                <w:sz w:val="18"/>
                <w:szCs w:val="18"/>
                <w:color w:val="auto"/>
                <w:w w:val="91"/>
              </w:rPr>
              <w:t>(Zip Code)</w:t>
            </w:r>
          </w:p>
        </w:tc>
        <w:tc>
          <w:tcPr>
            <w:tcW w:w="820" w:type="dxa"/>
            <w:vAlign w:val="bottom"/>
          </w:tcPr>
          <w:p>
            <w:pPr>
              <w:spacing w:after="0"/>
              <w:rPr>
                <w:sz w:val="19"/>
                <w:szCs w:val="19"/>
                <w:color w:val="auto"/>
              </w:rPr>
            </w:pPr>
          </w:p>
        </w:tc>
      </w:tr>
    </w:tbl>
    <w:p>
      <w:pPr>
        <w:spacing w:after="0" w:line="74"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2" w:lineRule="exact"/>
        <w:rPr>
          <w:sz w:val="24"/>
          <w:szCs w:val="24"/>
          <w:color w:val="auto"/>
        </w:rPr>
      </w:pPr>
    </w:p>
    <w:p>
      <w:pPr>
        <w:ind w:left="54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16510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8"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2"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3" w:lineRule="exact"/>
        <w:rPr>
          <w:sz w:val="24"/>
          <w:szCs w:val="24"/>
          <w:color w:val="auto"/>
        </w:rPr>
      </w:pPr>
    </w:p>
    <w:tbl>
      <w:tblPr>
        <w:tblLayout w:type="fixed"/>
        <w:tblInd w:w="90" w:type="dxa"/>
        <w:tblCellMar>
          <w:top w:w="0" w:type="dxa"/>
          <w:left w:w="0" w:type="dxa"/>
          <w:bottom w:w="0" w:type="dxa"/>
          <w:right w:w="0" w:type="dxa"/>
        </w:tblCellMar>
      </w:tblPr>
      <w:tr>
        <w:trPr>
          <w:trHeight w:val="242"/>
        </w:trPr>
        <w:tc>
          <w:tcPr>
            <w:tcW w:w="4160" w:type="dxa"/>
            <w:vAlign w:val="bottom"/>
            <w:tcBorders>
              <w:top w:val="single" w:sz="8" w:color="auto"/>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Title of each class</w:t>
            </w:r>
          </w:p>
        </w:tc>
        <w:tc>
          <w:tcPr>
            <w:tcW w:w="236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Trading Symbol(s)</w:t>
            </w:r>
          </w:p>
        </w:tc>
        <w:tc>
          <w:tcPr>
            <w:tcW w:w="460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Name of each exchange on which registered</w:t>
            </w:r>
          </w:p>
        </w:tc>
      </w:tr>
      <w:tr>
        <w:trPr>
          <w:trHeight w:val="248"/>
        </w:trPr>
        <w:tc>
          <w:tcPr>
            <w:tcW w:w="416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4600" w:type="dxa"/>
            <w:vAlign w:val="bottom"/>
            <w:tcBorders>
              <w:bottom w:val="single" w:sz="8" w:color="auto"/>
              <w:right w:val="single" w:sz="8" w:color="auto"/>
            </w:tcBorders>
          </w:tcPr>
          <w:p>
            <w:pPr>
              <w:spacing w:after="0"/>
              <w:rPr>
                <w:sz w:val="21"/>
                <w:szCs w:val="21"/>
                <w:color w:val="auto"/>
              </w:rPr>
            </w:pPr>
          </w:p>
        </w:tc>
      </w:tr>
    </w:tbl>
    <w:p>
      <w:pPr>
        <w:spacing w:after="0" w:line="80" w:lineRule="exact"/>
        <w:rPr>
          <w:sz w:val="24"/>
          <w:szCs w:val="24"/>
          <w:color w:val="auto"/>
        </w:rPr>
      </w:pPr>
    </w:p>
    <w:p>
      <w:pPr>
        <w:ind w:right="560"/>
        <w:spacing w:after="0" w:line="25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2" w:right="359" w:bottom="1440" w:gutter="0" w:footer="0" w:header="0"/>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0" w:lineRule="exact"/>
        <w:rPr>
          <w:sz w:val="20"/>
          <w:szCs w:val="20"/>
          <w:color w:val="auto"/>
        </w:rPr>
      </w:pPr>
    </w:p>
    <w:p>
      <w:pPr>
        <w:spacing w:after="0" w:line="201" w:lineRule="exact"/>
        <w:rPr>
          <w:sz w:val="20"/>
          <w:szCs w:val="20"/>
          <w:color w:val="auto"/>
        </w:rPr>
      </w:pPr>
    </w:p>
    <w:p>
      <w:pPr>
        <w:jc w:val="both"/>
        <w:ind w:firstLine="403"/>
        <w:spacing w:after="0" w:line="370" w:lineRule="auto"/>
        <w:rPr>
          <w:sz w:val="20"/>
          <w:szCs w:val="20"/>
          <w:color w:val="auto"/>
        </w:rPr>
      </w:pPr>
      <w:r>
        <w:rPr>
          <w:rFonts w:ascii="Arial" w:cs="Arial" w:eastAsia="Arial" w:hAnsi="Arial"/>
          <w:sz w:val="18"/>
          <w:szCs w:val="18"/>
          <w:color w:val="auto"/>
        </w:rPr>
        <w:t>On May 25, 2021 beginning at 11:10 a.m., Central Time, Weatherford International plc will present to certain investors at the Barclays High Yield Bond and Syndicated Loan Conference via virtual webcast. The presentation materials will be available on Weatherford's website at www.weatherford.com under the Investor Relations section on the date of the event.</w:t>
      </w:r>
    </w:p>
    <w:p>
      <w:pPr>
        <w:spacing w:after="0" w:line="210" w:lineRule="exact"/>
        <w:rPr>
          <w:sz w:val="20"/>
          <w:szCs w:val="20"/>
          <w:color w:val="auto"/>
        </w:rPr>
      </w:pPr>
    </w:p>
    <w:p>
      <w:pPr>
        <w:jc w:val="both"/>
        <w:ind w:firstLine="403"/>
        <w:spacing w:after="0" w:line="370" w:lineRule="auto"/>
        <w:rPr>
          <w:sz w:val="20"/>
          <w:szCs w:val="20"/>
          <w:color w:val="auto"/>
        </w:rPr>
      </w:pPr>
      <w:r>
        <w:rPr>
          <w:rFonts w:ascii="Arial" w:cs="Arial" w:eastAsia="Arial" w:hAnsi="Arial"/>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1203960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53"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May 25, 2021</w:t>
      </w:r>
    </w:p>
    <w:p>
      <w:pPr>
        <w:spacing w:after="0" w:line="2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1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Scott C. Weatherholt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 General Counsel and Chief Compliance Officer</w:t>
      </w:r>
    </w:p>
    <w:sectPr>
      <w:pgSz w:w="11900" w:h="16838" w:orient="portrait"/>
      <w:cols w:equalWidth="0" w:num="1">
        <w:col w:w="11260"/>
      </w:cols>
      <w:pgMar w:left="320" w:top="88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2021-05-25T08:13:32Z</dcterms:created>
  <dcterms:modified xsi:type="dcterms:W3CDTF">2021-05-25T08:13:32Z</dcterms:modified>
</cp:coreProperties>
</file>