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2015</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524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4340" w:type="dxa"/>
            <w:vAlign w:val="bottom"/>
          </w:tcPr>
          <w:p>
            <w:pPr>
              <w:jc w:val="center"/>
              <w:ind w:left="3026"/>
              <w:spacing w:after="0"/>
              <w:rPr>
                <w:sz w:val="20"/>
                <w:szCs w:val="20"/>
                <w:color w:val="auto"/>
              </w:rPr>
            </w:pPr>
            <w:r>
              <w:rPr>
                <w:rFonts w:ascii="Arial" w:cs="Arial" w:eastAsia="Arial" w:hAnsi="Arial"/>
                <w:sz w:val="18"/>
                <w:szCs w:val="18"/>
                <w:b w:val="1"/>
                <w:bCs w:val="1"/>
                <w:color w:val="auto"/>
                <w:w w:val="91"/>
              </w:rPr>
              <w:t>98-0606750</w:t>
            </w:r>
          </w:p>
        </w:tc>
      </w:tr>
      <w:tr>
        <w:trPr>
          <w:trHeight w:val="135"/>
        </w:trPr>
        <w:tc>
          <w:tcPr>
            <w:tcW w:w="5240" w:type="dxa"/>
            <w:vAlign w:val="bottom"/>
          </w:tcPr>
          <w:p>
            <w:pPr>
              <w:jc w:val="center"/>
              <w:ind w:right="298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4340" w:type="dxa"/>
            <w:vAlign w:val="bottom"/>
          </w:tcPr>
          <w:p>
            <w:pPr>
              <w:jc w:val="center"/>
              <w:ind w:left="3026"/>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5240" w:type="dxa"/>
            <w:vAlign w:val="bottom"/>
          </w:tcPr>
          <w:p>
            <w:pPr>
              <w:jc w:val="center"/>
              <w:ind w:right="3003"/>
              <w:spacing w:after="0"/>
              <w:rPr>
                <w:sz w:val="20"/>
                <w:szCs w:val="20"/>
                <w:color w:val="auto"/>
              </w:rPr>
            </w:pPr>
            <w:r>
              <w:rPr>
                <w:rFonts w:ascii="Arial" w:cs="Arial" w:eastAsia="Arial" w:hAnsi="Arial"/>
                <w:sz w:val="13"/>
                <w:szCs w:val="13"/>
                <w:b w:val="1"/>
                <w:bCs w:val="1"/>
                <w:color w:val="auto"/>
                <w:w w:val="88"/>
              </w:rPr>
              <w:t>incorporation or organization)</w:t>
            </w:r>
          </w:p>
        </w:tc>
        <w:tc>
          <w:tcPr>
            <w:tcW w:w="4340" w:type="dxa"/>
            <w:vAlign w:val="bottom"/>
          </w:tcPr>
          <w:p>
            <w:pPr>
              <w:jc w:val="center"/>
              <w:ind w:left="3026"/>
              <w:spacing w:after="0"/>
              <w:rPr>
                <w:sz w:val="20"/>
                <w:szCs w:val="20"/>
                <w:color w:val="auto"/>
              </w:rPr>
            </w:pPr>
            <w:r>
              <w:rPr>
                <w:rFonts w:ascii="Arial" w:cs="Arial" w:eastAsia="Arial" w:hAnsi="Arial"/>
                <w:sz w:val="13"/>
                <w:szCs w:val="13"/>
                <w:b w:val="1"/>
                <w:bCs w:val="1"/>
                <w:color w:val="auto"/>
                <w:w w:val="89"/>
              </w:rPr>
              <w:t>Identification Number)</w:t>
            </w:r>
          </w:p>
        </w:tc>
      </w:tr>
      <w:tr>
        <w:trPr>
          <w:trHeight w:val="241"/>
        </w:trPr>
        <w:tc>
          <w:tcPr>
            <w:tcW w:w="5240" w:type="dxa"/>
            <w:vAlign w:val="bottom"/>
          </w:tcPr>
          <w:p>
            <w:pPr>
              <w:jc w:val="center"/>
              <w:ind w:right="3003"/>
              <w:spacing w:after="0"/>
              <w:rPr>
                <w:sz w:val="20"/>
                <w:szCs w:val="20"/>
                <w:color w:val="auto"/>
              </w:rPr>
            </w:pPr>
            <w:r>
              <w:rPr>
                <w:rFonts w:ascii="Arial" w:cs="Arial" w:eastAsia="Arial" w:hAnsi="Arial"/>
                <w:sz w:val="18"/>
                <w:szCs w:val="18"/>
                <w:b w:val="1"/>
                <w:bCs w:val="1"/>
                <w:color w:val="auto"/>
                <w:w w:val="87"/>
              </w:rPr>
              <w:t>Bahnhofstrasse 1</w:t>
            </w:r>
          </w:p>
        </w:tc>
        <w:tc>
          <w:tcPr>
            <w:tcW w:w="4340" w:type="dxa"/>
            <w:vAlign w:val="bottom"/>
          </w:tcPr>
          <w:p>
            <w:pPr>
              <w:spacing w:after="0"/>
              <w:rPr>
                <w:sz w:val="20"/>
                <w:szCs w:val="20"/>
                <w:color w:val="auto"/>
              </w:rPr>
            </w:pPr>
          </w:p>
        </w:tc>
      </w:tr>
      <w:tr>
        <w:trPr>
          <w:trHeight w:val="216"/>
        </w:trPr>
        <w:tc>
          <w:tcPr>
            <w:tcW w:w="5240" w:type="dxa"/>
            <w:vAlign w:val="bottom"/>
          </w:tcPr>
          <w:p>
            <w:pPr>
              <w:jc w:val="center"/>
              <w:ind w:right="2983"/>
              <w:spacing w:after="0"/>
              <w:rPr>
                <w:sz w:val="20"/>
                <w:szCs w:val="20"/>
                <w:color w:val="auto"/>
              </w:rPr>
            </w:pPr>
            <w:r>
              <w:rPr>
                <w:rFonts w:ascii="Arial" w:cs="Arial" w:eastAsia="Arial" w:hAnsi="Arial"/>
                <w:sz w:val="18"/>
                <w:szCs w:val="18"/>
                <w:b w:val="1"/>
                <w:bCs w:val="1"/>
                <w:color w:val="auto"/>
                <w:w w:val="91"/>
              </w:rPr>
              <w:t>6340 Baar, Switzerland</w:t>
            </w:r>
          </w:p>
        </w:tc>
        <w:tc>
          <w:tcPr>
            <w:tcW w:w="4340" w:type="dxa"/>
            <w:vAlign w:val="bottom"/>
          </w:tcPr>
          <w:p>
            <w:pPr>
              <w:jc w:val="center"/>
              <w:ind w:left="3026"/>
              <w:spacing w:after="0"/>
              <w:rPr>
                <w:sz w:val="20"/>
                <w:szCs w:val="20"/>
                <w:color w:val="auto"/>
              </w:rPr>
            </w:pPr>
            <w:r>
              <w:rPr>
                <w:rFonts w:ascii="Arial" w:cs="Arial" w:eastAsia="Arial" w:hAnsi="Arial"/>
                <w:sz w:val="18"/>
                <w:szCs w:val="18"/>
                <w:b w:val="1"/>
                <w:bCs w:val="1"/>
                <w:color w:val="auto"/>
                <w:w w:val="95"/>
              </w:rPr>
              <w:t>CH 6340</w:t>
            </w:r>
          </w:p>
        </w:tc>
      </w:tr>
      <w:tr>
        <w:trPr>
          <w:trHeight w:val="164"/>
        </w:trPr>
        <w:tc>
          <w:tcPr>
            <w:tcW w:w="5240" w:type="dxa"/>
            <w:vAlign w:val="bottom"/>
          </w:tcPr>
          <w:p>
            <w:pPr>
              <w:jc w:val="center"/>
              <w:ind w:right="300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340" w:type="dxa"/>
            <w:vAlign w:val="bottom"/>
          </w:tcPr>
          <w:p>
            <w:pPr>
              <w:jc w:val="center"/>
              <w:ind w:left="3006"/>
              <w:spacing w:after="0"/>
              <w:rPr>
                <w:sz w:val="20"/>
                <w:szCs w:val="20"/>
                <w:color w:val="auto"/>
              </w:rPr>
            </w:pPr>
            <w:r>
              <w:rPr>
                <w:rFonts w:ascii="Arial" w:cs="Arial" w:eastAsia="Arial" w:hAnsi="Arial"/>
                <w:sz w:val="13"/>
                <w:szCs w:val="13"/>
                <w:b w:val="1"/>
                <w:bCs w:val="1"/>
                <w:color w:val="auto"/>
                <w:w w:val="90"/>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2010 Omnibus Incentive Plan (As Amended and Restated)</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25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2160" w:type="dxa"/>
            <w:vAlign w:val="bottom"/>
          </w:tcPr>
          <w:p>
            <w:pPr>
              <w:spacing w:after="0"/>
              <w:rPr>
                <w:sz w:val="20"/>
                <w:szCs w:val="20"/>
                <w:color w:val="auto"/>
              </w:rPr>
            </w:pPr>
            <w:r>
              <w:rPr>
                <w:rFonts w:ascii="Arial" w:cs="Arial" w:eastAsia="Arial" w:hAnsi="Arial"/>
                <w:sz w:val="18"/>
                <w:szCs w:val="18"/>
                <w:color w:val="auto"/>
              </w:rPr>
              <w:t>x</w:t>
            </w:r>
          </w:p>
        </w:tc>
        <w:tc>
          <w:tcPr>
            <w:tcW w:w="2160" w:type="dxa"/>
            <w:vAlign w:val="bottom"/>
          </w:tcPr>
          <w:p>
            <w:pPr>
              <w:spacing w:after="0"/>
              <w:rPr>
                <w:sz w:val="20"/>
                <w:szCs w:val="20"/>
                <w:color w:val="auto"/>
              </w:rPr>
            </w:pPr>
          </w:p>
        </w:tc>
        <w:tc>
          <w:tcPr>
            <w:tcW w:w="2560" w:type="dxa"/>
            <w:vAlign w:val="bottom"/>
            <w:gridSpan w:val="2"/>
          </w:tcPr>
          <w:p>
            <w:pPr>
              <w:ind w:left="1280"/>
              <w:spacing w:after="0"/>
              <w:rPr>
                <w:sz w:val="20"/>
                <w:szCs w:val="20"/>
                <w:color w:val="auto"/>
              </w:rPr>
            </w:pPr>
            <w:r>
              <w:rPr>
                <w:rFonts w:ascii="Arial" w:cs="Arial" w:eastAsia="Arial" w:hAnsi="Arial"/>
                <w:sz w:val="18"/>
                <w:szCs w:val="18"/>
                <w:color w:val="auto"/>
                <w:w w:val="97"/>
              </w:rPr>
              <w:t>Accelerated filer</w:t>
            </w:r>
          </w:p>
        </w:tc>
        <w:tc>
          <w:tcPr>
            <w:tcW w:w="164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rPr>
              <w:t>o</w:t>
            </w:r>
          </w:p>
        </w:tc>
      </w:tr>
      <w:tr>
        <w:trPr>
          <w:trHeight w:val="500"/>
        </w:trPr>
        <w:tc>
          <w:tcPr>
            <w:tcW w:w="25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4320" w:type="dxa"/>
            <w:vAlign w:val="bottom"/>
            <w:gridSpan w:val="2"/>
          </w:tcPr>
          <w:p>
            <w:pPr>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4200" w:type="dxa"/>
            <w:vAlign w:val="bottom"/>
            <w:gridSpan w:val="3"/>
          </w:tcPr>
          <w:p>
            <w:pPr>
              <w:ind w:left="12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rPr>
                <w:sz w:val="20"/>
                <w:szCs w:val="20"/>
                <w:color w:val="auto"/>
              </w:rPr>
            </w:pPr>
            <w:r>
              <w:rPr>
                <w:rFonts w:ascii="Arial" w:cs="Arial" w:eastAsia="Arial" w:hAnsi="Arial"/>
                <w:sz w:val="14"/>
                <w:szCs w:val="14"/>
                <w:color w:val="auto"/>
              </w:rPr>
              <w:t>o</w:t>
            </w:r>
          </w:p>
        </w:tc>
      </w:tr>
      <w:tr>
        <w:trPr>
          <w:trHeight w:val="297"/>
        </w:trPr>
        <w:tc>
          <w:tcPr>
            <w:tcW w:w="2540" w:type="dxa"/>
            <w:vAlign w:val="bottom"/>
          </w:tcPr>
          <w:p>
            <w:pPr>
              <w:spacing w:after="0"/>
              <w:rPr>
                <w:sz w:val="24"/>
                <w:szCs w:val="24"/>
                <w:color w:val="auto"/>
              </w:rPr>
            </w:pPr>
          </w:p>
        </w:tc>
        <w:tc>
          <w:tcPr>
            <w:tcW w:w="6880" w:type="dxa"/>
            <w:vAlign w:val="bottom"/>
            <w:gridSpan w:val="4"/>
          </w:tcPr>
          <w:p>
            <w:pPr>
              <w:ind w:left="1420"/>
              <w:spacing w:after="0"/>
              <w:rPr>
                <w:sz w:val="20"/>
                <w:szCs w:val="20"/>
                <w:color w:val="auto"/>
              </w:rPr>
            </w:pPr>
            <w:r>
              <w:rPr>
                <w:rFonts w:ascii="Arial" w:cs="Arial" w:eastAsia="Arial" w:hAnsi="Arial"/>
                <w:sz w:val="18"/>
                <w:szCs w:val="18"/>
                <w:b w:val="1"/>
                <w:bCs w:val="1"/>
                <w:color w:val="auto"/>
              </w:rPr>
              <w:t>CALCULATION OF REGISTRATION FEE</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35"/>
        </w:trPr>
        <w:tc>
          <w:tcPr>
            <w:tcW w:w="2540" w:type="dxa"/>
            <w:vAlign w:val="bottom"/>
            <w:tcBorders>
              <w:bottom w:val="single" w:sz="8" w:color="00000A"/>
            </w:tcBorders>
          </w:tcPr>
          <w:p>
            <w:pPr>
              <w:spacing w:after="0"/>
              <w:rPr>
                <w:sz w:val="11"/>
                <w:szCs w:val="11"/>
                <w:color w:val="auto"/>
              </w:rPr>
            </w:pPr>
          </w:p>
        </w:tc>
        <w:tc>
          <w:tcPr>
            <w:tcW w:w="2160" w:type="dxa"/>
            <w:vAlign w:val="bottom"/>
            <w:tcBorders>
              <w:bottom w:val="single" w:sz="8" w:color="00000A"/>
            </w:tcBorders>
          </w:tcPr>
          <w:p>
            <w:pPr>
              <w:spacing w:after="0"/>
              <w:rPr>
                <w:sz w:val="11"/>
                <w:szCs w:val="11"/>
                <w:color w:val="auto"/>
              </w:rPr>
            </w:pPr>
          </w:p>
        </w:tc>
        <w:tc>
          <w:tcPr>
            <w:tcW w:w="2160" w:type="dxa"/>
            <w:vAlign w:val="bottom"/>
            <w:tcBorders>
              <w:bottom w:val="single" w:sz="8" w:color="00000A"/>
            </w:tcBorders>
          </w:tcPr>
          <w:p>
            <w:pPr>
              <w:spacing w:after="0"/>
              <w:rPr>
                <w:sz w:val="11"/>
                <w:szCs w:val="11"/>
                <w:color w:val="auto"/>
              </w:rPr>
            </w:pPr>
          </w:p>
        </w:tc>
        <w:tc>
          <w:tcPr>
            <w:tcW w:w="2560" w:type="dxa"/>
            <w:vAlign w:val="bottom"/>
            <w:tcBorders>
              <w:bottom w:val="single" w:sz="8" w:color="00000A"/>
            </w:tcBorders>
            <w:gridSpan w:val="2"/>
          </w:tcPr>
          <w:p>
            <w:pPr>
              <w:spacing w:after="0"/>
              <w:rPr>
                <w:sz w:val="11"/>
                <w:szCs w:val="11"/>
                <w:color w:val="auto"/>
              </w:rPr>
            </w:pPr>
          </w:p>
        </w:tc>
        <w:tc>
          <w:tcPr>
            <w:tcW w:w="1640" w:type="dxa"/>
            <w:vAlign w:val="bottom"/>
            <w:tcBorders>
              <w:bottom w:val="single" w:sz="8" w:color="00000A"/>
            </w:tcBorders>
          </w:tcPr>
          <w:p>
            <w:pPr>
              <w:spacing w:after="0"/>
              <w:rPr>
                <w:sz w:val="11"/>
                <w:szCs w:val="11"/>
                <w:color w:val="auto"/>
              </w:rPr>
            </w:pPr>
          </w:p>
        </w:tc>
        <w:tc>
          <w:tcPr>
            <w:tcW w:w="320" w:type="dxa"/>
            <w:vAlign w:val="bottom"/>
            <w:tcBorders>
              <w:bottom w:val="single" w:sz="8" w:color="00000A"/>
            </w:tcBorders>
          </w:tcPr>
          <w:p>
            <w:pPr>
              <w:spacing w:after="0"/>
              <w:rPr>
                <w:sz w:val="11"/>
                <w:szCs w:val="11"/>
                <w:color w:val="auto"/>
              </w:rPr>
            </w:pPr>
          </w:p>
        </w:tc>
      </w:tr>
      <w:tr>
        <w:trPr>
          <w:trHeight w:val="20"/>
        </w:trPr>
        <w:tc>
          <w:tcPr>
            <w:tcW w:w="254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tcBorders>
          </w:tcPr>
          <w:p>
            <w:pPr>
              <w:spacing w:after="0" w:line="20" w:lineRule="exact"/>
              <w:rPr>
                <w:sz w:val="1"/>
                <w:szCs w:val="1"/>
                <w:color w:val="auto"/>
              </w:rPr>
            </w:pPr>
          </w:p>
        </w:tc>
        <w:tc>
          <w:tcPr>
            <w:tcW w:w="1640" w:type="dxa"/>
            <w:vAlign w:val="bottom"/>
            <w:tcBorders>
              <w:bottom w:val="single" w:sz="8" w:color="00000A"/>
            </w:tcBorders>
          </w:tcPr>
          <w:p>
            <w:pPr>
              <w:spacing w:after="0" w:line="20" w:lineRule="exact"/>
              <w:rPr>
                <w:sz w:val="1"/>
                <w:szCs w:val="1"/>
                <w:color w:val="auto"/>
              </w:rPr>
            </w:pPr>
          </w:p>
        </w:tc>
        <w:tc>
          <w:tcPr>
            <w:tcW w:w="320" w:type="dxa"/>
            <w:vAlign w:val="bottom"/>
            <w:tcBorders>
              <w:bottom w:val="single" w:sz="8" w:color="00000A"/>
            </w:tcBorders>
          </w:tcPr>
          <w:p>
            <w:pPr>
              <w:spacing w:after="0" w:line="20" w:lineRule="exact"/>
              <w:rPr>
                <w:sz w:val="1"/>
                <w:szCs w:val="1"/>
                <w:color w:val="auto"/>
              </w:rPr>
            </w:pPr>
          </w:p>
        </w:tc>
      </w:tr>
      <w:tr>
        <w:trPr>
          <w:trHeight w:val="124"/>
        </w:trPr>
        <w:tc>
          <w:tcPr>
            <w:tcW w:w="254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jc w:val="center"/>
              <w:spacing w:after="0" w:line="124" w:lineRule="exact"/>
              <w:rPr>
                <w:sz w:val="20"/>
                <w:szCs w:val="20"/>
                <w:color w:val="auto"/>
              </w:rPr>
            </w:pPr>
            <w:r>
              <w:rPr>
                <w:rFonts w:ascii="Arial" w:cs="Arial" w:eastAsia="Arial" w:hAnsi="Arial"/>
                <w:sz w:val="13"/>
                <w:szCs w:val="13"/>
                <w:b w:val="1"/>
                <w:bCs w:val="1"/>
                <w:color w:val="auto"/>
                <w:w w:val="86"/>
              </w:rPr>
              <w:t>Proposed maximum offering price per</w:t>
            </w:r>
          </w:p>
        </w:tc>
        <w:tc>
          <w:tcPr>
            <w:tcW w:w="2160" w:type="dxa"/>
            <w:vAlign w:val="bottom"/>
            <w:tcBorders>
              <w:right w:val="single" w:sz="8" w:color="00000A"/>
            </w:tcBorders>
          </w:tcPr>
          <w:p>
            <w:pPr>
              <w:jc w:val="center"/>
              <w:spacing w:after="0" w:line="124" w:lineRule="exact"/>
              <w:rPr>
                <w:sz w:val="20"/>
                <w:szCs w:val="20"/>
                <w:color w:val="auto"/>
              </w:rPr>
            </w:pPr>
            <w:r>
              <w:rPr>
                <w:rFonts w:ascii="Arial" w:cs="Arial" w:eastAsia="Arial" w:hAnsi="Arial"/>
                <w:sz w:val="13"/>
                <w:szCs w:val="13"/>
                <w:b w:val="1"/>
                <w:bCs w:val="1"/>
                <w:color w:val="auto"/>
                <w:w w:val="85"/>
              </w:rPr>
              <w:t>Proposed maximum aggregate offering</w:t>
            </w:r>
          </w:p>
        </w:tc>
        <w:tc>
          <w:tcPr>
            <w:tcW w:w="4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74"/>
        </w:trPr>
        <w:tc>
          <w:tcPr>
            <w:tcW w:w="25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b w:val="1"/>
                <w:bCs w:val="1"/>
                <w:color w:val="auto"/>
              </w:rPr>
              <w:t>Title of securities to be registered</w:t>
            </w:r>
          </w:p>
        </w:tc>
        <w:tc>
          <w:tcPr>
            <w:tcW w:w="2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86"/>
              </w:rPr>
              <w:t>Amount to be registered</w:t>
            </w:r>
          </w:p>
        </w:tc>
        <w:tc>
          <w:tcPr>
            <w:tcW w:w="2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89"/>
              </w:rPr>
              <w:t>share</w:t>
            </w:r>
            <w:r>
              <w:rPr>
                <w:rFonts w:ascii="Arial" w:cs="Arial" w:eastAsia="Arial" w:hAnsi="Arial"/>
                <w:sz w:val="8"/>
                <w:szCs w:val="8"/>
                <w:b w:val="1"/>
                <w:bCs w:val="1"/>
                <w:color w:val="auto"/>
                <w:w w:val="89"/>
              </w:rPr>
              <w:t>(1)</w:t>
            </w:r>
          </w:p>
        </w:tc>
        <w:tc>
          <w:tcPr>
            <w:tcW w:w="2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8"/>
                <w:szCs w:val="8"/>
                <w:b w:val="1"/>
                <w:bCs w:val="1"/>
                <w:color w:val="auto"/>
                <w:w w:val="92"/>
              </w:rPr>
              <w:t>(1)</w:t>
            </w:r>
          </w:p>
        </w:tc>
        <w:tc>
          <w:tcPr>
            <w:tcW w:w="400" w:type="dxa"/>
            <w:vAlign w:val="bottom"/>
            <w:tcBorders>
              <w:bottom w:val="single" w:sz="8" w:color="00000A"/>
            </w:tcBorders>
          </w:tcPr>
          <w:p>
            <w:pPr>
              <w:spacing w:after="0"/>
              <w:rPr>
                <w:sz w:val="15"/>
                <w:szCs w:val="15"/>
                <w:color w:val="auto"/>
              </w:rPr>
            </w:pPr>
          </w:p>
        </w:tc>
        <w:tc>
          <w:tcPr>
            <w:tcW w:w="1640" w:type="dxa"/>
            <w:vAlign w:val="bottom"/>
            <w:tcBorders>
              <w:bottom w:val="single" w:sz="8" w:color="00000A"/>
            </w:tcBorders>
          </w:tcPr>
          <w:p>
            <w:pPr>
              <w:jc w:val="center"/>
              <w:ind w:right="23"/>
              <w:spacing w:after="0"/>
              <w:rPr>
                <w:sz w:val="20"/>
                <w:szCs w:val="20"/>
                <w:color w:val="auto"/>
              </w:rPr>
            </w:pPr>
            <w:r>
              <w:rPr>
                <w:rFonts w:ascii="Arial" w:cs="Arial" w:eastAsia="Arial" w:hAnsi="Arial"/>
                <w:sz w:val="13"/>
                <w:szCs w:val="13"/>
                <w:b w:val="1"/>
                <w:bCs w:val="1"/>
                <w:color w:val="auto"/>
                <w:w w:val="87"/>
              </w:rPr>
              <w:t>Amount of registration fee</w:t>
            </w:r>
          </w:p>
        </w:tc>
        <w:tc>
          <w:tcPr>
            <w:tcW w:w="320" w:type="dxa"/>
            <w:vAlign w:val="bottom"/>
            <w:tcBorders>
              <w:bottom w:val="single" w:sz="8" w:color="00000A"/>
            </w:tcBorders>
          </w:tcPr>
          <w:p>
            <w:pPr>
              <w:spacing w:after="0"/>
              <w:rPr>
                <w:sz w:val="15"/>
                <w:szCs w:val="15"/>
                <w:color w:val="auto"/>
              </w:rPr>
            </w:pPr>
          </w:p>
        </w:tc>
      </w:tr>
      <w:tr>
        <w:trPr>
          <w:trHeight w:val="229"/>
        </w:trPr>
        <w:tc>
          <w:tcPr>
            <w:tcW w:w="2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Ordinary Shares, par value</w:t>
            </w:r>
          </w:p>
        </w:tc>
        <w:tc>
          <w:tcPr>
            <w:tcW w:w="2160" w:type="dxa"/>
            <w:vAlign w:val="bottom"/>
            <w:tcBorders>
              <w:right w:val="single" w:sz="8" w:color="00000A"/>
            </w:tcBorders>
          </w:tcPr>
          <w:p>
            <w:pPr>
              <w:spacing w:after="0"/>
              <w:rPr>
                <w:sz w:val="19"/>
                <w:szCs w:val="19"/>
                <w:color w:val="auto"/>
              </w:rPr>
            </w:pPr>
          </w:p>
        </w:tc>
        <w:tc>
          <w:tcPr>
            <w:tcW w:w="2160" w:type="dxa"/>
            <w:vAlign w:val="bottom"/>
            <w:tcBorders>
              <w:right w:val="single" w:sz="8" w:color="00000A"/>
            </w:tcBorders>
          </w:tcPr>
          <w:p>
            <w:pPr>
              <w:spacing w:after="0"/>
              <w:rPr>
                <w:sz w:val="19"/>
                <w:szCs w:val="19"/>
                <w:color w:val="auto"/>
              </w:rPr>
            </w:pPr>
          </w:p>
        </w:tc>
        <w:tc>
          <w:tcPr>
            <w:tcW w:w="2160" w:type="dxa"/>
            <w:vAlign w:val="bottom"/>
            <w:tcBorders>
              <w:right w:val="single" w:sz="8" w:color="00000A"/>
            </w:tcBorders>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7"/>
        </w:trPr>
        <w:tc>
          <w:tcPr>
            <w:tcW w:w="25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$0.001</w:t>
            </w:r>
          </w:p>
        </w:tc>
        <w:tc>
          <w:tcPr>
            <w:tcW w:w="2160" w:type="dxa"/>
            <w:vAlign w:val="bottom"/>
            <w:tcBorders>
              <w:bottom w:val="single" w:sz="8" w:color="00000A"/>
              <w:right w:val="single" w:sz="8" w:color="00000A"/>
            </w:tcBorders>
          </w:tcPr>
          <w:p>
            <w:pPr>
              <w:jc w:val="center"/>
              <w:ind w:right="519"/>
              <w:spacing w:after="0" w:line="257" w:lineRule="exact"/>
              <w:rPr>
                <w:sz w:val="20"/>
                <w:szCs w:val="20"/>
                <w:color w:val="auto"/>
              </w:rPr>
            </w:pPr>
            <w:r>
              <w:rPr>
                <w:rFonts w:ascii="Arial" w:cs="Arial" w:eastAsia="Arial" w:hAnsi="Arial"/>
                <w:sz w:val="18"/>
                <w:szCs w:val="18"/>
                <w:color w:val="auto"/>
              </w:rPr>
              <w:t>15,000,000</w:t>
            </w:r>
            <w:r>
              <w:rPr>
                <w:rFonts w:ascii="Arial" w:cs="Arial" w:eastAsia="Arial" w:hAnsi="Arial"/>
                <w:sz w:val="25"/>
                <w:szCs w:val="25"/>
                <w:color w:val="auto"/>
                <w:vertAlign w:val="superscript"/>
              </w:rPr>
              <w:t>(2)</w:t>
            </w:r>
          </w:p>
        </w:tc>
        <w:tc>
          <w:tcPr>
            <w:tcW w:w="2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$14.27</w:t>
            </w:r>
          </w:p>
        </w:tc>
        <w:tc>
          <w:tcPr>
            <w:tcW w:w="2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$214,050,000</w:t>
            </w:r>
          </w:p>
        </w:tc>
        <w:tc>
          <w:tcPr>
            <w:tcW w:w="400" w:type="dxa"/>
            <w:vAlign w:val="bottom"/>
            <w:tcBorders>
              <w:bottom w:val="single" w:sz="8" w:color="00000A"/>
            </w:tcBorders>
          </w:tcPr>
          <w:p>
            <w:pPr>
              <w:spacing w:after="0"/>
              <w:rPr>
                <w:sz w:val="22"/>
                <w:szCs w:val="22"/>
                <w:color w:val="auto"/>
              </w:rPr>
            </w:pPr>
          </w:p>
        </w:tc>
        <w:tc>
          <w:tcPr>
            <w:tcW w:w="1640" w:type="dxa"/>
            <w:vAlign w:val="bottom"/>
            <w:tcBorders>
              <w:bottom w:val="single" w:sz="8" w:color="00000A"/>
            </w:tcBorders>
          </w:tcPr>
          <w:p>
            <w:pPr>
              <w:jc w:val="right"/>
              <w:ind w:right="503"/>
              <w:spacing w:after="0"/>
              <w:rPr>
                <w:sz w:val="20"/>
                <w:szCs w:val="20"/>
                <w:color w:val="auto"/>
              </w:rPr>
            </w:pPr>
            <w:r>
              <w:rPr>
                <w:rFonts w:ascii="Arial" w:cs="Arial" w:eastAsia="Arial" w:hAnsi="Arial"/>
                <w:sz w:val="18"/>
                <w:szCs w:val="18"/>
                <w:color w:val="auto"/>
              </w:rPr>
              <w:t>$24,873</w:t>
            </w:r>
          </w:p>
        </w:tc>
        <w:tc>
          <w:tcPr>
            <w:tcW w:w="320" w:type="dxa"/>
            <w:vAlign w:val="bottom"/>
            <w:tcBorders>
              <w:bottom w:val="single" w:sz="8" w:color="00000A"/>
            </w:tcBorders>
          </w:tcPr>
          <w:p>
            <w:pPr>
              <w:spacing w:after="0"/>
              <w:rPr>
                <w:sz w:val="22"/>
                <w:szCs w:val="22"/>
                <w:color w:val="auto"/>
              </w:rPr>
            </w:pPr>
          </w:p>
        </w:tc>
      </w:tr>
      <w:tr>
        <w:trPr>
          <w:trHeight w:val="20"/>
        </w:trPr>
        <w:tc>
          <w:tcPr>
            <w:tcW w:w="254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216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tcBorders>
          </w:tcPr>
          <w:p>
            <w:pPr>
              <w:spacing w:after="0" w:line="20" w:lineRule="exact"/>
              <w:rPr>
                <w:sz w:val="1"/>
                <w:szCs w:val="1"/>
                <w:color w:val="auto"/>
              </w:rPr>
            </w:pPr>
          </w:p>
        </w:tc>
        <w:tc>
          <w:tcPr>
            <w:tcW w:w="1640" w:type="dxa"/>
            <w:vAlign w:val="bottom"/>
            <w:tcBorders>
              <w:bottom w:val="single" w:sz="8" w:color="00000A"/>
            </w:tcBorders>
          </w:tcPr>
          <w:p>
            <w:pPr>
              <w:spacing w:after="0" w:line="20" w:lineRule="exact"/>
              <w:rPr>
                <w:sz w:val="1"/>
                <w:szCs w:val="1"/>
                <w:color w:val="auto"/>
              </w:rPr>
            </w:pPr>
          </w:p>
        </w:tc>
        <w:tc>
          <w:tcPr>
            <w:tcW w:w="320" w:type="dxa"/>
            <w:vAlign w:val="bottom"/>
            <w:tcBorders>
              <w:bottom w:val="single" w:sz="8" w:color="00000A"/>
            </w:tcBorders>
          </w:tcPr>
          <w:p>
            <w:pPr>
              <w:spacing w:after="0" w:line="20" w:lineRule="exact"/>
              <w:rPr>
                <w:sz w:val="1"/>
                <w:szCs w:val="1"/>
                <w:color w:val="auto"/>
              </w:rPr>
            </w:pPr>
          </w:p>
        </w:tc>
      </w:tr>
    </w:tbl>
    <w:p>
      <w:pPr>
        <w:spacing w:after="0" w:line="260" w:lineRule="exact"/>
        <w:rPr>
          <w:sz w:val="24"/>
          <w:szCs w:val="24"/>
          <w:color w:val="auto"/>
        </w:rPr>
      </w:pPr>
    </w:p>
    <w:p>
      <w:pPr>
        <w:ind w:left="500" w:right="60" w:hanging="465"/>
        <w:spacing w:after="0" w:line="26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6"/>
          <w:szCs w:val="16"/>
          <w:color w:val="auto"/>
        </w:rPr>
        <w:t>Estimated solely for the purpose of calculating the registration fee pursuant to Rule 457(c) and 457(h) under the Securities Act of 1933, as amended (the "Securities Act"), and based upon the average of the high and low sales prices of an Ordinary Share, par value $0.001 per share, as reported by the New York Stock Exchange, Inc. on June 11, 2015.</w:t>
      </w:r>
    </w:p>
    <w:p>
      <w:pPr>
        <w:spacing w:after="0" w:line="34" w:lineRule="exact"/>
        <w:rPr>
          <w:rFonts w:ascii="Arial" w:cs="Arial" w:eastAsia="Arial" w:hAnsi="Arial"/>
          <w:sz w:val="18"/>
          <w:szCs w:val="18"/>
          <w:color w:val="auto"/>
        </w:rPr>
      </w:pPr>
    </w:p>
    <w:p>
      <w:pPr>
        <w:ind w:left="500" w:right="120" w:hanging="465"/>
        <w:spacing w:after="0" w:line="263"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6"/>
          <w:szCs w:val="16"/>
          <w:color w:val="auto"/>
        </w:rPr>
        <w:t>Pursuant to Rule 416(a) under the Securities Act, this Registration Statement covers an indeterminable number of additional securities as may be offered or issued as a result of the anti-dilution provisions of the Weatherford International plc 2010 Omnibus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Registration Statement is being filed by Weatherford International plc, a public limited company organized under the laws of Ireland (the "Registrant"), pursuant to General Instruction E of Form S-8 under the Securities Act of 1933, as amended, to register an additional 15,000,000 Ordinary Shares, par value $0.001 per share (the "Ordinary Shares"), of the Registrant pursuant to the Weatherford International plc 2010 Omnibus Incentive Plan (as amended and restated, the "Plan"). The Board of Directors of the Registrant approved a First Amendment to the Plan (the "First Amendment") on March 19, 2015 and June 16, 2015, and the First Amendment was approved by the Registrant's shareholders on June 16, 2015. The First Amendment amends the terms of the Plan to, among other things, increase the number of Ordinary Shares available for issuance under the Plan from 28,144,000 Ordinary Shares to 43,144,000 Ordinary Shares.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These Ordinary Shares are additional securities of the same class as other securities for which Registration Statements on Form S-8 (Reg. Nos. 333-167959 and 333-181664), were previously filed with the United States Securities and Exchange Commission on July 2, 2010 and May 24, 2012, respectively, each as amended by a Post-Effective Amendment No. 1 to the respective Registration Statements on Form S-8 on June 17, 2014 (each as amended, the "Prior Registration Statements"). The information contained in the Prior Registration Statements is incorporated by reference into this Registration Statement.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spacing w:after="0"/>
              <w:rPr>
                <w:sz w:val="18"/>
                <w:szCs w:val="18"/>
                <w:color w:val="auto"/>
              </w:rPr>
            </w:pPr>
          </w:p>
        </w:tc>
      </w:tr>
      <w:tr>
        <w:trPr>
          <w:trHeight w:val="234"/>
        </w:trPr>
        <w:tc>
          <w:tcPr>
            <w:tcW w:w="840" w:type="dxa"/>
            <w:vAlign w:val="bottom"/>
          </w:tcPr>
          <w:p>
            <w:pPr>
              <w:ind w:left="180"/>
              <w:spacing w:after="0"/>
              <w:rPr>
                <w:sz w:val="20"/>
                <w:szCs w:val="20"/>
                <w:color w:val="auto"/>
              </w:rPr>
            </w:pPr>
            <w:r>
              <w:rPr>
                <w:rFonts w:ascii="Arial" w:cs="Arial" w:eastAsia="Arial" w:hAnsi="Arial"/>
                <w:sz w:val="18"/>
                <w:szCs w:val="18"/>
                <w:b w:val="1"/>
                <w:bCs w:val="1"/>
                <w:color w:val="auto"/>
              </w:rPr>
              <w:t>No.</w:t>
            </w:r>
          </w:p>
        </w:tc>
        <w:tc>
          <w:tcPr>
            <w:tcW w:w="10580" w:type="dxa"/>
            <w:vAlign w:val="bottom"/>
          </w:tcPr>
          <w:p>
            <w:pPr>
              <w:ind w:left="49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4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546"/>
        </w:trPr>
        <w:tc>
          <w:tcPr>
            <w:tcW w:w="840" w:type="dxa"/>
            <w:vAlign w:val="bottom"/>
          </w:tcPr>
          <w:p>
            <w:pPr>
              <w:ind w:left="40"/>
              <w:spacing w:after="0"/>
              <w:rPr>
                <w:sz w:val="20"/>
                <w:szCs w:val="20"/>
                <w:color w:val="auto"/>
              </w:rPr>
            </w:pPr>
            <w:r>
              <w:rPr>
                <w:rFonts w:ascii="Arial" w:cs="Arial" w:eastAsia="Arial" w:hAnsi="Arial"/>
                <w:sz w:val="18"/>
                <w:szCs w:val="18"/>
                <w:color w:val="auto"/>
              </w:rPr>
              <w:t>4.1</w:t>
            </w:r>
          </w:p>
        </w:tc>
        <w:tc>
          <w:tcPr>
            <w:tcW w:w="10580" w:type="dxa"/>
            <w:vAlign w:val="bottom"/>
          </w:tcPr>
          <w:p>
            <w:pPr>
              <w:ind w:left="240"/>
              <w:spacing w:after="0"/>
              <w:rPr>
                <w:sz w:val="20"/>
                <w:szCs w:val="20"/>
                <w:color w:val="auto"/>
              </w:rPr>
            </w:pPr>
            <w:r>
              <w:rPr>
                <w:rFonts w:ascii="Arial" w:cs="Arial" w:eastAsia="Arial" w:hAnsi="Arial"/>
                <w:sz w:val="18"/>
                <w:szCs w:val="18"/>
                <w:color w:val="auto"/>
                <w:w w:val="94"/>
              </w:rPr>
              <w:t>Memorandum and Articles of Association of Weatherford International public limited company (incorporated by reference to Exhibit 3.1 to</w:t>
            </w:r>
          </w:p>
        </w:tc>
      </w:tr>
      <w:tr>
        <w:trPr>
          <w:trHeight w:val="230"/>
        </w:trPr>
        <w:tc>
          <w:tcPr>
            <w:tcW w:w="840" w:type="dxa"/>
            <w:vAlign w:val="bottom"/>
          </w:tcPr>
          <w:p>
            <w:pPr>
              <w:spacing w:after="0"/>
              <w:rPr>
                <w:sz w:val="20"/>
                <w:szCs w:val="20"/>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Weatherford International plc's Current Report on Form 8-K filed on June 17, 2014).</w:t>
            </w:r>
          </w:p>
        </w:tc>
      </w:tr>
      <w:tr>
        <w:trPr>
          <w:trHeight w:val="688"/>
        </w:trPr>
        <w:tc>
          <w:tcPr>
            <w:tcW w:w="840" w:type="dxa"/>
            <w:vAlign w:val="bottom"/>
          </w:tcPr>
          <w:p>
            <w:pPr>
              <w:ind w:left="40"/>
              <w:spacing w:after="0"/>
              <w:rPr>
                <w:sz w:val="20"/>
                <w:szCs w:val="20"/>
                <w:color w:val="auto"/>
              </w:rPr>
            </w:pPr>
            <w:r>
              <w:rPr>
                <w:rFonts w:ascii="Arial" w:cs="Arial" w:eastAsia="Arial" w:hAnsi="Arial"/>
                <w:sz w:val="18"/>
                <w:szCs w:val="18"/>
                <w:color w:val="auto"/>
              </w:rPr>
              <w:t>4.2</w:t>
            </w:r>
          </w:p>
        </w:tc>
        <w:tc>
          <w:tcPr>
            <w:tcW w:w="10580" w:type="dxa"/>
            <w:vAlign w:val="bottom"/>
          </w:tcPr>
          <w:p>
            <w:pPr>
              <w:ind w:left="240"/>
              <w:spacing w:after="0"/>
              <w:rPr>
                <w:sz w:val="20"/>
                <w:szCs w:val="20"/>
                <w:color w:val="auto"/>
              </w:rPr>
            </w:pPr>
            <w:r>
              <w:rPr>
                <w:rFonts w:ascii="Arial" w:cs="Arial" w:eastAsia="Arial" w:hAnsi="Arial"/>
                <w:sz w:val="18"/>
                <w:szCs w:val="18"/>
                <w:color w:val="auto"/>
                <w:w w:val="97"/>
              </w:rPr>
              <w:t>Weatherford International plc 2010 Omnibus Incentive Plan (as Amended and Restated) (incorporated by reference to Exhibit 10.6 to</w:t>
            </w:r>
          </w:p>
        </w:tc>
      </w:tr>
      <w:tr>
        <w:trPr>
          <w:trHeight w:val="230"/>
        </w:trPr>
        <w:tc>
          <w:tcPr>
            <w:tcW w:w="840" w:type="dxa"/>
            <w:vAlign w:val="bottom"/>
          </w:tcPr>
          <w:p>
            <w:pPr>
              <w:spacing w:after="0"/>
              <w:rPr>
                <w:sz w:val="20"/>
                <w:szCs w:val="20"/>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Weatherford International plc's Current Report on Form 8-K filed on June 17, 2014).</w:t>
            </w:r>
          </w:p>
        </w:tc>
      </w:tr>
      <w:tr>
        <w:trPr>
          <w:trHeight w:val="688"/>
        </w:trPr>
        <w:tc>
          <w:tcPr>
            <w:tcW w:w="840" w:type="dxa"/>
            <w:vAlign w:val="bottom"/>
          </w:tcPr>
          <w:p>
            <w:pPr>
              <w:ind w:left="40"/>
              <w:spacing w:after="0"/>
              <w:rPr>
                <w:sz w:val="20"/>
                <w:szCs w:val="20"/>
                <w:color w:val="auto"/>
              </w:rPr>
            </w:pPr>
            <w:r>
              <w:rPr>
                <w:rFonts w:ascii="Arial" w:cs="Arial" w:eastAsia="Arial" w:hAnsi="Arial"/>
                <w:sz w:val="18"/>
                <w:szCs w:val="18"/>
                <w:color w:val="auto"/>
              </w:rPr>
              <w:t>4.3</w:t>
            </w:r>
          </w:p>
        </w:tc>
        <w:tc>
          <w:tcPr>
            <w:tcW w:w="10580" w:type="dxa"/>
            <w:vAlign w:val="bottom"/>
          </w:tcPr>
          <w:p>
            <w:pPr>
              <w:ind w:left="240"/>
              <w:spacing w:after="0"/>
              <w:rPr>
                <w:sz w:val="20"/>
                <w:szCs w:val="20"/>
                <w:color w:val="auto"/>
              </w:rPr>
            </w:pPr>
            <w:r>
              <w:rPr>
                <w:rFonts w:ascii="Arial" w:cs="Arial" w:eastAsia="Arial" w:hAnsi="Arial"/>
                <w:sz w:val="18"/>
                <w:szCs w:val="18"/>
                <w:color w:val="auto"/>
                <w:w w:val="96"/>
              </w:rPr>
              <w:t>First Amendment to Weatherford International plc 2010 Omnibus Incentive Plan (incorporated by reference to Annex A of Weatherford</w:t>
            </w:r>
          </w:p>
        </w:tc>
      </w:tr>
      <w:tr>
        <w:trPr>
          <w:trHeight w:val="230"/>
        </w:trPr>
        <w:tc>
          <w:tcPr>
            <w:tcW w:w="840" w:type="dxa"/>
            <w:vAlign w:val="bottom"/>
          </w:tcPr>
          <w:p>
            <w:pPr>
              <w:spacing w:after="0"/>
              <w:rPr>
                <w:sz w:val="20"/>
                <w:szCs w:val="20"/>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International plc's Definitive Proxy Statement on Schedule 14A filed on April 29, 2015).</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5.1*</w:t>
            </w:r>
          </w:p>
        </w:tc>
        <w:tc>
          <w:tcPr>
            <w:tcW w:w="10580" w:type="dxa"/>
            <w:vAlign w:val="bottom"/>
          </w:tcPr>
          <w:p>
            <w:pPr>
              <w:ind w:left="2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23.1*</w:t>
            </w:r>
          </w:p>
        </w:tc>
        <w:tc>
          <w:tcPr>
            <w:tcW w:w="10580" w:type="dxa"/>
            <w:vAlign w:val="bottom"/>
          </w:tcPr>
          <w:p>
            <w:pPr>
              <w:ind w:left="240"/>
              <w:spacing w:after="0"/>
              <w:rPr>
                <w:sz w:val="20"/>
                <w:szCs w:val="20"/>
                <w:color w:val="auto"/>
              </w:rPr>
            </w:pPr>
            <w:r>
              <w:rPr>
                <w:rFonts w:ascii="Arial" w:cs="Arial" w:eastAsia="Arial" w:hAnsi="Arial"/>
                <w:sz w:val="18"/>
                <w:szCs w:val="18"/>
                <w:color w:val="auto"/>
              </w:rPr>
              <w:t>Consent of KPMG LLP.</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23.2*</w:t>
            </w:r>
          </w:p>
        </w:tc>
        <w:tc>
          <w:tcPr>
            <w:tcW w:w="1058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23.3*</w:t>
            </w:r>
          </w:p>
        </w:tc>
        <w:tc>
          <w:tcPr>
            <w:tcW w:w="10580" w:type="dxa"/>
            <w:vAlign w:val="bottom"/>
          </w:tcPr>
          <w:p>
            <w:pPr>
              <w:ind w:left="240"/>
              <w:spacing w:after="0"/>
              <w:rPr>
                <w:sz w:val="20"/>
                <w:szCs w:val="20"/>
                <w:color w:val="auto"/>
              </w:rPr>
            </w:pPr>
            <w:r>
              <w:rPr>
                <w:rFonts w:ascii="Arial" w:cs="Arial" w:eastAsia="Arial" w:hAnsi="Arial"/>
                <w:sz w:val="18"/>
                <w:szCs w:val="18"/>
                <w:color w:val="auto"/>
              </w:rPr>
              <w:t>Consent of Matheson (included in Exhibit 5.1).</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24.1*</w:t>
            </w:r>
          </w:p>
        </w:tc>
        <w:tc>
          <w:tcPr>
            <w:tcW w:w="10580" w:type="dxa"/>
            <w:vAlign w:val="bottom"/>
          </w:tcPr>
          <w:p>
            <w:pPr>
              <w:ind w:left="2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420"/>
          </w:cols>
          <w:pgMar w:left="240" w:top="74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Geneva, Switzerland on June 17, 2015.</w:t>
      </w: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2760"/>
        <w:spacing w:after="0"/>
        <w:tabs>
          <w:tab w:leader="none" w:pos="3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-10160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Bernard J. Duroc-Danner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Chief Executive Officer, Chairman of the Board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 Director (Principal Executive Officer)</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Dr. Bernard J. Duroc-Danner and Christina M. Ibrahim,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below on June 17, 2015.</w:t>
      </w:r>
    </w:p>
    <w:p>
      <w:pPr>
        <w:sectPr>
          <w:pgSz w:w="11900" w:h="16838" w:orient="portrait"/>
          <w:cols w:equalWidth="0" w:num="1">
            <w:col w:w="11420"/>
          </w:cols>
          <w:pgMar w:left="240" w:top="796" w:right="239" w:bottom="1440" w:gutter="0" w:footer="0" w:header="0"/>
        </w:sectPr>
      </w:pPr>
    </w:p>
    <w:bookmarkStart w:id="4" w:name="page5"/>
    <w:bookmarkEnd w:id="4"/>
    <w:p>
      <w:pPr>
        <w:ind w:left="900"/>
        <w:spacing w:after="0"/>
        <w:tabs>
          <w:tab w:leader="none" w:pos="6780" w:val="left"/>
        </w:tabs>
        <w:rPr>
          <w:sz w:val="20"/>
          <w:szCs w:val="20"/>
          <w:color w:val="auto"/>
        </w:rPr>
      </w:pPr>
      <w:r>
        <w:rPr>
          <w:rFonts w:ascii="Arial" w:cs="Arial" w:eastAsia="Arial" w:hAnsi="Arial"/>
          <w:sz w:val="17"/>
          <w:szCs w:val="17"/>
          <w:b w:val="1"/>
          <w:bCs w:val="1"/>
          <w:color w:val="auto"/>
        </w:rPr>
        <w:t>Signature</w:t>
      </w:r>
      <w:r>
        <w:rPr>
          <w:sz w:val="20"/>
          <w:szCs w:val="20"/>
          <w:color w:val="auto"/>
        </w:rPr>
        <w:tab/>
      </w: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742" w:right="2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360" w:right="760" w:hanging="129"/>
        <w:spacing w:after="0" w:line="342" w:lineRule="auto"/>
        <w:rPr>
          <w:sz w:val="20"/>
          <w:szCs w:val="20"/>
          <w:color w:val="auto"/>
        </w:rPr>
      </w:pPr>
      <w:r>
        <w:rPr>
          <w:rFonts w:ascii="Arial" w:cs="Arial" w:eastAsia="Arial" w:hAnsi="Arial"/>
          <w:sz w:val="16"/>
          <w:szCs w:val="16"/>
          <w:u w:val="single" w:color="auto"/>
          <w:color w:val="auto"/>
        </w:rPr>
        <w:t xml:space="preserve">/s/ Bernard J. Duroc-Danner </w:t>
      </w:r>
      <w:r>
        <w:rPr>
          <w:rFonts w:ascii="Arial" w:cs="Arial" w:eastAsia="Arial" w:hAnsi="Arial"/>
          <w:sz w:val="16"/>
          <w:szCs w:val="16"/>
          <w:color w:val="auto"/>
        </w:rPr>
        <w:t>Bernard J. Duroc-Danner</w:t>
      </w: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Krishna Shivram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Douglas M. Mills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Douglas M. Mills</w:t>
      </w: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/s/ Mohamed A. Awad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Mohamed A. Awad</w:t>
      </w:r>
    </w:p>
    <w:p>
      <w:pPr>
        <w:spacing w:after="0" w:line="200" w:lineRule="exact"/>
        <w:rPr>
          <w:sz w:val="20"/>
          <w:szCs w:val="20"/>
          <w:color w:val="auto"/>
        </w:rPr>
      </w:pPr>
    </w:p>
    <w:p>
      <w:pPr>
        <w:spacing w:after="0" w:line="362"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David J. Butters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David J. Butters</w:t>
      </w:r>
    </w:p>
    <w:p>
      <w:pPr>
        <w:spacing w:after="0" w:line="200" w:lineRule="exact"/>
        <w:rPr>
          <w:sz w:val="20"/>
          <w:szCs w:val="20"/>
          <w:color w:val="auto"/>
        </w:rPr>
      </w:pPr>
    </w:p>
    <w:p>
      <w:pPr>
        <w:spacing w:after="0" w:line="36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 John D. Gass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John D. Gass</w:t>
      </w:r>
    </w:p>
    <w:p>
      <w:pPr>
        <w:spacing w:after="0" w:line="200" w:lineRule="exact"/>
        <w:rPr>
          <w:sz w:val="20"/>
          <w:szCs w:val="20"/>
          <w:color w:val="auto"/>
        </w:rPr>
      </w:pPr>
    </w:p>
    <w:p>
      <w:pPr>
        <w:spacing w:after="0" w:line="362" w:lineRule="exact"/>
        <w:rPr>
          <w:sz w:val="20"/>
          <w:szCs w:val="20"/>
          <w:color w:val="auto"/>
        </w:rPr>
      </w:pPr>
    </w:p>
    <w:p>
      <w:pPr>
        <w:jc w:val="center"/>
        <w:ind w:right="340"/>
        <w:spacing w:after="0"/>
        <w:rPr>
          <w:sz w:val="20"/>
          <w:szCs w:val="20"/>
          <w:color w:val="auto"/>
        </w:rPr>
      </w:pPr>
      <w:r>
        <w:rPr>
          <w:rFonts w:ascii="Arial" w:cs="Arial" w:eastAsia="Arial" w:hAnsi="Arial"/>
          <w:sz w:val="17"/>
          <w:szCs w:val="17"/>
          <w:u w:val="single" w:color="auto"/>
          <w:color w:val="auto"/>
        </w:rPr>
        <w:t>/s/ Sir Emyr Jones Parry</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Sir Emyr Jones Parry</w:t>
      </w:r>
    </w:p>
    <w:p>
      <w:pPr>
        <w:spacing w:after="0" w:line="200" w:lineRule="exact"/>
        <w:rPr>
          <w:sz w:val="20"/>
          <w:szCs w:val="20"/>
          <w:color w:val="auto"/>
        </w:rPr>
      </w:pPr>
    </w:p>
    <w:p>
      <w:pPr>
        <w:spacing w:after="0" w:line="362"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/s/ Francis S. Kalman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Francis S. Kalman</w:t>
      </w: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 William E. Macaulay</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E. Macaulay</w:t>
      </w:r>
    </w:p>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Arial" w:cs="Arial" w:eastAsia="Arial" w:hAnsi="Arial"/>
          <w:sz w:val="17"/>
          <w:szCs w:val="17"/>
          <w:u w:val="single" w:color="auto"/>
          <w:color w:val="auto"/>
        </w:rPr>
        <w:t>/s/ Robert K. Moses, Jr.</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Robert K. Moses, Jr.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/s/ Dr. Guillermo Ortiz</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Dr. Guillermo Ortiz</w:t>
      </w:r>
    </w:p>
    <w:p>
      <w:pPr>
        <w:spacing w:after="0" w:line="200" w:lineRule="exact"/>
        <w:rPr>
          <w:sz w:val="20"/>
          <w:szCs w:val="20"/>
          <w:color w:val="auto"/>
        </w:rPr>
      </w:pPr>
    </w:p>
    <w:p>
      <w:pPr>
        <w:spacing w:after="0" w:line="362" w:lineRule="exact"/>
        <w:rPr>
          <w:sz w:val="20"/>
          <w:szCs w:val="20"/>
          <w:color w:val="auto"/>
        </w:rPr>
      </w:pPr>
    </w:p>
    <w:p>
      <w:pPr>
        <w:jc w:val="center"/>
        <w:ind w:right="520"/>
        <w:spacing w:after="0"/>
        <w:rPr>
          <w:sz w:val="20"/>
          <w:szCs w:val="20"/>
          <w:color w:val="auto"/>
        </w:rPr>
      </w:pPr>
      <w:r>
        <w:rPr>
          <w:rFonts w:ascii="Arial" w:cs="Arial" w:eastAsia="Arial" w:hAnsi="Arial"/>
          <w:sz w:val="18"/>
          <w:szCs w:val="18"/>
          <w:u w:val="single" w:color="auto"/>
          <w:color w:val="auto"/>
        </w:rPr>
        <w:t>/s/ Robert A. Rayne</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Robert A. Rayne</w:t>
      </w:r>
    </w:p>
    <w:p>
      <w:pPr>
        <w:spacing w:after="0" w:line="200" w:lineRule="exact"/>
        <w:rPr>
          <w:sz w:val="20"/>
          <w:szCs w:val="20"/>
          <w:color w:val="auto"/>
        </w:rPr>
      </w:pPr>
    </w:p>
    <w:p>
      <w:pPr>
        <w:spacing w:after="0" w:line="362"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 Christina M. Ibrahim</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Christina M. Ibrahim</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President, Chief Executive Officer, Chairman of the Board, Director and Authorized U.S. Representative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040" w:space="720"/>
            <w:col w:w="6420"/>
          </w:cols>
          <w:pgMar w:left="1440" w:top="742" w:right="2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580" w:type="dxa"/>
            <w:vAlign w:val="bottom"/>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576"/>
        </w:trPr>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spacing w:after="0"/>
              <w:rPr>
                <w:sz w:val="24"/>
                <w:szCs w:val="24"/>
                <w:color w:val="auto"/>
              </w:rPr>
            </w:pPr>
          </w:p>
        </w:tc>
      </w:tr>
      <w:tr>
        <w:trPr>
          <w:trHeight w:val="234"/>
        </w:trPr>
        <w:tc>
          <w:tcPr>
            <w:tcW w:w="840" w:type="dxa"/>
            <w:vAlign w:val="bottom"/>
          </w:tcPr>
          <w:p>
            <w:pPr>
              <w:ind w:left="180"/>
              <w:spacing w:after="0"/>
              <w:rPr>
                <w:sz w:val="20"/>
                <w:szCs w:val="20"/>
                <w:color w:val="auto"/>
              </w:rPr>
            </w:pPr>
            <w:r>
              <w:rPr>
                <w:rFonts w:ascii="Arial" w:cs="Arial" w:eastAsia="Arial" w:hAnsi="Arial"/>
                <w:sz w:val="18"/>
                <w:szCs w:val="18"/>
                <w:b w:val="1"/>
                <w:bCs w:val="1"/>
                <w:color w:val="auto"/>
              </w:rPr>
              <w:t>No.</w:t>
            </w:r>
          </w:p>
        </w:tc>
        <w:tc>
          <w:tcPr>
            <w:tcW w:w="10580" w:type="dxa"/>
            <w:vAlign w:val="bottom"/>
          </w:tcPr>
          <w:p>
            <w:pPr>
              <w:ind w:left="49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4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546"/>
        </w:trPr>
        <w:tc>
          <w:tcPr>
            <w:tcW w:w="840" w:type="dxa"/>
            <w:vAlign w:val="bottom"/>
          </w:tcPr>
          <w:p>
            <w:pPr>
              <w:ind w:left="40"/>
              <w:spacing w:after="0"/>
              <w:rPr>
                <w:sz w:val="20"/>
                <w:szCs w:val="20"/>
                <w:color w:val="auto"/>
              </w:rPr>
            </w:pPr>
            <w:r>
              <w:rPr>
                <w:rFonts w:ascii="Arial" w:cs="Arial" w:eastAsia="Arial" w:hAnsi="Arial"/>
                <w:sz w:val="18"/>
                <w:szCs w:val="18"/>
                <w:color w:val="auto"/>
              </w:rPr>
              <w:t>4.1</w:t>
            </w:r>
          </w:p>
        </w:tc>
        <w:tc>
          <w:tcPr>
            <w:tcW w:w="10580" w:type="dxa"/>
            <w:vAlign w:val="bottom"/>
          </w:tcPr>
          <w:p>
            <w:pPr>
              <w:ind w:left="240"/>
              <w:spacing w:after="0"/>
              <w:rPr>
                <w:sz w:val="20"/>
                <w:szCs w:val="20"/>
                <w:color w:val="auto"/>
              </w:rPr>
            </w:pPr>
            <w:r>
              <w:rPr>
                <w:rFonts w:ascii="Arial" w:cs="Arial" w:eastAsia="Arial" w:hAnsi="Arial"/>
                <w:sz w:val="18"/>
                <w:szCs w:val="18"/>
                <w:color w:val="auto"/>
                <w:w w:val="94"/>
              </w:rPr>
              <w:t>Memorandum and Articles of Association of Weatherford International public limited company (incorporated by reference to Exhibit 3.1 to</w:t>
            </w:r>
          </w:p>
        </w:tc>
      </w:tr>
      <w:tr>
        <w:trPr>
          <w:trHeight w:val="230"/>
        </w:trPr>
        <w:tc>
          <w:tcPr>
            <w:tcW w:w="840" w:type="dxa"/>
            <w:vAlign w:val="bottom"/>
          </w:tcPr>
          <w:p>
            <w:pPr>
              <w:spacing w:after="0"/>
              <w:rPr>
                <w:sz w:val="20"/>
                <w:szCs w:val="20"/>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Weatherford International plc's Current Report on Form 8-K filed on June 17, 2014).</w:t>
            </w:r>
          </w:p>
        </w:tc>
      </w:tr>
      <w:tr>
        <w:trPr>
          <w:trHeight w:val="688"/>
        </w:trPr>
        <w:tc>
          <w:tcPr>
            <w:tcW w:w="840" w:type="dxa"/>
            <w:vAlign w:val="bottom"/>
          </w:tcPr>
          <w:p>
            <w:pPr>
              <w:ind w:left="40"/>
              <w:spacing w:after="0"/>
              <w:rPr>
                <w:sz w:val="20"/>
                <w:szCs w:val="20"/>
                <w:color w:val="auto"/>
              </w:rPr>
            </w:pPr>
            <w:r>
              <w:rPr>
                <w:rFonts w:ascii="Arial" w:cs="Arial" w:eastAsia="Arial" w:hAnsi="Arial"/>
                <w:sz w:val="18"/>
                <w:szCs w:val="18"/>
                <w:color w:val="auto"/>
              </w:rPr>
              <w:t>4.2</w:t>
            </w:r>
          </w:p>
        </w:tc>
        <w:tc>
          <w:tcPr>
            <w:tcW w:w="10580" w:type="dxa"/>
            <w:vAlign w:val="bottom"/>
          </w:tcPr>
          <w:p>
            <w:pPr>
              <w:ind w:left="240"/>
              <w:spacing w:after="0"/>
              <w:rPr>
                <w:sz w:val="20"/>
                <w:szCs w:val="20"/>
                <w:color w:val="auto"/>
              </w:rPr>
            </w:pPr>
            <w:r>
              <w:rPr>
                <w:rFonts w:ascii="Arial" w:cs="Arial" w:eastAsia="Arial" w:hAnsi="Arial"/>
                <w:sz w:val="18"/>
                <w:szCs w:val="18"/>
                <w:color w:val="auto"/>
                <w:w w:val="97"/>
              </w:rPr>
              <w:t>Weatherford International plc 2010 Omnibus Incentive Plan (as Amended and Restated) (incorporated by reference to Exhibit 10.6 to</w:t>
            </w:r>
          </w:p>
        </w:tc>
      </w:tr>
      <w:tr>
        <w:trPr>
          <w:trHeight w:val="230"/>
        </w:trPr>
        <w:tc>
          <w:tcPr>
            <w:tcW w:w="840" w:type="dxa"/>
            <w:vAlign w:val="bottom"/>
          </w:tcPr>
          <w:p>
            <w:pPr>
              <w:spacing w:after="0"/>
              <w:rPr>
                <w:sz w:val="20"/>
                <w:szCs w:val="20"/>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Weatherford International plc's Current Report on Form 8-K filed on June 17, 2014).</w:t>
            </w:r>
          </w:p>
        </w:tc>
      </w:tr>
      <w:tr>
        <w:trPr>
          <w:trHeight w:val="688"/>
        </w:trPr>
        <w:tc>
          <w:tcPr>
            <w:tcW w:w="840" w:type="dxa"/>
            <w:vAlign w:val="bottom"/>
          </w:tcPr>
          <w:p>
            <w:pPr>
              <w:ind w:left="40"/>
              <w:spacing w:after="0"/>
              <w:rPr>
                <w:sz w:val="20"/>
                <w:szCs w:val="20"/>
                <w:color w:val="auto"/>
              </w:rPr>
            </w:pPr>
            <w:r>
              <w:rPr>
                <w:rFonts w:ascii="Arial" w:cs="Arial" w:eastAsia="Arial" w:hAnsi="Arial"/>
                <w:sz w:val="18"/>
                <w:szCs w:val="18"/>
                <w:color w:val="auto"/>
              </w:rPr>
              <w:t>4.3</w:t>
            </w:r>
          </w:p>
        </w:tc>
        <w:tc>
          <w:tcPr>
            <w:tcW w:w="10580" w:type="dxa"/>
            <w:vAlign w:val="bottom"/>
          </w:tcPr>
          <w:p>
            <w:pPr>
              <w:ind w:left="240"/>
              <w:spacing w:after="0"/>
              <w:rPr>
                <w:sz w:val="20"/>
                <w:szCs w:val="20"/>
                <w:color w:val="auto"/>
              </w:rPr>
            </w:pPr>
            <w:r>
              <w:rPr>
                <w:rFonts w:ascii="Arial" w:cs="Arial" w:eastAsia="Arial" w:hAnsi="Arial"/>
                <w:sz w:val="18"/>
                <w:szCs w:val="18"/>
                <w:color w:val="auto"/>
                <w:w w:val="96"/>
              </w:rPr>
              <w:t>First Amendment to Weatherford International plc 2010 Omnibus Incentive Plan (incorporated by reference to Annex A of Weatherford</w:t>
            </w:r>
          </w:p>
        </w:tc>
      </w:tr>
      <w:tr>
        <w:trPr>
          <w:trHeight w:val="230"/>
        </w:trPr>
        <w:tc>
          <w:tcPr>
            <w:tcW w:w="840" w:type="dxa"/>
            <w:vAlign w:val="bottom"/>
          </w:tcPr>
          <w:p>
            <w:pPr>
              <w:spacing w:after="0"/>
              <w:rPr>
                <w:sz w:val="20"/>
                <w:szCs w:val="20"/>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International plc's Definitive Proxy Statement on Schedule 14A filed on April 29, 2015).</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5.1*</w:t>
            </w:r>
          </w:p>
        </w:tc>
        <w:tc>
          <w:tcPr>
            <w:tcW w:w="10580" w:type="dxa"/>
            <w:vAlign w:val="bottom"/>
          </w:tcPr>
          <w:p>
            <w:pPr>
              <w:ind w:left="2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23.1*</w:t>
            </w:r>
          </w:p>
        </w:tc>
        <w:tc>
          <w:tcPr>
            <w:tcW w:w="10580" w:type="dxa"/>
            <w:vAlign w:val="bottom"/>
          </w:tcPr>
          <w:p>
            <w:pPr>
              <w:ind w:left="240"/>
              <w:spacing w:after="0"/>
              <w:rPr>
                <w:sz w:val="20"/>
                <w:szCs w:val="20"/>
                <w:color w:val="auto"/>
              </w:rPr>
            </w:pPr>
            <w:r>
              <w:rPr>
                <w:rFonts w:ascii="Arial" w:cs="Arial" w:eastAsia="Arial" w:hAnsi="Arial"/>
                <w:sz w:val="18"/>
                <w:szCs w:val="18"/>
                <w:color w:val="auto"/>
              </w:rPr>
              <w:t>Consent of KPMG LLP.</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23.2*</w:t>
            </w:r>
          </w:p>
        </w:tc>
        <w:tc>
          <w:tcPr>
            <w:tcW w:w="1058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23.3*</w:t>
            </w:r>
          </w:p>
        </w:tc>
        <w:tc>
          <w:tcPr>
            <w:tcW w:w="10580" w:type="dxa"/>
            <w:vAlign w:val="bottom"/>
          </w:tcPr>
          <w:p>
            <w:pPr>
              <w:ind w:left="240"/>
              <w:spacing w:after="0"/>
              <w:rPr>
                <w:sz w:val="20"/>
                <w:szCs w:val="20"/>
                <w:color w:val="auto"/>
              </w:rPr>
            </w:pPr>
            <w:r>
              <w:rPr>
                <w:rFonts w:ascii="Arial" w:cs="Arial" w:eastAsia="Arial" w:hAnsi="Arial"/>
                <w:sz w:val="18"/>
                <w:szCs w:val="18"/>
                <w:color w:val="auto"/>
              </w:rPr>
              <w:t>Consent of Matheson (included in Exhibit 5.1).</w:t>
            </w:r>
          </w:p>
        </w:tc>
      </w:tr>
      <w:tr>
        <w:trPr>
          <w:trHeight w:val="702"/>
        </w:trPr>
        <w:tc>
          <w:tcPr>
            <w:tcW w:w="840" w:type="dxa"/>
            <w:vAlign w:val="bottom"/>
          </w:tcPr>
          <w:p>
            <w:pPr>
              <w:ind w:left="40"/>
              <w:spacing w:after="0"/>
              <w:rPr>
                <w:sz w:val="20"/>
                <w:szCs w:val="20"/>
                <w:color w:val="auto"/>
              </w:rPr>
            </w:pPr>
            <w:r>
              <w:rPr>
                <w:rFonts w:ascii="Arial" w:cs="Arial" w:eastAsia="Arial" w:hAnsi="Arial"/>
                <w:sz w:val="18"/>
                <w:szCs w:val="18"/>
                <w:color w:val="auto"/>
              </w:rPr>
              <w:t>24.1*</w:t>
            </w:r>
          </w:p>
        </w:tc>
        <w:tc>
          <w:tcPr>
            <w:tcW w:w="10580" w:type="dxa"/>
            <w:vAlign w:val="bottom"/>
          </w:tcPr>
          <w:p>
            <w:pPr>
              <w:ind w:left="2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60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75305</w:t>
      </w:r>
    </w:p>
    <w:p>
      <w:pPr>
        <w:sectPr>
          <w:pgSz w:w="11900" w:h="16838" w:orient="portrait"/>
          <w:cols w:equalWidth="0" w:num="1">
            <w:col w:w="11420"/>
          </w:cols>
          <w:pgMar w:left="240" w:top="79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309245</wp:posOffset>
            </wp:positionV>
            <wp:extent cx="2967355" cy="1046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Weatherford International plc</w:t>
      </w:r>
    </w:p>
    <w:p>
      <w:pPr>
        <w:ind w:left="40"/>
        <w:spacing w:after="0" w:line="234" w:lineRule="auto"/>
        <w:rPr>
          <w:sz w:val="20"/>
          <w:szCs w:val="20"/>
          <w:color w:val="auto"/>
        </w:rPr>
      </w:pPr>
      <w:r>
        <w:rPr>
          <w:rFonts w:ascii="Arial" w:cs="Arial" w:eastAsia="Arial" w:hAnsi="Arial"/>
          <w:sz w:val="18"/>
          <w:szCs w:val="18"/>
          <w:color w:val="auto"/>
        </w:rPr>
        <w:t>Banhofstrasse 1</w:t>
      </w:r>
    </w:p>
    <w:p>
      <w:pPr>
        <w:ind w:left="40"/>
        <w:spacing w:after="0" w:line="235" w:lineRule="auto"/>
        <w:rPr>
          <w:sz w:val="20"/>
          <w:szCs w:val="20"/>
          <w:color w:val="auto"/>
        </w:rPr>
      </w:pPr>
      <w:r>
        <w:rPr>
          <w:rFonts w:ascii="Arial" w:cs="Arial" w:eastAsia="Arial" w:hAnsi="Arial"/>
          <w:sz w:val="18"/>
          <w:szCs w:val="18"/>
          <w:color w:val="auto"/>
        </w:rPr>
        <w:t>6340 Baar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3900" w:val="left"/>
          <w:tab w:leader="none" w:pos="1028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8"/>
          <w:szCs w:val="18"/>
          <w:color w:val="auto"/>
        </w:rPr>
        <w:t>17 June 2015</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FBO 661725.9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public limited company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 on Form S-8</w:t>
      </w:r>
    </w:p>
    <w:p>
      <w:pPr>
        <w:spacing w:after="0" w:line="24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have acted on behalf of Weatherford International public limited company,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with respect to the registration by the Company of an additional 15,000,000 ordinary shares (nominal value of US$0.001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pursuant to Weatherford International plc 2010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(as amended by a First Amendment thereto (the “</w:t>
      </w:r>
      <w:r>
        <w:rPr>
          <w:rFonts w:ascii="Arial" w:cs="Arial" w:eastAsia="Arial" w:hAnsi="Arial"/>
          <w:sz w:val="18"/>
          <w:szCs w:val="18"/>
          <w:b w:val="1"/>
          <w:bCs w:val="1"/>
          <w:color w:val="auto"/>
        </w:rPr>
        <w:t>First Amendment</w:t>
      </w:r>
      <w:r>
        <w:rPr>
          <w:rFonts w:ascii="Arial" w:cs="Arial" w:eastAsia="Arial" w:hAnsi="Arial"/>
          <w:sz w:val="18"/>
          <w:szCs w:val="18"/>
          <w:color w:val="auto"/>
        </w:rPr>
        <w:t>”) which was approved by the board of directors of the Company on 19 March 2015 and 16 June 2015 and by the Company’s shareholders on 16 June 2015).</w:t>
      </w:r>
    </w:p>
    <w:p>
      <w:pPr>
        <w:spacing w:after="0" w:line="180" w:lineRule="exact"/>
        <w:rPr>
          <w:sz w:val="20"/>
          <w:szCs w:val="20"/>
          <w:color w:val="auto"/>
        </w:rPr>
      </w:pPr>
    </w:p>
    <w:p>
      <w:pPr>
        <w:ind w:left="620" w:hanging="612"/>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9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2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(a)the final form of the Registration Statement to be filed by the Company with the SEC;</w:t>
      </w:r>
    </w:p>
    <w:p>
      <w:pPr>
        <w:spacing w:after="0" w:line="266" w:lineRule="exact"/>
        <w:rPr>
          <w:sz w:val="20"/>
          <w:szCs w:val="20"/>
          <w:color w:val="auto"/>
        </w:rPr>
      </w:pPr>
    </w:p>
    <w:p>
      <w:pPr>
        <w:ind w:left="1400" w:right="20" w:hanging="751"/>
        <w:spacing w:after="0" w:line="309" w:lineRule="auto"/>
        <w:rPr>
          <w:sz w:val="20"/>
          <w:szCs w:val="20"/>
          <w:color w:val="auto"/>
        </w:rPr>
      </w:pPr>
      <w:r>
        <w:rPr>
          <w:rFonts w:ascii="Arial" w:cs="Arial" w:eastAsia="Arial" w:hAnsi="Arial"/>
          <w:sz w:val="18"/>
          <w:szCs w:val="18"/>
          <w:color w:val="auto"/>
        </w:rPr>
        <w:t>(b)a copy of the Memorandum and Articles of Association of the Company (as set out in Exhibit 3.1 to the Company’s Current Report on Form 8-K filed with the SEC on 17 June 2014);</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 copy of the Plan (as set out in Exhibit 10.6 to the Company’s Current Report on Form 8-K filed with the SEC on 17 June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517969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9695" cy="53149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7" w:name="page8"/>
    <w:bookmarkEnd w:id="7"/>
    <w:p>
      <w:pPr>
        <w:ind w:left="1400" w:hanging="751"/>
        <w:spacing w:after="0" w:line="30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(d)a copy of the First Amendment (as set out in Annex A of the Company’s Definitive Proxy Statement on Schedule 14A filed with the SEC on 29 April 2015);</w:t>
      </w:r>
    </w:p>
    <w:p>
      <w:pPr>
        <w:spacing w:after="0" w:line="196" w:lineRule="exact"/>
        <w:rPr>
          <w:sz w:val="20"/>
          <w:szCs w:val="20"/>
          <w:color w:val="auto"/>
        </w:rPr>
      </w:pPr>
    </w:p>
    <w:p>
      <w:pPr>
        <w:ind w:left="1400" w:hanging="751"/>
        <w:spacing w:after="0" w:line="309" w:lineRule="auto"/>
        <w:rPr>
          <w:sz w:val="20"/>
          <w:szCs w:val="20"/>
          <w:color w:val="auto"/>
        </w:rPr>
      </w:pPr>
      <w:r>
        <w:rPr>
          <w:rFonts w:ascii="Arial" w:cs="Arial" w:eastAsia="Arial" w:hAnsi="Arial"/>
          <w:sz w:val="18"/>
          <w:szCs w:val="18"/>
          <w:color w:val="auto"/>
        </w:rPr>
        <w:t>(e)copy extract of resolutions of the board of directors’ of the Company passed on 19 March 2015 and 16 June 2015, certified by the secretary to be a true and complete copy of same;</w:t>
      </w:r>
    </w:p>
    <w:p>
      <w:pPr>
        <w:spacing w:after="0" w:line="196" w:lineRule="exact"/>
        <w:rPr>
          <w:sz w:val="20"/>
          <w:szCs w:val="20"/>
          <w:color w:val="auto"/>
        </w:rPr>
      </w:pPr>
    </w:p>
    <w:p>
      <w:pPr>
        <w:ind w:left="1360" w:hanging="697"/>
        <w:spacing w:after="0" w:line="309" w:lineRule="auto"/>
        <w:rPr>
          <w:sz w:val="20"/>
          <w:szCs w:val="20"/>
          <w:color w:val="auto"/>
        </w:rPr>
      </w:pPr>
      <w:r>
        <w:rPr>
          <w:rFonts w:ascii="Arial" w:cs="Arial" w:eastAsia="Arial" w:hAnsi="Arial"/>
          <w:sz w:val="18"/>
          <w:szCs w:val="18"/>
          <w:color w:val="auto"/>
        </w:rPr>
        <w:t>(f)copy extract of a resolution of the shareholders of Company passed at the annual general meeting of the Company held on 16 June 2015 (the “</w:t>
      </w:r>
      <w:r>
        <w:rPr>
          <w:rFonts w:ascii="Arial" w:cs="Arial" w:eastAsia="Arial" w:hAnsi="Arial"/>
          <w:sz w:val="18"/>
          <w:szCs w:val="18"/>
          <w:b w:val="1"/>
          <w:bCs w:val="1"/>
          <w:color w:val="auto"/>
        </w:rPr>
        <w:t>AGM</w:t>
      </w:r>
      <w:r>
        <w:rPr>
          <w:rFonts w:ascii="Arial" w:cs="Arial" w:eastAsia="Arial" w:hAnsi="Arial"/>
          <w:sz w:val="18"/>
          <w:szCs w:val="18"/>
          <w:color w:val="auto"/>
        </w:rPr>
        <w:t>”), certified by the secretary to be a true and complete copy of same;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 certificate of the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certifying the matters referred to in the preceding sub-paragraphs</w:t>
      </w:r>
    </w:p>
    <w:p>
      <w:pPr>
        <w:spacing w:after="0" w:line="72" w:lineRule="exact"/>
        <w:rPr>
          <w:sz w:val="20"/>
          <w:szCs w:val="20"/>
          <w:color w:val="auto"/>
        </w:rPr>
      </w:pPr>
    </w:p>
    <w:p>
      <w:pPr>
        <w:ind w:left="1680" w:hanging="272"/>
        <w:spacing w:after="0"/>
        <w:tabs>
          <w:tab w:leader="none" w:pos="1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and (f); and</w:t>
      </w:r>
    </w:p>
    <w:p>
      <w:pPr>
        <w:spacing w:after="0" w:line="26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facsimile copy of the results of searches made on 17 June 2014 at the Irish Companies Registration Office, in the Register of</w:t>
      </w:r>
    </w:p>
    <w:p>
      <w:pPr>
        <w:spacing w:after="0" w:line="49" w:lineRule="exact"/>
        <w:rPr>
          <w:rFonts w:ascii="Arial" w:cs="Arial" w:eastAsia="Arial" w:hAnsi="Arial"/>
          <w:sz w:val="18"/>
          <w:szCs w:val="18"/>
          <w:color w:val="auto"/>
        </w:rPr>
      </w:pPr>
    </w:p>
    <w:p>
      <w:pPr>
        <w:ind w:left="1280" w:right="20"/>
        <w:spacing w:after="0" w:line="309" w:lineRule="auto"/>
        <w:rPr>
          <w:rFonts w:ascii="Arial" w:cs="Arial" w:eastAsia="Arial" w:hAnsi="Arial"/>
          <w:sz w:val="18"/>
          <w:szCs w:val="18"/>
          <w:color w:val="auto"/>
        </w:rPr>
      </w:pPr>
      <w:r>
        <w:rPr>
          <w:rFonts w:ascii="Arial" w:cs="Arial" w:eastAsia="Arial" w:hAnsi="Arial"/>
          <w:sz w:val="18"/>
          <w:szCs w:val="18"/>
          <w:color w:val="auto"/>
        </w:rPr>
        <w:t>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96"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202" w:lineRule="exact"/>
        <w:rPr>
          <w:sz w:val="20"/>
          <w:szCs w:val="20"/>
          <w:color w:val="auto"/>
        </w:rPr>
      </w:pPr>
    </w:p>
    <w:p>
      <w:pPr>
        <w:jc w:val="both"/>
        <w:ind w:left="620" w:hanging="620"/>
        <w:spacing w:after="0" w:line="301"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Registration Statement, the First Amendment or the Plan nor have we attempted to determine whether any material facts have been omitted therefrom.</w:t>
      </w:r>
    </w:p>
    <w:p>
      <w:pPr>
        <w:spacing w:after="0" w:line="204"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202" w:lineRule="exact"/>
        <w:rPr>
          <w:sz w:val="20"/>
          <w:szCs w:val="20"/>
          <w:color w:val="auto"/>
        </w:rPr>
      </w:pPr>
    </w:p>
    <w:p>
      <w:pPr>
        <w:jc w:val="both"/>
        <w:ind w:left="620" w:hanging="620"/>
        <w:spacing w:after="0" w:line="303"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202" w:lineRule="exact"/>
        <w:rPr>
          <w:sz w:val="20"/>
          <w:szCs w:val="20"/>
          <w:color w:val="auto"/>
        </w:rPr>
      </w:pPr>
    </w:p>
    <w:p>
      <w:pPr>
        <w:jc w:val="both"/>
        <w:ind w:left="620" w:hanging="620"/>
        <w:spacing w:after="0" w:line="299"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34974045.3</w:t>
      </w:r>
    </w:p>
    <w:p>
      <w:pPr>
        <w:sectPr>
          <w:pgSz w:w="11900" w:h="16838" w:orient="portrait"/>
          <w:cols w:equalWidth="0" w:num="1">
            <w:col w:w="11420"/>
          </w:cols>
          <w:pgMar w:left="240" w:top="706" w:right="239" w:bottom="1440" w:gutter="0" w:footer="0" w:header="0"/>
        </w:sectPr>
      </w:pPr>
    </w:p>
    <w:bookmarkStart w:id="8" w:name="page9"/>
    <w:bookmarkEnd w:id="8"/>
    <w:p>
      <w:pPr>
        <w:ind w:left="620"/>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of the Registration Statement and is not to be use, circulated, quoted or otherwise referred to for any other purpose without our express written consent.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239"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296"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For the purpose of giving this opinion we have assumed:</w:t>
      </w:r>
    </w:p>
    <w:p>
      <w:pPr>
        <w:spacing w:after="0" w:line="265" w:lineRule="exact"/>
        <w:rPr>
          <w:rFonts w:ascii="Arial" w:cs="Arial" w:eastAsia="Arial" w:hAnsi="Arial"/>
          <w:sz w:val="20"/>
          <w:szCs w:val="20"/>
          <w:color w:val="auto"/>
        </w:rPr>
      </w:pPr>
    </w:p>
    <w:p>
      <w:pPr>
        <w:ind w:left="1260" w:hanging="604"/>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265" w:lineRule="exact"/>
        <w:rPr>
          <w:rFonts w:ascii="Arial" w:cs="Arial" w:eastAsia="Arial" w:hAnsi="Arial"/>
          <w:sz w:val="18"/>
          <w:szCs w:val="18"/>
          <w:color w:val="auto"/>
        </w:rPr>
      </w:pPr>
    </w:p>
    <w:p>
      <w:pPr>
        <w:ind w:left="1280" w:hanging="624"/>
        <w:spacing w:after="0" w:line="309" w:lineRule="auto"/>
        <w:tabs>
          <w:tab w:leader="none" w:pos="126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96" w:lineRule="exact"/>
        <w:rPr>
          <w:rFonts w:ascii="Arial" w:cs="Arial" w:eastAsia="Arial" w:hAnsi="Arial"/>
          <w:sz w:val="18"/>
          <w:szCs w:val="18"/>
          <w:color w:val="auto"/>
        </w:rPr>
      </w:pPr>
    </w:p>
    <w:p>
      <w:pPr>
        <w:ind w:left="1260" w:hanging="604"/>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265" w:lineRule="exact"/>
        <w:rPr>
          <w:rFonts w:ascii="Arial" w:cs="Arial" w:eastAsia="Arial" w:hAnsi="Arial"/>
          <w:sz w:val="18"/>
          <w:szCs w:val="18"/>
          <w:color w:val="auto"/>
        </w:rPr>
      </w:pPr>
    </w:p>
    <w:p>
      <w:pPr>
        <w:jc w:val="both"/>
        <w:ind w:left="1280" w:right="20" w:hanging="624"/>
        <w:spacing w:after="0" w:line="303" w:lineRule="auto"/>
        <w:tabs>
          <w:tab w:leader="none" w:pos="126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extracts referred to above, and examined for the purposes of this opinion, were passed at meetings of the said board of directors, those meetings were properly convened, constituted and held and that the said resolutions have not since been amended or rescinded;</w:t>
      </w:r>
    </w:p>
    <w:p>
      <w:pPr>
        <w:spacing w:after="0" w:line="201"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the resolution passed by the shareholders of the Company described in the extract referred to above, and examined for the purposes of this opinion, was passed at the AGM, that the AGM was properly convened, constituted and held and that the said resolution has not since been amended or rescinded;</w:t>
      </w:r>
    </w:p>
    <w:p>
      <w:pPr>
        <w:spacing w:after="0" w:line="201" w:lineRule="exact"/>
        <w:rPr>
          <w:rFonts w:ascii="Arial" w:cs="Arial" w:eastAsia="Arial" w:hAnsi="Arial"/>
          <w:sz w:val="18"/>
          <w:szCs w:val="18"/>
          <w:color w:val="auto"/>
        </w:rPr>
      </w:pPr>
    </w:p>
    <w:p>
      <w:pPr>
        <w:ind w:left="1260" w:hanging="604"/>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at the time of the allotment of any Shares: (i) the Company will have a sufficient number of authorised but unissued Shares</w:t>
      </w:r>
    </w:p>
    <w:p>
      <w:pPr>
        <w:spacing w:after="0" w:line="49" w:lineRule="exact"/>
        <w:rPr>
          <w:rFonts w:ascii="Arial" w:cs="Arial" w:eastAsia="Arial" w:hAnsi="Arial"/>
          <w:sz w:val="18"/>
          <w:szCs w:val="18"/>
          <w:color w:val="auto"/>
        </w:rPr>
      </w:pPr>
    </w:p>
    <w:p>
      <w:pPr>
        <w:jc w:val="both"/>
        <w:ind w:left="1280"/>
        <w:spacing w:after="0" w:line="299" w:lineRule="auto"/>
        <w:rPr>
          <w:rFonts w:ascii="Arial" w:cs="Arial" w:eastAsia="Arial" w:hAnsi="Arial"/>
          <w:sz w:val="18"/>
          <w:szCs w:val="18"/>
          <w:color w:val="auto"/>
        </w:rPr>
      </w:pPr>
      <w:r>
        <w:rPr>
          <w:rFonts w:ascii="Arial" w:cs="Arial" w:eastAsia="Arial" w:hAnsi="Arial"/>
          <w:sz w:val="18"/>
          <w:szCs w:val="18"/>
          <w:color w:val="auto"/>
        </w:rPr>
        <w:t>in its capital (at least equal to the number of Shares to be allotted and issued); (ii) the directors of the Company will have been generally and unconditionally authorised, as required by clause 1021(1) of the Companies Act 2014 (the “</w:t>
      </w:r>
      <w:r>
        <w:rPr>
          <w:rFonts w:ascii="Arial" w:cs="Arial" w:eastAsia="Arial" w:hAnsi="Arial"/>
          <w:sz w:val="18"/>
          <w:szCs w:val="18"/>
          <w:b w:val="1"/>
          <w:bCs w:val="1"/>
          <w:color w:val="auto"/>
        </w:rPr>
        <w:t>2014 Act</w:t>
      </w:r>
      <w:r>
        <w:rPr>
          <w:rFonts w:ascii="Arial" w:cs="Arial" w:eastAsia="Arial" w:hAnsi="Arial"/>
          <w:sz w:val="18"/>
          <w:szCs w:val="18"/>
          <w:color w:val="auto"/>
        </w:rPr>
        <w:t>”), by the Company’s articles of association or by ordinary resolution of the Company’s shareholders to allot a sufficient number of Shares (at least equal to the number of Shares to be allotted and issued); and (iii) if issued for cash consideration, such Shares will be allotted and issued in accordance with section 1022(1) of the 2014 Act or the directors will have been empowered, by the Company’s articles of association or by a special resolution of the Company’s shareholders, passed in accordance with section 1023(3) of the 2014 Act (or as appropriate under the provisions of any former enactment relating to companies), to allot and issue such Shares as of the said section 1022(1) did not apply to such allotment and issue;</w:t>
      </w:r>
    </w:p>
    <w:p>
      <w:pPr>
        <w:spacing w:after="0" w:line="205" w:lineRule="exact"/>
        <w:rPr>
          <w:rFonts w:ascii="Arial" w:cs="Arial" w:eastAsia="Arial" w:hAnsi="Arial"/>
          <w:sz w:val="18"/>
          <w:szCs w:val="18"/>
          <w:color w:val="auto"/>
        </w:rPr>
      </w:pPr>
    </w:p>
    <w:p>
      <w:pPr>
        <w:ind w:left="1260" w:hanging="604"/>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Registration Statement will be effective and continue to be effective;</w:t>
      </w:r>
    </w:p>
    <w:p>
      <w:pPr>
        <w:spacing w:after="0" w:line="265"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any Shares allotted and issued in accordance with the Registration Statement will be paid-up in consideration of the receipt by the Company from the party to whom the Shares are to be issued, prior to, or simultaneously with the issue of such Shares,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34974045.3</w:t>
      </w:r>
    </w:p>
    <w:p>
      <w:pPr>
        <w:sectPr>
          <w:pgSz w:w="11900" w:h="16838" w:orient="portrait"/>
          <w:cols w:equalWidth="0" w:num="1">
            <w:col w:w="11420"/>
          </w:cols>
          <w:pgMar w:left="240" w:top="733" w:right="239" w:bottom="1440" w:gutter="0" w:footer="0" w:header="0"/>
        </w:sectPr>
      </w:pPr>
    </w:p>
    <w:bookmarkStart w:id="9" w:name="page10"/>
    <w:bookmarkEnd w:id="9"/>
    <w:p>
      <w:pPr>
        <w:jc w:val="both"/>
        <w:ind w:left="1280"/>
        <w:spacing w:after="0" w:line="3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cash and other consideration at least equal to the nominal value of such Shares and, to the extent that any of the consideration for such Shares is payable otherwise than in cash, that the provisions of sections 1028 to 1035 of the 2014 Act have been complied with;</w:t>
      </w:r>
    </w:p>
    <w:p>
      <w:pPr>
        <w:spacing w:after="0" w:line="177" w:lineRule="exact"/>
        <w:rPr>
          <w:sz w:val="20"/>
          <w:szCs w:val="20"/>
          <w:color w:val="auto"/>
        </w:rPr>
      </w:pPr>
    </w:p>
    <w:p>
      <w:pPr>
        <w:jc w:val="both"/>
        <w:ind w:left="1280" w:hanging="624"/>
        <w:spacing w:after="0" w:line="301"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204"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201" w:lineRule="exact"/>
        <w:rPr>
          <w:rFonts w:ascii="Arial" w:cs="Arial" w:eastAsia="Arial" w:hAnsi="Arial"/>
          <w:sz w:val="18"/>
          <w:szCs w:val="18"/>
          <w:color w:val="auto"/>
        </w:rPr>
      </w:pPr>
    </w:p>
    <w:p>
      <w:pPr>
        <w:jc w:val="both"/>
        <w:ind w:left="1280" w:hanging="624"/>
        <w:spacing w:after="0" w:line="299"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205" w:lineRule="exact"/>
        <w:rPr>
          <w:rFonts w:ascii="Arial" w:cs="Arial" w:eastAsia="Arial" w:hAnsi="Arial"/>
          <w:sz w:val="18"/>
          <w:szCs w:val="18"/>
          <w:color w:val="auto"/>
        </w:rPr>
      </w:pPr>
    </w:p>
    <w:p>
      <w:pPr>
        <w:jc w:val="both"/>
        <w:ind w:left="1280" w:hanging="624"/>
        <w:spacing w:after="0" w:line="301"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82 of the 2014 Act, for the purpose of, or in connection with, the purchase or subscription by any person of or for any Shares save as permitted by, or pursuant to an exemption to, the said section 82;</w:t>
      </w:r>
    </w:p>
    <w:p>
      <w:pPr>
        <w:spacing w:after="0" w:line="204"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Registration Statement and the accuracy of the Certificate;</w:t>
      </w:r>
    </w:p>
    <w:p>
      <w:pPr>
        <w:spacing w:after="0" w:line="196" w:lineRule="exact"/>
        <w:rPr>
          <w:rFonts w:ascii="Arial" w:cs="Arial" w:eastAsia="Arial" w:hAnsi="Arial"/>
          <w:sz w:val="18"/>
          <w:szCs w:val="18"/>
          <w:color w:val="auto"/>
        </w:rPr>
      </w:pPr>
    </w:p>
    <w:p>
      <w:pPr>
        <w:jc w:val="both"/>
        <w:ind w:left="1280" w:hanging="624"/>
        <w:spacing w:after="0" w:line="303"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Registration Statement, the First Amendment or the Plan or in any way bear upon, or are inconsistent with, the contents of this opinion;</w:t>
      </w:r>
    </w:p>
    <w:p>
      <w:pPr>
        <w:spacing w:after="0" w:line="201"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Registration Statement, the directors of the Company have acted in a manner they consider, in good faith, to be in the best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34974045.3</w:t>
      </w:r>
    </w:p>
    <w:p>
      <w:pPr>
        <w:sectPr>
          <w:pgSz w:w="11900" w:h="16838" w:orient="portrait"/>
          <w:cols w:equalWidth="0" w:num="1">
            <w:col w:w="11420"/>
          </w:cols>
          <w:pgMar w:left="240" w:top="733" w:right="239" w:bottom="1440" w:gutter="0" w:footer="0" w:header="0"/>
        </w:sectPr>
      </w:pPr>
    </w:p>
    <w:bookmarkStart w:id="10" w:name="page11"/>
    <w:bookmarkEnd w:id="10"/>
    <w:p>
      <w:pPr>
        <w:ind w:left="1280" w:right="20"/>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interests of the Company for its legitimate business purposes and would be most likely to promote the success of the Company for the benefit of its members as a whole;</w:t>
      </w:r>
    </w:p>
    <w:p>
      <w:pPr>
        <w:spacing w:after="0" w:line="170" w:lineRule="exact"/>
        <w:rPr>
          <w:sz w:val="20"/>
          <w:szCs w:val="20"/>
          <w:color w:val="auto"/>
        </w:rPr>
      </w:pPr>
    </w:p>
    <w:p>
      <w:pPr>
        <w:jc w:val="both"/>
        <w:ind w:left="1280" w:hanging="624"/>
        <w:spacing w:after="0" w:line="301" w:lineRule="auto"/>
        <w:tabs>
          <w:tab w:leader="none" w:pos="1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204" w:lineRule="exact"/>
        <w:rPr>
          <w:rFonts w:ascii="Arial" w:cs="Arial" w:eastAsia="Arial" w:hAnsi="Arial"/>
          <w:sz w:val="18"/>
          <w:szCs w:val="18"/>
          <w:color w:val="auto"/>
        </w:rPr>
      </w:pPr>
    </w:p>
    <w:p>
      <w:pPr>
        <w:jc w:val="both"/>
        <w:ind w:left="1280" w:hanging="624"/>
        <w:spacing w:after="0" w:line="299" w:lineRule="auto"/>
        <w:tabs>
          <w:tab w:leader="none" w:pos="1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 the Company was, or will be, fully solvent (A) at the time of, and immediately after, the filing of the Registration Statement and (B) at the date hereof; (ii) the Company would not, as a consequence of doing any act or thing which the Registration Statement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208" w:lineRule="exact"/>
        <w:rPr>
          <w:rFonts w:ascii="Arial" w:cs="Arial" w:eastAsia="Arial" w:hAnsi="Arial"/>
          <w:sz w:val="18"/>
          <w:szCs w:val="18"/>
          <w:color w:val="auto"/>
        </w:rPr>
      </w:pPr>
    </w:p>
    <w:p>
      <w:pPr>
        <w:ind w:left="1280" w:hanging="624"/>
        <w:spacing w:after="0" w:line="309" w:lineRule="auto"/>
        <w:tabs>
          <w:tab w:leader="none" w:pos="1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70"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96" w:lineRule="exact"/>
        <w:rPr>
          <w:rFonts w:ascii="Arial" w:cs="Arial" w:eastAsia="Arial" w:hAnsi="Arial"/>
          <w:sz w:val="20"/>
          <w:szCs w:val="20"/>
          <w:color w:val="auto"/>
        </w:rPr>
      </w:pPr>
    </w:p>
    <w:p>
      <w:pPr>
        <w:jc w:val="both"/>
        <w:ind w:left="620"/>
        <w:spacing w:after="0" w:line="299"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(as amended by the First Amendment)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34974045.3</w:t>
      </w:r>
    </w:p>
    <w:p>
      <w:pPr>
        <w:sectPr>
          <w:pgSz w:w="11900" w:h="16838" w:orient="portrait"/>
          <w:cols w:equalWidth="0" w:num="1">
            <w:col w:w="11420"/>
          </w:cols>
          <w:pgMar w:left="240" w:top="733" w:right="239" w:bottom="1440" w:gutter="0" w:footer="0" w:header="0"/>
        </w:sectPr>
      </w:pPr>
    </w:p>
    <w:bookmarkStart w:id="11" w:name="page12"/>
    <w:bookmarkEnd w:id="11"/>
    <w:p>
      <w:pPr>
        <w:ind w:left="620" w:hanging="612"/>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6117590</wp:posOffset>
            </wp:positionH>
            <wp:positionV relativeFrom="page">
              <wp:posOffset>88900</wp:posOffset>
            </wp:positionV>
            <wp:extent cx="128651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86510" cy="188595"/>
                    </a:xfrm>
                    <a:prstGeom prst="rect">
                      <a:avLst/>
                    </a:prstGeom>
                    <a:noFill/>
                  </pic:spPr>
                </pic:pic>
              </a:graphicData>
            </a:graphic>
          </wp:anchor>
        </w:drawing>
        <w:t>Qualifications</w:t>
      </w:r>
    </w:p>
    <w:p>
      <w:pPr>
        <w:spacing w:after="0" w:line="296"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265" w:lineRule="exact"/>
        <w:rPr>
          <w:rFonts w:ascii="Arial" w:cs="Arial" w:eastAsia="Arial" w:hAnsi="Arial"/>
          <w:sz w:val="20"/>
          <w:szCs w:val="20"/>
          <w:color w:val="auto"/>
        </w:rPr>
      </w:pPr>
    </w:p>
    <w:p>
      <w:pPr>
        <w:ind w:left="1540" w:hanging="911"/>
        <w:spacing w:after="0" w:line="30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w:t>
      </w:r>
    </w:p>
    <w:p>
      <w:pPr>
        <w:spacing w:after="0" w:line="196" w:lineRule="exact"/>
        <w:rPr>
          <w:rFonts w:ascii="Arial" w:cs="Arial" w:eastAsia="Arial" w:hAnsi="Arial"/>
          <w:sz w:val="18"/>
          <w:szCs w:val="18"/>
          <w:color w:val="auto"/>
        </w:rPr>
      </w:pPr>
    </w:p>
    <w:p>
      <w:pPr>
        <w:ind w:left="1540" w:hanging="911"/>
        <w:spacing w:after="0" w:line="30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search at the Registry of Winding up Petitions at the Central Office of the High Court is not capable of revealing whether or not a receiver has been appointed.</w:t>
      </w:r>
    </w:p>
    <w:p>
      <w:pPr>
        <w:spacing w:after="0" w:line="196"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 MATHESON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34974045.3</w:t>
      </w:r>
    </w:p>
    <w:p>
      <w:pPr>
        <w:sectPr>
          <w:pgSz w:w="11900" w:h="16838" w:orient="portrait"/>
          <w:cols w:equalWidth="0" w:num="1">
            <w:col w:w="11420"/>
          </w:cols>
          <w:pgMar w:left="240" w:top="67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plc:</w:t>
      </w:r>
    </w:p>
    <w:p>
      <w:pPr>
        <w:spacing w:after="0" w:line="30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consent to the incorporation by reference in the registration statement on Form S-8 of Weatherford International plc, relating to the Weatherford International plc 2010 Omnibus Incentive Plan, as amended and restated, of our report dated February 17, 2015, with respect to the consolidated balance sheets of Weatherford International plc as of December 31, 2014 and 2013, and the related consolidated statements of operations, comprehensive income (loss), shareholders’ equity, and cash flows for each of the years in the two-year period ended December 31, 2014, and the related financial statement schedule for each of the years in the two-year period ended December 31, 2014, and the effectiveness of internal control over financial reporting as of December 31, 2014, which reports appear in the December 31, 2014 annual report on Form 10-K of 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KPMG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June 17, 2015</w:t>
      </w:r>
    </w:p>
    <w:p>
      <w:pPr>
        <w:sectPr>
          <w:pgSz w:w="11900" w:h="16838" w:orient="portrait"/>
          <w:cols w:equalWidth="0" w:num="1">
            <w:col w:w="11420"/>
          </w:cols>
          <w:pgMar w:left="240" w:top="126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ind w:right="280"/>
        <w:spacing w:after="0" w:line="32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Weatherford International plc 2010 Omnibus Incentive Plan, as Amended and Restated, of our report dated March 4, 2013, with respect to the consolidated financial statements and schedule of Weatherford International Ltd. and Subsidiaries for the year ended December 31, 2012, included in its Annual Report (Form 10-K) of Weatherford International plc for the year ended December 31, 2014, filed with the Securities and Exchange Commission.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 Ernst &amp; Young LLP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2015</w:t>
      </w:r>
    </w:p>
    <w:sectPr>
      <w:pgSz w:w="11900" w:h="16838" w:orient="portrait"/>
      <w:cols w:equalWidth="0" w:num="1">
        <w:col w:w="11420"/>
      </w:cols>
      <w:pgMar w:left="240" w:top="10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713"/>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1"/>
    </w:lvl>
    <w:lvl w:ilvl="1">
      <w:lvlJc w:val="left"/>
      <w:lvlText w:val="(%2)"/>
      <w:numFmt w:val="lowerLetter"/>
      <w:start w:val="5"/>
    </w:lvl>
  </w:abstractNum>
  <w:abstractNum w:abstractNumId="4">
    <w:nsid w:val="79E2A9E3"/>
    <w:multiLevelType w:val="hybridMultilevel"/>
    <w:lvl w:ilvl="0">
      <w:lvlJc w:val="left"/>
      <w:lvlText w:val="(%1)"/>
      <w:numFmt w:val="lowerLetter"/>
      <w:start w:val="8"/>
    </w:lvl>
    <w:lvl w:ilvl="1">
      <w:lvlJc w:val="left"/>
      <w:lvlText w:val="%2"/>
      <w:numFmt w:val="lowerLetter"/>
      <w:start w:val="1"/>
    </w:lvl>
  </w:abstractNum>
  <w:abstractNum w:abstractNumId="5">
    <w:nsid w:val="7545E146"/>
    <w:multiLevelType w:val="hybridMultilevel"/>
    <w:lvl w:ilvl="0">
      <w:lvlJc w:val="left"/>
      <w:lvlText w:val="2"/>
      <w:numFmt w:val="bullet"/>
      <w:start w:val="1"/>
    </w:lvl>
    <w:lvl w:ilvl="1">
      <w:lvlJc w:val="left"/>
      <w:lvlText w:val="(%2)"/>
      <w:numFmt w:val="lowerLetter"/>
      <w:start w:val="1"/>
    </w:lvl>
  </w:abstractNum>
  <w:abstractNum w:abstractNumId="6">
    <w:nsid w:val="515F007C"/>
    <w:multiLevelType w:val="hybridMultilevel"/>
    <w:lvl w:ilvl="0">
      <w:lvlJc w:val="left"/>
      <w:lvlText w:val="(%1)"/>
      <w:numFmt w:val="lowerLetter"/>
      <w:start w:val="9"/>
    </w:lvl>
  </w:abstractNum>
  <w:abstractNum w:abstractNumId="7">
    <w:nsid w:val="5BD062C2"/>
    <w:multiLevelType w:val="hybridMultilevel"/>
    <w:lvl w:ilvl="0">
      <w:lvlJc w:val="left"/>
      <w:lvlText w:val="(%1)"/>
      <w:numFmt w:val="lowerLetter"/>
      <w:start w:val="16"/>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2019-12-09T05:22:18Z</dcterms:created>
  <dcterms:modified xsi:type="dcterms:W3CDTF">2019-12-09T05:22:18Z</dcterms:modified>
</cp:coreProperties>
</file>