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333-228815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154940</wp:posOffset>
            </wp:positionV>
            <wp:extent cx="85788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88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$600,000,000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9.875% Senior Notes due 2025 (CUSIP Nos. 94707J AA5 and U9432J AA2)</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that Have Not Been Registered Under</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$600,000,000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9.875% Senior Notes due 2025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i w:val="1"/>
          <w:iCs w:val="1"/>
          <w:color w:val="auto"/>
        </w:rPr>
        <w:t>The exchange offer and related withdrawal rights will expire at 5:00 p.m., New York City time, on January 28, 2019, unless extended.</w:t>
      </w:r>
    </w:p>
    <w:p>
      <w:pPr>
        <w:spacing w:after="0" w:line="225" w:lineRule="exact"/>
        <w:rPr>
          <w:sz w:val="24"/>
          <w:szCs w:val="24"/>
          <w:color w:val="auto"/>
        </w:rPr>
      </w:pPr>
    </w:p>
    <w:p>
      <w:pPr>
        <w:ind w:right="60" w:firstLine="441"/>
        <w:spacing w:after="0" w:line="255" w:lineRule="auto"/>
        <w:rPr>
          <w:sz w:val="20"/>
          <w:szCs w:val="20"/>
          <w:color w:val="auto"/>
        </w:rPr>
      </w:pPr>
      <w:r>
        <w:rPr>
          <w:rFonts w:ascii="Arial" w:cs="Arial" w:eastAsia="Arial" w:hAnsi="Arial"/>
          <w:sz w:val="18"/>
          <w:szCs w:val="18"/>
          <w:color w:val="auto"/>
        </w:rPr>
        <w:t>We are offering to exchange (the “exchange offer”) up to $600 million aggregate principal amount of our new 9.875% Senior Notes due 2025, which have been registered under the Securities Act of 1933, as amended (the “Securities Act”), which we refer to in this prospectus as the “new notes,” for any and all of our outstanding unregistered 9.875% Senior Notes due 2025, referred to in this prospectus as the “old notes.” We issued $600 million of the old notes on February 28, 2018 in a transaction not requiring registration under the Securities Act. We are offering you new notes in exchange for old notes in order to satisfy our registration obligations agreed to in connection with such transaction. The old notes and the new notes are collectively referred to in this prospectus as the “notes,” and they will be treated as a single class under the indenture dated June 18, 2007, as amended and supplemented (the “indenture”), governing them.</w:t>
      </w:r>
    </w:p>
    <w:p>
      <w:pPr>
        <w:spacing w:after="0" w:line="176" w:lineRule="exact"/>
        <w:rPr>
          <w:sz w:val="24"/>
          <w:szCs w:val="24"/>
          <w:color w:val="auto"/>
        </w:rPr>
      </w:pPr>
    </w:p>
    <w:p>
      <w:pPr>
        <w:ind w:right="160" w:firstLine="441"/>
        <w:spacing w:after="0" w:line="256" w:lineRule="auto"/>
        <w:rPr>
          <w:sz w:val="20"/>
          <w:szCs w:val="20"/>
          <w:color w:val="auto"/>
        </w:rPr>
      </w:pPr>
      <w:r>
        <w:rPr>
          <w:rFonts w:ascii="Arial" w:cs="Arial" w:eastAsia="Arial" w:hAnsi="Arial"/>
          <w:sz w:val="22"/>
          <w:szCs w:val="22"/>
          <w:b w:val="1"/>
          <w:bCs w:val="1"/>
          <w:color w:val="auto"/>
        </w:rPr>
        <w:t>Please read “Risk Factors” beginning on page 8 for a discussion of factors you should consider before participating in the exchange offer.</w:t>
      </w:r>
    </w:p>
    <w:p>
      <w:pPr>
        <w:spacing w:after="0" w:line="176" w:lineRule="exact"/>
        <w:rPr>
          <w:sz w:val="24"/>
          <w:szCs w:val="24"/>
          <w:color w:val="auto"/>
        </w:rPr>
      </w:pPr>
    </w:p>
    <w:p>
      <w:pPr>
        <w:ind w:right="80" w:firstLine="441"/>
        <w:spacing w:after="0" w:line="259" w:lineRule="auto"/>
        <w:rPr>
          <w:sz w:val="20"/>
          <w:szCs w:val="20"/>
          <w:color w:val="auto"/>
        </w:rPr>
      </w:pPr>
      <w:r>
        <w:rPr>
          <w:rFonts w:ascii="Arial" w:cs="Arial" w:eastAsia="Arial" w:hAnsi="Arial"/>
          <w:sz w:val="18"/>
          <w:szCs w:val="18"/>
          <w:color w:val="auto"/>
        </w:rPr>
        <w:t>We will exchange new notes for all outstanding old notes that are validly tendered and not withdrawn before expiration of the exchange offer. You may withdraw tenders of old notes at any time prior to the expiration of the exchange offer. The procedures related to this exchange are more fully described in “Exchange Offer—Procedures for Tendering.” If you fail to tender your old notes, you will continue to hold unregistered notes that you will not be able to transfer freely.</w:t>
      </w:r>
    </w:p>
    <w:p>
      <w:pPr>
        <w:spacing w:after="0" w:line="187" w:lineRule="exact"/>
        <w:rPr>
          <w:sz w:val="24"/>
          <w:szCs w:val="24"/>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The terms of the new notes are substantially identical to the terms of the old notes, except that the transfer restrictions, registration rights and provisions for additional interest relating to the old notes do not apply to the new notes. Please read “Description of New Notes” for more details on the terms of the new notes. We will not receive any cash proceeds from the issuance of the new notes in the exchange offer. No public market currently exists for the notes. We do not intend to apply for listing of the new notes on any securities exchange or arrange for them to be quoted on any quotation system.</w:t>
      </w:r>
    </w:p>
    <w:p>
      <w:pPr>
        <w:spacing w:after="0" w:line="154" w:lineRule="exact"/>
        <w:rPr>
          <w:sz w:val="24"/>
          <w:szCs w:val="24"/>
          <w:color w:val="auto"/>
        </w:rPr>
      </w:pPr>
    </w:p>
    <w:p>
      <w:pPr>
        <w:ind w:right="80" w:firstLine="441"/>
        <w:spacing w:after="0" w:line="255" w:lineRule="auto"/>
        <w:rPr>
          <w:sz w:val="20"/>
          <w:szCs w:val="20"/>
          <w:color w:val="auto"/>
        </w:rPr>
      </w:pPr>
      <w:r>
        <w:rPr>
          <w:rFonts w:ascii="Arial" w:cs="Arial" w:eastAsia="Arial" w:hAnsi="Arial"/>
          <w:sz w:val="18"/>
          <w:szCs w:val="18"/>
          <w:color w:val="auto"/>
        </w:rPr>
        <w:t>Each broker-dealer that receives new notes for its own account pursuant to this offering must acknowledge that it will deliver this prospectus in connection with any resale of such new notes.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Please read “Plan of Distribution.”</w:t>
      </w:r>
    </w:p>
    <w:p>
      <w:pPr>
        <w:spacing w:after="0" w:line="189" w:lineRule="exact"/>
        <w:rPr>
          <w:sz w:val="24"/>
          <w:szCs w:val="24"/>
          <w:color w:val="auto"/>
        </w:rPr>
      </w:pPr>
    </w:p>
    <w:p>
      <w:pPr>
        <w:ind w:right="5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December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b w:val="1"/>
          <w:bCs w:val="1"/>
          <w:color w:val="auto"/>
        </w:rPr>
        <w:t>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or soliciting an offer to buy these securities in any jurisdiction where an offer or solicitation is not authorized or in which the person making that offer or solicitation is not qualified to do so or to anyone whom it is unlawful to make an offer or solicitation. You should not assume that the information contained in this prospectus, as well as the information we previously filed with the Securities and Exchange Commission that is incorporated by reference herein, is accurate as of any date other than its respective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80" w:type="dxa"/>
            <w:vAlign w:val="bottom"/>
          </w:tcPr>
          <w:p>
            <w:pPr>
              <w:spacing w:after="0"/>
              <w:rPr>
                <w:sz w:val="17"/>
                <w:szCs w:val="17"/>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gridSpan w:val="3"/>
          </w:tcPr>
          <w:p>
            <w:pPr>
              <w:ind w:left="480"/>
              <w:spacing w:after="0"/>
              <w:rPr>
                <w:sz w:val="20"/>
                <w:szCs w:val="20"/>
                <w:color w:val="auto"/>
              </w:rPr>
            </w:pPr>
            <w:r>
              <w:rPr>
                <w:rFonts w:ascii="Arial" w:cs="Arial" w:eastAsia="Arial" w:hAnsi="Arial"/>
                <w:sz w:val="18"/>
                <w:szCs w:val="18"/>
                <w:b w:val="1"/>
                <w:bCs w:val="1"/>
                <w:color w:val="auto"/>
              </w:rPr>
              <w:t>TABLE OF CONTENTS</w:t>
            </w:r>
          </w:p>
        </w:tc>
        <w:tc>
          <w:tcPr>
            <w:tcW w:w="4080" w:type="dxa"/>
            <w:vAlign w:val="bottom"/>
          </w:tcPr>
          <w:p>
            <w:pPr>
              <w:spacing w:after="0"/>
              <w:rPr>
                <w:sz w:val="24"/>
                <w:szCs w:val="24"/>
                <w:color w:val="auto"/>
              </w:rPr>
            </w:pPr>
          </w:p>
        </w:tc>
      </w:tr>
      <w:tr>
        <w:trPr>
          <w:trHeight w:val="392"/>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FORWARD-LOOKING STATEMENTS</w:t>
              </w:r>
            </w:hyperlink>
          </w:p>
        </w:tc>
        <w:tc>
          <w:tcPr>
            <w:tcW w:w="4400" w:type="dxa"/>
            <w:vAlign w:val="bottom"/>
            <w:gridSpan w:val="8"/>
          </w:tcPr>
          <w:p>
            <w:pPr>
              <w:spacing w:after="0"/>
              <w:rPr>
                <w:sz w:val="24"/>
                <w:szCs w:val="24"/>
                <w:color w:val="auto"/>
              </w:rPr>
            </w:pPr>
          </w:p>
        </w:tc>
        <w:tc>
          <w:tcPr>
            <w:tcW w:w="40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5240" w:type="dxa"/>
            <w:vAlign w:val="bottom"/>
            <w:gridSpan w:val="10"/>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6080" w:type="dxa"/>
            <w:vAlign w:val="bottom"/>
            <w:gridSpan w:val="16"/>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EXCHANGE OFFER</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OTHER INDEBTEDNESS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DESCRIPTION OF NEW NOTES</w:t>
              </w:r>
            </w:hyperlink>
          </w:p>
        </w:tc>
        <w:tc>
          <w:tcPr>
            <w:tcW w:w="940" w:type="dxa"/>
            <w:vAlign w:val="bottom"/>
            <w:tcBorders>
              <w:top w:val="single" w:sz="8" w:color="0000EE"/>
            </w:tcBorders>
            <w:gridSpan w:val="4"/>
          </w:tcPr>
          <w:p>
            <w:pPr>
              <w:spacing w:after="0"/>
              <w:rPr>
                <w:sz w:val="17"/>
                <w:szCs w:val="17"/>
                <w:color w:val="auto"/>
              </w:rPr>
            </w:pPr>
          </w:p>
        </w:tc>
        <w:tc>
          <w:tcPr>
            <w:tcW w:w="3860" w:type="dxa"/>
            <w:vAlign w:val="bottom"/>
            <w:gridSpan w:val="5"/>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7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MATERIAL UNITED STATES FEDERAL INCOME TAX CONSEQUENCES</w:t>
              </w:r>
            </w:hyperlink>
          </w:p>
        </w:tc>
        <w:tc>
          <w:tcPr>
            <w:tcW w:w="1560" w:type="dxa"/>
            <w:vAlign w:val="bottom"/>
            <w:gridSpan w:val="2"/>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IRISH TAX CONSIDERATIONS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CERTAIN BERMUDA TAX CONSIDERATIONS</w:t>
              </w:r>
            </w:hyperlink>
          </w:p>
        </w:tc>
        <w:tc>
          <w:tcPr>
            <w:tcW w:w="3640" w:type="dxa"/>
            <w:vAlign w:val="bottom"/>
            <w:gridSpan w:val="4"/>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CERTAIN SWISS TAX CONSIDERATIONS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88">
              <w:r>
                <w:rPr>
                  <w:rFonts w:ascii="Arial" w:cs="Arial" w:eastAsia="Arial" w:hAnsi="Arial"/>
                  <w:sz w:val="18"/>
                  <w:szCs w:val="18"/>
                  <w:color w:val="0000EE"/>
                  <w:w w:val="97"/>
                </w:rPr>
                <w:t>PLAN OF DISTRIBUTION</w:t>
              </w:r>
            </w:hyperlink>
          </w:p>
        </w:tc>
        <w:tc>
          <w:tcPr>
            <w:tcW w:w="1260" w:type="dxa"/>
            <w:vAlign w:val="bottom"/>
            <w:tcBorders>
              <w:top w:val="single" w:sz="8" w:color="0000EE"/>
            </w:tcBorders>
            <w:gridSpan w:val="5"/>
          </w:tcPr>
          <w:p>
            <w:pPr>
              <w:spacing w:after="0"/>
              <w:rPr>
                <w:sz w:val="17"/>
                <w:szCs w:val="17"/>
                <w:color w:val="auto"/>
              </w:rPr>
            </w:pPr>
          </w:p>
        </w:tc>
        <w:tc>
          <w:tcPr>
            <w:tcW w:w="4020" w:type="dxa"/>
            <w:vAlign w:val="bottom"/>
            <w:gridSpan w:val="6"/>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7340" w:type="dxa"/>
            <w:vAlign w:val="bottom"/>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LEGAL MATTERS</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5880" w:type="dxa"/>
            <w:vAlign w:val="bottom"/>
            <w:gridSpan w:val="14"/>
          </w:tcPr>
          <w:p>
            <w:pPr>
              <w:spacing w:after="0"/>
              <w:rPr>
                <w:sz w:val="17"/>
                <w:szCs w:val="17"/>
                <w:color w:val="auto"/>
              </w:rPr>
            </w:pPr>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73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WHERE YOU CAN FIND ADDITIONAL INFORMATION; INCORPORATION BY REFERENCE</w:t>
              </w:r>
            </w:hyperlink>
          </w:p>
        </w:tc>
        <w:tc>
          <w:tcPr>
            <w:tcW w:w="40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345"/>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pacing w:after="0" w:line="30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This prospectus incorporates important business and financial information about us that is not included or delivered with this prospectus. Such information is available without charge to holders of the old notes upon written or oral request made to Weatherford International plc, 2000 St. James Place, Houston, Texas 77056, Attention: Investor Relations, Telephone: (713) 836-4000. To obtain timely delivery of any requested information, holders of the old notes must make any request no later than January 18, 2019, which is five business days prior to the expiration of the exchange offer.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w:t>
      </w:r>
    </w:p>
    <w:p>
      <w:pPr>
        <w:spacing w:after="0" w:line="225" w:lineRule="exact"/>
        <w:rPr>
          <w:sz w:val="20"/>
          <w:szCs w:val="20"/>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170" w:lineRule="exact"/>
        <w:rPr>
          <w:rFonts w:ascii="Arial" w:cs="Arial" w:eastAsia="Arial" w:hAnsi="Arial"/>
          <w:sz w:val="18"/>
          <w:szCs w:val="18"/>
          <w:color w:val="auto"/>
        </w:rPr>
      </w:pPr>
    </w:p>
    <w:p>
      <w:pPr>
        <w:ind w:left="1300" w:right="6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 unless in relation to the terms of the new notes, in which case such terms refer to Weatherford Delaware, as the issuer of the new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prospectus includes various statements relating to future financial performance and results, including certain projections, business trends and other statements that are not historical facts. These statements constitute “Forward-Looking Statements,”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under “Risk Factors” in this prospectus, Weatherford Ireland’s Annual Report on Form 10-K for the year ended December 31, 2017 (the “Form 10-K”) and the following:</w:t>
      </w:r>
    </w:p>
    <w:p>
      <w:pPr>
        <w:spacing w:after="0" w:line="167" w:lineRule="exact"/>
        <w:rPr>
          <w:sz w:val="20"/>
          <w:szCs w:val="20"/>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or close such acquisitions and dispositions;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divest certain non-core assets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225" w:lineRule="exact"/>
        <w:rPr>
          <w:rFonts w:ascii="Arial" w:cs="Arial" w:eastAsia="Arial" w:hAnsi="Arial"/>
          <w:sz w:val="18"/>
          <w:szCs w:val="18"/>
          <w:color w:val="auto"/>
        </w:rPr>
      </w:pPr>
    </w:p>
    <w:p>
      <w:pPr>
        <w:ind w:left="1300" w:hanging="644"/>
        <w:spacing w:after="0" w:line="264"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81" w:lineRule="exact"/>
        <w:rPr>
          <w:rFonts w:ascii="Arial" w:cs="Arial" w:eastAsia="Arial" w:hAnsi="Arial"/>
          <w:sz w:val="18"/>
          <w:szCs w:val="18"/>
          <w:color w:val="auto"/>
        </w:rPr>
      </w:pPr>
    </w:p>
    <w:p>
      <w:pPr>
        <w:ind w:left="1300" w:right="180" w:hanging="644"/>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 and its impact on our ability to generate sufficient liquidity or cash flow to fund our operations or otherwise meet our obligations as they come due;</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continued listing standards required by the New York Stock Exchange (the “NYSE”);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realize cost savings and business enhancements from our transformation efforts;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redomestication from Switzerland to Ireland and to maintain our Swiss tax residency;</w:t>
      </w:r>
    </w:p>
    <w:p>
      <w:pPr>
        <w:spacing w:after="0" w:line="248" w:lineRule="exact"/>
        <w:rPr>
          <w:rFonts w:ascii="Arial" w:cs="Arial" w:eastAsia="Arial" w:hAnsi="Arial"/>
          <w:sz w:val="16"/>
          <w:szCs w:val="16"/>
          <w:color w:val="auto"/>
        </w:rPr>
      </w:pPr>
    </w:p>
    <w:p>
      <w:pPr>
        <w:ind w:left="1300" w:right="14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225" w:lineRule="exact"/>
        <w:rPr>
          <w:rFonts w:ascii="Arial" w:cs="Arial" w:eastAsia="Arial" w:hAnsi="Arial"/>
          <w:sz w:val="18"/>
          <w:szCs w:val="18"/>
          <w:color w:val="auto"/>
        </w:rPr>
      </w:pPr>
    </w:p>
    <w:p>
      <w:pPr>
        <w:jc w:val="both"/>
        <w:ind w:left="1300" w:right="60" w:hanging="644"/>
        <w:spacing w:after="0" w:line="264"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authorized share capital, access to capital, significantly higher cost of capital, or difficulty or inability to raise additional funds in the equity or debt capital markets or from other financing sources, including as a result of changes in market conditions, our financial condition or our credit rating; and</w:t>
      </w:r>
    </w:p>
    <w:p>
      <w:pPr>
        <w:spacing w:after="0" w:line="181"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extend and/or refinance our Credit Agreements (as defined below) on terms favorable to us and comply with restrictions and covenants contained therein.</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Securities and Exchange Commission (the “SEC”) under the Securities Exchange Act of 1934, as amended (the “Exchange Act”), and the Securities Act. For additional information regarding risks and uncertainties, see “Where You Can Find More Information.” Developments in any of these areas could cause actual results to differ materially from those anticipated or projected or cause a significant reduction in the market price of our ordinary shares or notes. The foregoing list of risks and uncertainties may not contain all of the risks and uncertainties that could affect us. In addition, in light of these risks and uncertainties, the matters referred to in the forward-looking statements in this prospectus may not in fact occur. Accordingly, undue reliance should not be placed on these statements. We undertake no obligation to publicly update or revise any forward-looking statements as a result of new information, future events or otherwise, except as otherwise provided by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i w:val="1"/>
          <w:iCs w:val="1"/>
          <w:color w:val="auto"/>
        </w:rPr>
        <w:t>This summary provides a brief overview of information included or incorporated by reference in this prospectus. Because it is abbreviated, this summary does not contain all of the information that you should consider before investing in the notes. You should read the entire prospectus carefully, including the section entitled “Risk Factors” in this prospectus, in our Annual Report on Form 10-K for the fiscal year ended December 31, 2017 and our Quarterly Reports on Form 10-Q for the fiscal quarters ended March 31, 2018, June 30, 2018 and September 30, 2018, which are incorporated herein by reference, before making a decision to exchange old notes for new notes.</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Unless the context requires otherwise or unless otherwise noted, as used in this prospectus: “Weatherford Ireland” refers to Weatherford International plc, an Irish public limited company, and a guarantor of the new notes; “Weatherford Bermuda” refers to Weatherford International Ltd., a Bermuda exempted company and wholly owned, indirect subsidiary of Weatherford Ireland, and a guarantor of the new notes; “Weatherford Delaware” refers to Weatherford International, LLC, a Delaware limited liability company and wholly owned, indirect subsidiary of Weatherford Ireland, and the issuer of the new notes; and, “we,” “us” or “our” refers to Weatherford Ireland and its subsidiaries (including Weatherford Bermuda and Weatherford Delaware) on a consolidated basis, unless in relation to the terms of the new notes, in which case such terms refer to Weatherford Delaware, as the issuer of the new notes. The financial statements incorporated by reference in this prospectus are those of Weatherford Ireland.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approximately 90 countries and have service and sales locations in nearly all of the oil and natural gas producing regions in the world.</w:t>
      </w:r>
    </w:p>
    <w:p>
      <w:pPr>
        <w:spacing w:after="0" w:line="187"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of affiliates.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a further discussion of our business, we urge you to read our Annual Report on Form 10-K for the fiscal year ended December 31, 2017 and our Quarterly Reports on Form 10-Q for the fiscal quarters ended March 31, 2018, June 30, 2018 and September 30, 2018. See “Where You Can Find Additional Information; Incorporation by Reference.”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headquarters are located at Weststrasse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On our website we make available, free of charge, Weatherford Ireland’s annual reports on Form 10-K, quarterly reports on Form 10-Q, current reports on Form 8-K, and amendments to those reports filed or furnished pursuant to Section 13(a) or 15(d) of the Exchange Act as soon as reasonably practicable after we electronically file with or furnish them to the SEC. Except for information specifically incorporated by reference into this prospectus that may be accessed from our website, however, the information on, or otherwise accessible through, our website or any other website does not constitute a part of this prospectus.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February 28, 2018, we completed a private offering of $600 million aggregate principal amount of our 9.875% Senior Notes due 2025 to persons reasonably believed to be qualified institutional buyers under Rule 144A of the Securities Act (“Rule 144A”) and non-U.S. persons outside the United States under Regulation S under the Securities Act (“Regulation S”). We refer to these notes in this prospectus as the “old notes.” In connection with the offering, we entered into a registration rights agreement with the initial purchasers of the old notes in which we agreed, among other things, to deliver this prospectus to you and to use our commercially reasonable efforts to complete the exchange offer on or prior to April 4, 2019 or file and have a shelf registration statement declared effective on or before the date required by the registration rights agreement and complete the exchange offer not later than 60 days after such effective date. The following is a summary of the exchange offer.</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3620" w:type="dxa"/>
            <w:vAlign w:val="bottom"/>
          </w:tcPr>
          <w:p>
            <w:pPr>
              <w:spacing w:after="0"/>
              <w:rPr>
                <w:sz w:val="20"/>
                <w:szCs w:val="20"/>
                <w:color w:val="auto"/>
              </w:rPr>
            </w:pPr>
            <w:r>
              <w:rPr>
                <w:rFonts w:ascii="Arial" w:cs="Arial" w:eastAsia="Arial" w:hAnsi="Arial"/>
                <w:sz w:val="18"/>
                <w:szCs w:val="18"/>
                <w:b w:val="1"/>
                <w:bCs w:val="1"/>
                <w:color w:val="auto"/>
              </w:rPr>
              <w:t>Old Notes</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On February 28, 2018, we issued $600 million aggregate principal amount of 9.875% Senior</w:t>
            </w:r>
          </w:p>
        </w:tc>
      </w:tr>
      <w:tr>
        <w:trPr>
          <w:trHeight w:val="230"/>
        </w:trPr>
        <w:tc>
          <w:tcPr>
            <w:tcW w:w="3620" w:type="dxa"/>
            <w:vAlign w:val="bottom"/>
          </w:tcPr>
          <w:p>
            <w:pPr>
              <w:spacing w:after="0"/>
              <w:rPr>
                <w:sz w:val="20"/>
                <w:szCs w:val="20"/>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Notes due 2025.</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9.875% Senior Notes due 2025.</w:t>
            </w:r>
          </w:p>
        </w:tc>
      </w:tr>
      <w:tr>
        <w:trPr>
          <w:trHeight w:val="418"/>
        </w:trPr>
        <w:tc>
          <w:tcPr>
            <w:tcW w:w="3620" w:type="dxa"/>
            <w:vAlign w:val="bottom"/>
          </w:tcPr>
          <w:p>
            <w:pPr>
              <w:spacing w:after="0"/>
              <w:rPr>
                <w:sz w:val="24"/>
                <w:szCs w:val="24"/>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0"/>
              </w:rPr>
              <w:t>The terms of the new notes are substantially identical to the terms of the old notes, except that</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the transfer restrictions, registration rights and provisions for additional interest relating to the</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old notes do not apply to the new notes. The new notes offered hereby, together with any old</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notes that remain outstanding after the completion of the exchange offer, will be treated as a</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9"/>
              </w:rPr>
              <w:t>single class for all purposes under the indenture, including, without limitation, waivers,</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1"/>
              </w:rPr>
              <w:t>amendments, redemptions and offers to purchase. The new notes will have a CUSIP number</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different from that of any old notes that remain outstanding after the completion of the</w:t>
            </w:r>
          </w:p>
        </w:tc>
      </w:tr>
      <w:tr>
        <w:trPr>
          <w:trHeight w:val="230"/>
        </w:trPr>
        <w:tc>
          <w:tcPr>
            <w:tcW w:w="3620" w:type="dxa"/>
            <w:vAlign w:val="bottom"/>
          </w:tcPr>
          <w:p>
            <w:pPr>
              <w:spacing w:after="0"/>
              <w:rPr>
                <w:sz w:val="20"/>
                <w:szCs w:val="20"/>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exchange offer.</w:t>
            </w:r>
          </w:p>
        </w:tc>
      </w:tr>
      <w:tr>
        <w:trPr>
          <w:trHeight w:val="418"/>
        </w:trPr>
        <w:tc>
          <w:tcPr>
            <w:tcW w:w="3620" w:type="dxa"/>
            <w:vAlign w:val="bottom"/>
          </w:tcPr>
          <w:p>
            <w:pPr>
              <w:spacing w:after="0"/>
              <w:rPr>
                <w:sz w:val="20"/>
                <w:szCs w:val="20"/>
                <w:color w:val="auto"/>
              </w:rPr>
            </w:pPr>
            <w:r>
              <w:rPr>
                <w:rFonts w:ascii="Arial" w:cs="Arial" w:eastAsia="Arial" w:hAnsi="Arial"/>
                <w:sz w:val="18"/>
                <w:szCs w:val="18"/>
                <w:b w:val="1"/>
                <w:bCs w:val="1"/>
                <w:color w:val="auto"/>
              </w:rPr>
              <w:t>Exchange Offer</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9"/>
              </w:rPr>
              <w:t>We are offering to exchange up to $600 million aggregate principal amount of our new</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0"/>
              </w:rPr>
              <w:t>9.875% Senior Notes due 2025 that have been registered under the Securities Act for an equal</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0"/>
              </w:rPr>
              <w:t>amount of our outstanding 9.875% Senior Notes due 2025 that have not been so registered to</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satisfy our obligations under the registration rights agreement that we entered into in</w:t>
            </w:r>
          </w:p>
        </w:tc>
      </w:tr>
      <w:tr>
        <w:trPr>
          <w:trHeight w:val="230"/>
        </w:trPr>
        <w:tc>
          <w:tcPr>
            <w:tcW w:w="3620" w:type="dxa"/>
            <w:vAlign w:val="bottom"/>
          </w:tcPr>
          <w:p>
            <w:pPr>
              <w:spacing w:after="0"/>
              <w:rPr>
                <w:sz w:val="20"/>
                <w:szCs w:val="20"/>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connection with the issuance of the old notes.</w:t>
            </w:r>
          </w:p>
        </w:tc>
      </w:tr>
      <w:tr>
        <w:trPr>
          <w:trHeight w:val="418"/>
        </w:trPr>
        <w:tc>
          <w:tcPr>
            <w:tcW w:w="362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5"/>
              </w:rPr>
              <w:t>The exchange offer will expire at 5:00 p.m., New York City time, on January 28, 2019 (the</w:t>
            </w:r>
          </w:p>
        </w:tc>
      </w:tr>
      <w:tr>
        <w:trPr>
          <w:trHeight w:val="230"/>
        </w:trPr>
        <w:tc>
          <w:tcPr>
            <w:tcW w:w="3620" w:type="dxa"/>
            <w:vAlign w:val="bottom"/>
          </w:tcPr>
          <w:p>
            <w:pPr>
              <w:spacing w:after="0"/>
              <w:rPr>
                <w:sz w:val="20"/>
                <w:szCs w:val="20"/>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“expiration date”) unless we decide to extend such deadline.</w:t>
            </w:r>
          </w:p>
        </w:tc>
      </w:tr>
      <w:tr>
        <w:trPr>
          <w:trHeight w:val="418"/>
        </w:trPr>
        <w:tc>
          <w:tcPr>
            <w:tcW w:w="3620" w:type="dxa"/>
            <w:vAlign w:val="bottom"/>
          </w:tcPr>
          <w:p>
            <w:pPr>
              <w:spacing w:after="0"/>
              <w:rPr>
                <w:sz w:val="20"/>
                <w:szCs w:val="20"/>
                <w:color w:val="auto"/>
              </w:rPr>
            </w:pPr>
            <w:r>
              <w:rPr>
                <w:rFonts w:ascii="Arial" w:cs="Arial" w:eastAsia="Arial" w:hAnsi="Arial"/>
                <w:sz w:val="18"/>
                <w:szCs w:val="18"/>
                <w:b w:val="1"/>
                <w:bCs w:val="1"/>
                <w:color w:val="auto"/>
              </w:rPr>
              <w:t>Conditions to the Exchange Offer</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The registration rights agreement does not require us to accept old notes for exchange if the</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1"/>
              </w:rPr>
              <w:t>exchange offer, or the making of any exchange by a holder of the old notes, would violate any</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6"/>
              </w:rPr>
              <w:t>applicable law or policy of the SEC. The exchange offer is not conditioned on a minimum</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6"/>
              </w:rPr>
              <w:t>aggregate principal amount of old notes being tendered. Please read “Exchange Offer—</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Conditions to the Exchange Offer” for more information about the conditions to the exchange</w:t>
            </w:r>
          </w:p>
        </w:tc>
      </w:tr>
      <w:tr>
        <w:trPr>
          <w:trHeight w:val="230"/>
        </w:trPr>
        <w:tc>
          <w:tcPr>
            <w:tcW w:w="3620" w:type="dxa"/>
            <w:vAlign w:val="bottom"/>
          </w:tcPr>
          <w:p>
            <w:pPr>
              <w:spacing w:after="0"/>
              <w:rPr>
                <w:sz w:val="20"/>
                <w:szCs w:val="20"/>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offer.</w:t>
            </w:r>
          </w:p>
        </w:tc>
        <w:tc>
          <w:tcPr>
            <w:tcW w:w="6320" w:type="dxa"/>
            <w:vAlign w:val="bottom"/>
          </w:tcPr>
          <w:p>
            <w:pPr>
              <w:spacing w:after="0"/>
              <w:rPr>
                <w:sz w:val="20"/>
                <w:szCs w:val="20"/>
                <w:color w:val="auto"/>
              </w:rPr>
            </w:pPr>
          </w:p>
        </w:tc>
      </w:tr>
      <w:tr>
        <w:trPr>
          <w:trHeight w:val="418"/>
        </w:trPr>
        <w:tc>
          <w:tcPr>
            <w:tcW w:w="3620" w:type="dxa"/>
            <w:vAlign w:val="bottom"/>
          </w:tcPr>
          <w:p>
            <w:pPr>
              <w:ind w:left="60"/>
              <w:spacing w:after="0"/>
              <w:rPr>
                <w:sz w:val="20"/>
                <w:szCs w:val="20"/>
                <w:color w:val="auto"/>
              </w:rPr>
            </w:pPr>
            <w:r>
              <w:rPr>
                <w:rFonts w:ascii="Arial" w:cs="Arial" w:eastAsia="Arial" w:hAnsi="Arial"/>
                <w:sz w:val="18"/>
                <w:szCs w:val="18"/>
                <w:b w:val="1"/>
                <w:bCs w:val="1"/>
                <w:color w:val="auto"/>
              </w:rPr>
              <w:t>Procedures for Tendering Old Notes</w:t>
            </w: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3"/>
              </w:rPr>
              <w:t>All of the old notes are held in book-entry form through the facilities of The Depository Trust</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2"/>
              </w:rPr>
              <w:t>Company (“DTC”). To participate in the exchange offer, you must follow the automatic tender</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6"/>
              </w:rPr>
              <w:t>offer program (“ATOP”) procedures established by DTC for tendering notes held in book-</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5"/>
              </w:rPr>
              <w:t>entry form. The ATOP procedures require that (i) the exchange agent receive, prior to the</w:t>
            </w:r>
          </w:p>
        </w:tc>
      </w:tr>
      <w:tr>
        <w:trPr>
          <w:trHeight w:val="216"/>
        </w:trPr>
        <w:tc>
          <w:tcPr>
            <w:tcW w:w="3620" w:type="dxa"/>
            <w:vAlign w:val="bottom"/>
          </w:tcPr>
          <w:p>
            <w:pPr>
              <w:spacing w:after="0"/>
              <w:rPr>
                <w:sz w:val="18"/>
                <w:szCs w:val="18"/>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w w:val="97"/>
              </w:rPr>
              <w:t>expiration date, a computer generated message known as an “agent’s message” that is</w:t>
            </w:r>
          </w:p>
        </w:tc>
      </w:tr>
      <w:tr>
        <w:trPr>
          <w:trHeight w:val="230"/>
        </w:trPr>
        <w:tc>
          <w:tcPr>
            <w:tcW w:w="3620" w:type="dxa"/>
            <w:vAlign w:val="bottom"/>
          </w:tcPr>
          <w:p>
            <w:pPr>
              <w:spacing w:after="0"/>
              <w:rPr>
                <w:sz w:val="20"/>
                <w:szCs w:val="20"/>
                <w:color w:val="auto"/>
              </w:rPr>
            </w:pPr>
          </w:p>
        </w:tc>
        <w:tc>
          <w:tcPr>
            <w:tcW w:w="7600" w:type="dxa"/>
            <w:vAlign w:val="bottom"/>
            <w:gridSpan w:val="2"/>
          </w:tcPr>
          <w:p>
            <w:pPr>
              <w:ind w:left="780"/>
              <w:spacing w:after="0"/>
              <w:rPr>
                <w:sz w:val="20"/>
                <w:szCs w:val="20"/>
                <w:color w:val="auto"/>
              </w:rPr>
            </w:pPr>
            <w:r>
              <w:rPr>
                <w:rFonts w:ascii="Arial" w:cs="Arial" w:eastAsia="Arial" w:hAnsi="Arial"/>
                <w:sz w:val="18"/>
                <w:szCs w:val="18"/>
                <w:color w:val="auto"/>
              </w:rPr>
              <w:t>transmitted through ATOP, and (ii) DTC confirm that:</w:t>
            </w:r>
          </w:p>
        </w:tc>
      </w:tr>
      <w:tr>
        <w:trPr>
          <w:trHeight w:val="432"/>
        </w:trPr>
        <w:tc>
          <w:tcPr>
            <w:tcW w:w="362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w:t>
            </w:r>
          </w:p>
        </w:tc>
        <w:tc>
          <w:tcPr>
            <w:tcW w:w="6320" w:type="dxa"/>
            <w:vAlign w:val="bottom"/>
          </w:tcPr>
          <w:p>
            <w:pPr>
              <w:ind w:left="120"/>
              <w:spacing w:after="0"/>
              <w:rPr>
                <w:sz w:val="20"/>
                <w:szCs w:val="20"/>
                <w:color w:val="auto"/>
              </w:rPr>
            </w:pPr>
            <w:r>
              <w:rPr>
                <w:rFonts w:ascii="Arial" w:cs="Arial" w:eastAsia="Arial" w:hAnsi="Arial"/>
                <w:sz w:val="18"/>
                <w:szCs w:val="18"/>
                <w:color w:val="auto"/>
              </w:rPr>
              <w:t>DTC has received your instructions to exchange your old notes, and</w:t>
            </w:r>
          </w:p>
        </w:tc>
      </w:tr>
      <w:tr>
        <w:trPr>
          <w:trHeight w:val="418"/>
        </w:trPr>
        <w:tc>
          <w:tcPr>
            <w:tcW w:w="362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w:t>
            </w:r>
          </w:p>
        </w:tc>
        <w:tc>
          <w:tcPr>
            <w:tcW w:w="6320" w:type="dxa"/>
            <w:vAlign w:val="bottom"/>
          </w:tcPr>
          <w:p>
            <w:pPr>
              <w:ind w:left="120"/>
              <w:spacing w:after="0"/>
              <w:rPr>
                <w:sz w:val="20"/>
                <w:szCs w:val="20"/>
                <w:color w:val="auto"/>
              </w:rPr>
            </w:pPr>
            <w:r>
              <w:rPr>
                <w:rFonts w:ascii="Arial" w:cs="Arial" w:eastAsia="Arial" w:hAnsi="Arial"/>
                <w:sz w:val="18"/>
                <w:szCs w:val="18"/>
                <w:color w:val="auto"/>
                <w:w w:val="94"/>
              </w:rPr>
              <w:t>you agree to be bound by the terms of the letter of transmittal included as Annex A</w:t>
            </w:r>
          </w:p>
        </w:tc>
      </w:tr>
      <w:tr>
        <w:trPr>
          <w:trHeight w:val="230"/>
        </w:trPr>
        <w:tc>
          <w:tcPr>
            <w:tcW w:w="3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hereto.</w:t>
            </w:r>
          </w:p>
        </w:tc>
      </w:tr>
    </w:tbl>
    <w:p>
      <w:pPr>
        <w:spacing w:after="0" w:line="202" w:lineRule="exact"/>
        <w:rPr>
          <w:sz w:val="20"/>
          <w:szCs w:val="20"/>
          <w:color w:val="auto"/>
        </w:rPr>
      </w:pPr>
    </w:p>
    <w:p>
      <w:pPr>
        <w:ind w:left="4580"/>
        <w:spacing w:after="0" w:line="312" w:lineRule="auto"/>
        <w:rPr>
          <w:sz w:val="20"/>
          <w:szCs w:val="20"/>
          <w:color w:val="auto"/>
        </w:rPr>
      </w:pPr>
      <w:r>
        <w:rPr>
          <w:rFonts w:ascii="Arial" w:cs="Arial" w:eastAsia="Arial" w:hAnsi="Arial"/>
          <w:sz w:val="16"/>
          <w:szCs w:val="16"/>
          <w:color w:val="auto"/>
        </w:rPr>
        <w:t>For more information on tendering your old notes, please refer to the sections in this prospectus entitled “Exchange Offer—Terms of the Exchange Offer,” “Exchange Offer— Procedures for Tendering” and “Description of New Notes—Book-Entry, Delivery and Form.”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53"/>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Guaranteed Delivery Procedures</w:t>
            </w:r>
          </w:p>
        </w:tc>
        <w:tc>
          <w:tcPr>
            <w:tcW w:w="7080" w:type="dxa"/>
            <w:vAlign w:val="bottom"/>
          </w:tcPr>
          <w:p>
            <w:pPr>
              <w:ind w:left="200"/>
              <w:spacing w:after="0"/>
              <w:rPr>
                <w:sz w:val="20"/>
                <w:szCs w:val="20"/>
                <w:color w:val="auto"/>
              </w:rPr>
            </w:pPr>
            <w:r>
              <w:rPr>
                <w:rFonts w:ascii="Arial" w:cs="Arial" w:eastAsia="Arial" w:hAnsi="Arial"/>
                <w:sz w:val="18"/>
                <w:szCs w:val="18"/>
                <w:color w:val="auto"/>
              </w:rPr>
              <w:t>None.</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Withdrawal of Tenders</w:t>
            </w:r>
          </w:p>
        </w:tc>
        <w:tc>
          <w:tcPr>
            <w:tcW w:w="7080" w:type="dxa"/>
            <w:vAlign w:val="bottom"/>
          </w:tcPr>
          <w:p>
            <w:pPr>
              <w:ind w:left="200"/>
              <w:spacing w:after="0"/>
              <w:rPr>
                <w:sz w:val="20"/>
                <w:szCs w:val="20"/>
                <w:color w:val="auto"/>
              </w:rPr>
            </w:pPr>
            <w:r>
              <w:rPr>
                <w:rFonts w:ascii="Arial" w:cs="Arial" w:eastAsia="Arial" w:hAnsi="Arial"/>
                <w:sz w:val="18"/>
                <w:szCs w:val="18"/>
                <w:color w:val="auto"/>
              </w:rPr>
              <w:t>You may withdraw your tender of old notes at any time prior to the expiration date. To</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3"/>
              </w:rPr>
              <w:t>withdraw, you must submit a notice of withdrawal to the exchange agent using DTC’s ATOP</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procedures before 5:00 p.m., New York City time, on the expiration date. Please read</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“Exchange Offer—Withdrawal of Tenders.”</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w w:val="94"/>
              </w:rPr>
              <w:t>Acceptance of Old Notes and Delivery of New Notes</w:t>
            </w:r>
          </w:p>
        </w:tc>
        <w:tc>
          <w:tcPr>
            <w:tcW w:w="7080" w:type="dxa"/>
            <w:vAlign w:val="bottom"/>
          </w:tcPr>
          <w:p>
            <w:pPr>
              <w:ind w:left="200"/>
              <w:spacing w:after="0"/>
              <w:rPr>
                <w:sz w:val="20"/>
                <w:szCs w:val="20"/>
                <w:color w:val="auto"/>
              </w:rPr>
            </w:pPr>
            <w:r>
              <w:rPr>
                <w:rFonts w:ascii="Arial" w:cs="Arial" w:eastAsia="Arial" w:hAnsi="Arial"/>
                <w:sz w:val="18"/>
                <w:szCs w:val="18"/>
                <w:color w:val="auto"/>
                <w:w w:val="93"/>
              </w:rPr>
              <w:t>If you fulfill all conditions required for proper acceptance of old notes, we will accept any and</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3"/>
              </w:rPr>
              <w:t>all old notes that you properly tender and do not withdraw in the exchange offer on or before</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2"/>
              </w:rPr>
              <w:t>5:00 p.m., New York City time, on the expiration date. We will return any old notes that we do</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5"/>
              </w:rPr>
              <w:t>not accept for exchange to you without expense promptly after the expiration date through</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5"/>
              </w:rPr>
              <w:t>DTC’s ATOP procedures. Please refer to the section in this prospectus entitled “Exchange</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Offer—Terms of the Exchange Offer.”</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Fees and Expenses</w:t>
            </w:r>
          </w:p>
        </w:tc>
        <w:tc>
          <w:tcPr>
            <w:tcW w:w="7080" w:type="dxa"/>
            <w:vAlign w:val="bottom"/>
          </w:tcPr>
          <w:p>
            <w:pPr>
              <w:ind w:left="200"/>
              <w:spacing w:after="0"/>
              <w:rPr>
                <w:sz w:val="20"/>
                <w:szCs w:val="20"/>
                <w:color w:val="auto"/>
              </w:rPr>
            </w:pPr>
            <w:r>
              <w:rPr>
                <w:rFonts w:ascii="Arial" w:cs="Arial" w:eastAsia="Arial" w:hAnsi="Arial"/>
                <w:sz w:val="18"/>
                <w:szCs w:val="18"/>
                <w:color w:val="auto"/>
                <w:w w:val="93"/>
              </w:rPr>
              <w:t>We will bear all expenses related to the exchange offer. Please read “Exchange Offer—Fees</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and Expenses.”</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Use of Proceeds</w:t>
            </w:r>
          </w:p>
        </w:tc>
        <w:tc>
          <w:tcPr>
            <w:tcW w:w="7080" w:type="dxa"/>
            <w:vAlign w:val="bottom"/>
          </w:tcPr>
          <w:p>
            <w:pPr>
              <w:ind w:left="200"/>
              <w:spacing w:after="0"/>
              <w:rPr>
                <w:sz w:val="20"/>
                <w:szCs w:val="20"/>
                <w:color w:val="auto"/>
              </w:rPr>
            </w:pPr>
            <w:r>
              <w:rPr>
                <w:rFonts w:ascii="Arial" w:cs="Arial" w:eastAsia="Arial" w:hAnsi="Arial"/>
                <w:sz w:val="18"/>
                <w:szCs w:val="18"/>
                <w:color w:val="auto"/>
                <w:w w:val="96"/>
              </w:rPr>
              <w:t>We will not receive any proceeds from the issuance of the new notes. We are making the</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9"/>
              </w:rPr>
              <w:t>exchange offer solely to satisfy our obligations under the registration rights agreement.</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Consequences of Failure to Exchange Old Notes</w:t>
            </w:r>
          </w:p>
        </w:tc>
        <w:tc>
          <w:tcPr>
            <w:tcW w:w="7080" w:type="dxa"/>
            <w:vAlign w:val="bottom"/>
          </w:tcPr>
          <w:p>
            <w:pPr>
              <w:ind w:left="200"/>
              <w:spacing w:after="0"/>
              <w:rPr>
                <w:sz w:val="20"/>
                <w:szCs w:val="20"/>
                <w:color w:val="auto"/>
              </w:rPr>
            </w:pPr>
            <w:r>
              <w:rPr>
                <w:rFonts w:ascii="Arial" w:cs="Arial" w:eastAsia="Arial" w:hAnsi="Arial"/>
                <w:sz w:val="18"/>
                <w:szCs w:val="18"/>
                <w:color w:val="auto"/>
                <w:w w:val="97"/>
              </w:rPr>
              <w:t>If you do not exchange your old notes in the exchange offer, you will no longer be able to</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4"/>
              </w:rPr>
              <w:t>require us to register the old notes under the Securities Act, except in limited circumstances</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6"/>
              </w:rPr>
              <w:t>provided under the registration rights agreement. In addition, you will not be able to resell,</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0"/>
              </w:rPr>
              <w:t>offer to resell or otherwise transfer the old notes unless we have registered the old notes under</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6"/>
              </w:rPr>
              <w:t>the Securities Act, or unless you resell, offer to resell or otherwise transfer them under an</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exemption from the registration requirements of, or in a transaction not subject to, the</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Securities Act.</w:t>
            </w:r>
          </w:p>
        </w:tc>
      </w:tr>
      <w:tr>
        <w:trPr>
          <w:trHeight w:val="418"/>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1"/>
              </w:rPr>
              <w:t>In addition, after the consummation of the exchange offer, it is anticipated that the outstanding</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9"/>
              </w:rPr>
              <w:t>principal amount of the old notes available for trading will be significantly reduced. This</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5"/>
              </w:rPr>
              <w:t>reduced float may adversely affect the liquidity and market price of the old notes. A smaller</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6"/>
              </w:rPr>
              <w:t>outstanding principal amount of old notes available for trading may make the prices of old</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notes more volatile.</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Federal Income Tax Consequences</w:t>
            </w:r>
          </w:p>
        </w:tc>
        <w:tc>
          <w:tcPr>
            <w:tcW w:w="7080" w:type="dxa"/>
            <w:vAlign w:val="bottom"/>
          </w:tcPr>
          <w:p>
            <w:pPr>
              <w:ind w:left="200"/>
              <w:spacing w:after="0"/>
              <w:rPr>
                <w:sz w:val="20"/>
                <w:szCs w:val="20"/>
                <w:color w:val="auto"/>
              </w:rPr>
            </w:pPr>
            <w:r>
              <w:rPr>
                <w:rFonts w:ascii="Arial" w:cs="Arial" w:eastAsia="Arial" w:hAnsi="Arial"/>
                <w:sz w:val="18"/>
                <w:szCs w:val="18"/>
                <w:color w:val="auto"/>
                <w:w w:val="93"/>
              </w:rPr>
              <w:t>The exchange of old notes for new notes in the exchange offer will not be a taxable event for</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4"/>
              </w:rPr>
              <w:t>U.S. federal income tax purposes. Please read “Material United States Federal Income Tax</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Consequences.”</w:t>
            </w:r>
          </w:p>
        </w:tc>
      </w:tr>
      <w:tr>
        <w:trPr>
          <w:trHeight w:val="418"/>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Exchange Agent</w:t>
            </w:r>
          </w:p>
        </w:tc>
        <w:tc>
          <w:tcPr>
            <w:tcW w:w="7080" w:type="dxa"/>
            <w:vAlign w:val="bottom"/>
          </w:tcPr>
          <w:p>
            <w:pPr>
              <w:ind w:left="200"/>
              <w:spacing w:after="0"/>
              <w:rPr>
                <w:sz w:val="20"/>
                <w:szCs w:val="20"/>
                <w:color w:val="auto"/>
              </w:rPr>
            </w:pPr>
            <w:r>
              <w:rPr>
                <w:rFonts w:ascii="Arial" w:cs="Arial" w:eastAsia="Arial" w:hAnsi="Arial"/>
                <w:sz w:val="18"/>
                <w:szCs w:val="18"/>
                <w:color w:val="auto"/>
                <w:w w:val="97"/>
              </w:rPr>
              <w:t>We have appointed Deutsche Bank Trust Company Americas as exchange agent for the</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89"/>
              </w:rPr>
              <w:t>exchange offer. You should direct questions and requests for assistance, requests for additional</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8"/>
              </w:rPr>
              <w:t>copies of this prospectus or the letter of transmittal to the exchange agent addressed as</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8"/>
              </w:rPr>
              <w:t>follows: By registered and certified mail or by regular mail or courier: 60 Wall Street, MS</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w w:val="97"/>
              </w:rPr>
              <w:t>NYC60-1630, New York, New York. Eligible institutions may make requests for facsimile</w:t>
            </w:r>
          </w:p>
        </w:tc>
      </w:tr>
      <w:tr>
        <w:trPr>
          <w:trHeight w:val="230"/>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transmission at (615) 866-3889.</w:t>
            </w:r>
          </w:p>
        </w:tc>
      </w:tr>
      <w:tr>
        <w:trPr>
          <w:trHeight w:val="432"/>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3</w:t>
            </w:r>
          </w:p>
        </w:tc>
      </w:tr>
      <w:tr>
        <w:trPr>
          <w:trHeight w:val="132"/>
        </w:trPr>
        <w:tc>
          <w:tcPr>
            <w:tcW w:w="1280" w:type="dxa"/>
            <w:vAlign w:val="bottom"/>
            <w:tcBorders>
              <w:bottom w:val="single" w:sz="8" w:color="808080"/>
            </w:tcBorders>
          </w:tcPr>
          <w:p>
            <w:pPr>
              <w:spacing w:after="0"/>
              <w:rPr>
                <w:sz w:val="11"/>
                <w:szCs w:val="11"/>
                <w:color w:val="auto"/>
              </w:rPr>
            </w:pPr>
          </w:p>
        </w:tc>
        <w:tc>
          <w:tcPr>
            <w:tcW w:w="310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Terms of the New Notes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The following summary contains basic information about the offering of the new notes and is not intended to be complete. It does not contain all the information that is important to you. For a more complete understanding of the new notes, see the section entitled “Description of New Notes” in this prospectus. For purposes of the following summary, references to “Weatherford Delaware,” “we,” “our” and “us” refer only to Weatherford International, LLC and not to its parent company, Weatherford International plc, or any of Weatherford International plc’s other subsidiaries, including Weatherford International Ltd.; references to “Weatherford Ireland” refer only to Weatherford International plc and not to any of its subsidiaries; references to “Weatherford Bermuda” refer only to Weatherford International Ltd. and not to any of its subsidiaries; and references to “guarantors” refer to Weatherford Ireland and Weatherford Bermuda together.</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terms of the new notes will be substantially identical to the terms of the old notes, except that the new notes will be registered under the Securities Act and the transfer restrictions, registration rights and provisions for additional interest relating to the old notes do not apply to the new notes. The new notes will evidence the same debt as the old notes, and the same indenture that governs the old notes will govern the new notes. We sometimes refer to the new notes and the old notes collectively in this prospectus as “the notes.”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summary contains basic information about the new notes and is not intended to be complete. It does not contain all information that may be important to you. For a more complete understanding of the new notes, please read “Description of New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Issuer</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Weatherford International, LLC.</w:t>
            </w:r>
          </w:p>
        </w:tc>
      </w:tr>
      <w:tr>
        <w:trPr>
          <w:trHeight w:val="418"/>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Guarantors</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7"/>
              </w:rPr>
              <w:t>Each of Weatherford Ireland and Weatherford Bermuda will fully and unconditionally and</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5"/>
              </w:rPr>
              <w:t>jointly and severally guarantee the notes on a senior, unsecured basis. See “Description of</w:t>
            </w:r>
          </w:p>
        </w:tc>
      </w:tr>
      <w:tr>
        <w:trPr>
          <w:trHeight w:val="230"/>
        </w:trPr>
        <w:tc>
          <w:tcPr>
            <w:tcW w:w="2940" w:type="dxa"/>
            <w:vAlign w:val="bottom"/>
          </w:tcPr>
          <w:p>
            <w:pPr>
              <w:spacing w:after="0"/>
              <w:rPr>
                <w:sz w:val="20"/>
                <w:szCs w:val="20"/>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New Notes—Guarantees.”</w:t>
            </w:r>
          </w:p>
        </w:tc>
      </w:tr>
      <w:tr>
        <w:trPr>
          <w:trHeight w:val="432"/>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Notes offered</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$600 million aggregate principal amount of 9.875% Senior Notes due 2025.</w:t>
            </w:r>
          </w:p>
        </w:tc>
      </w:tr>
      <w:tr>
        <w:trPr>
          <w:trHeight w:val="432"/>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Maturity Date</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March 1, 2025, unless earlier redeemed.</w:t>
            </w:r>
          </w:p>
        </w:tc>
      </w:tr>
      <w:tr>
        <w:trPr>
          <w:trHeight w:val="432"/>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Interest rate</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The notes will bear interest at 9.875% per year, accruing from February 28, 2018.</w:t>
            </w:r>
          </w:p>
        </w:tc>
      </w:tr>
      <w:tr>
        <w:trPr>
          <w:trHeight w:val="418"/>
        </w:trPr>
        <w:tc>
          <w:tcPr>
            <w:tcW w:w="2940" w:type="dxa"/>
            <w:vAlign w:val="bottom"/>
          </w:tcPr>
          <w:p>
            <w:pPr>
              <w:spacing w:after="0"/>
              <w:rPr>
                <w:sz w:val="24"/>
                <w:szCs w:val="24"/>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4"/>
              </w:rPr>
              <w:t>Interest on the notes will be payable semi-annually on May 1 and November 1 of each year.</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Interest from November 1, 2024 to March 1, 2025 will be payable in cash in arrears on</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5"/>
              </w:rPr>
              <w:t>March 1, 2025 to holders at the close of business on February 15, 2025. The initial interest</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9"/>
              </w:rPr>
              <w:t>payment on the new notes will include all accrued and unpaid interest on the old notes</w:t>
            </w:r>
          </w:p>
        </w:tc>
      </w:tr>
      <w:tr>
        <w:trPr>
          <w:trHeight w:val="230"/>
        </w:trPr>
        <w:tc>
          <w:tcPr>
            <w:tcW w:w="2940" w:type="dxa"/>
            <w:vAlign w:val="bottom"/>
          </w:tcPr>
          <w:p>
            <w:pPr>
              <w:spacing w:after="0"/>
              <w:rPr>
                <w:sz w:val="20"/>
                <w:szCs w:val="20"/>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exchanged therefor.</w:t>
            </w:r>
          </w:p>
        </w:tc>
      </w:tr>
      <w:tr>
        <w:trPr>
          <w:trHeight w:val="418"/>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Covenants</w:t>
            </w: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3"/>
              </w:rPr>
              <w:t>Weatherford Delaware will issue the new notes under that certain indenture entered into with</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3"/>
              </w:rPr>
              <w:t>Deutsche Bank Trust Company Americas, as trustee, dated June 18, 2007, as amended and</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3"/>
              </w:rPr>
              <w:t>supplemented by several supplemental indentures, including that certain Sixth Supplemental</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4"/>
              </w:rPr>
              <w:t>Indenture, dated February 28, 2018, establishing the form and terms of the notes, which we</w:t>
            </w:r>
          </w:p>
        </w:tc>
      </w:tr>
      <w:tr>
        <w:trPr>
          <w:trHeight w:val="216"/>
        </w:trPr>
        <w:tc>
          <w:tcPr>
            <w:tcW w:w="2940" w:type="dxa"/>
            <w:vAlign w:val="bottom"/>
          </w:tcPr>
          <w:p>
            <w:pPr>
              <w:spacing w:after="0"/>
              <w:rPr>
                <w:sz w:val="18"/>
                <w:szCs w:val="18"/>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w w:val="91"/>
              </w:rPr>
              <w:t>refer to together as the “indenture.” The indenture contains limitations on, among other things,</w:t>
            </w:r>
          </w:p>
        </w:tc>
      </w:tr>
      <w:tr>
        <w:trPr>
          <w:trHeight w:val="230"/>
        </w:trPr>
        <w:tc>
          <w:tcPr>
            <w:tcW w:w="2940" w:type="dxa"/>
            <w:vAlign w:val="bottom"/>
          </w:tcPr>
          <w:p>
            <w:pPr>
              <w:spacing w:after="0"/>
              <w:rPr>
                <w:sz w:val="20"/>
                <w:szCs w:val="20"/>
                <w:color w:val="auto"/>
              </w:rPr>
            </w:pPr>
          </w:p>
        </w:tc>
        <w:tc>
          <w:tcPr>
            <w:tcW w:w="8520" w:type="dxa"/>
            <w:vAlign w:val="bottom"/>
            <w:gridSpan w:val="2"/>
          </w:tcPr>
          <w:p>
            <w:pPr>
              <w:ind w:left="1640"/>
              <w:spacing w:after="0"/>
              <w:rPr>
                <w:sz w:val="20"/>
                <w:szCs w:val="20"/>
                <w:color w:val="auto"/>
              </w:rPr>
            </w:pPr>
            <w:r>
              <w:rPr>
                <w:rFonts w:ascii="Arial" w:cs="Arial" w:eastAsia="Arial" w:hAnsi="Arial"/>
                <w:sz w:val="18"/>
                <w:szCs w:val="18"/>
                <w:color w:val="auto"/>
              </w:rPr>
              <w:t>Weatherford Ireland’s and its restricted subsidiaries’ ability to:</w:t>
            </w:r>
          </w:p>
        </w:tc>
      </w:tr>
      <w:tr>
        <w:trPr>
          <w:trHeight w:val="432"/>
        </w:trPr>
        <w:tc>
          <w:tcPr>
            <w:tcW w:w="2940" w:type="dxa"/>
            <w:vAlign w:val="bottom"/>
          </w:tcPr>
          <w:p>
            <w:pPr>
              <w:spacing w:after="0"/>
              <w:rPr>
                <w:sz w:val="24"/>
                <w:szCs w:val="24"/>
                <w:color w:val="auto"/>
              </w:rPr>
            </w:pPr>
          </w:p>
        </w:tc>
        <w:tc>
          <w:tcPr>
            <w:tcW w:w="1980" w:type="dxa"/>
            <w:vAlign w:val="bottom"/>
          </w:tcPr>
          <w:p>
            <w:pPr>
              <w:ind w:left="1640"/>
              <w:spacing w:after="0"/>
              <w:rPr>
                <w:sz w:val="20"/>
                <w:szCs w:val="20"/>
                <w:color w:val="auto"/>
              </w:rPr>
            </w:pPr>
            <w:r>
              <w:rPr>
                <w:rFonts w:ascii="Arial" w:cs="Arial" w:eastAsia="Arial" w:hAnsi="Arial"/>
                <w:sz w:val="18"/>
                <w:szCs w:val="18"/>
                <w:color w:val="auto"/>
              </w:rPr>
              <w:t>·</w:t>
            </w:r>
          </w:p>
        </w:tc>
        <w:tc>
          <w:tcPr>
            <w:tcW w:w="6540" w:type="dxa"/>
            <w:vAlign w:val="bottom"/>
          </w:tcPr>
          <w:p>
            <w:pPr>
              <w:jc w:val="right"/>
              <w:ind w:right="90"/>
              <w:spacing w:after="0"/>
              <w:rPr>
                <w:sz w:val="20"/>
                <w:szCs w:val="20"/>
                <w:color w:val="auto"/>
              </w:rPr>
            </w:pPr>
            <w:r>
              <w:rPr>
                <w:rFonts w:ascii="Arial" w:cs="Arial" w:eastAsia="Arial" w:hAnsi="Arial"/>
                <w:sz w:val="18"/>
                <w:szCs w:val="18"/>
                <w:color w:val="auto"/>
                <w:w w:val="94"/>
              </w:rPr>
              <w:t>incur or guarantee additional indebtedness or issue certain types of equity securities;</w:t>
            </w:r>
          </w:p>
        </w:tc>
      </w:tr>
      <w:tr>
        <w:trPr>
          <w:trHeight w:val="432"/>
        </w:trPr>
        <w:tc>
          <w:tcPr>
            <w:tcW w:w="29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40" w:type="dxa"/>
            <w:vAlign w:val="bottom"/>
          </w:tcPr>
          <w:p>
            <w:pPr>
              <w:jc w:val="right"/>
              <w:ind w:right="5610"/>
              <w:spacing w:after="0"/>
              <w:rPr>
                <w:sz w:val="20"/>
                <w:szCs w:val="20"/>
                <w:color w:val="auto"/>
              </w:rPr>
            </w:pPr>
            <w:r>
              <w:rPr>
                <w:rFonts w:ascii="Arial" w:cs="Arial" w:eastAsia="Arial" w:hAnsi="Arial"/>
                <w:sz w:val="18"/>
                <w:szCs w:val="18"/>
                <w:color w:val="auto"/>
              </w:rPr>
              <w:t>4</w:t>
            </w:r>
          </w:p>
        </w:tc>
      </w:tr>
      <w:tr>
        <w:trPr>
          <w:trHeight w:val="132"/>
        </w:trPr>
        <w:tc>
          <w:tcPr>
            <w:tcW w:w="29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6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pay dividends or repurchase equity or subordinated debt;</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make investments or loans;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340"/>
              <w:spacing w:after="0"/>
              <w:rPr>
                <w:sz w:val="20"/>
                <w:szCs w:val="20"/>
                <w:color w:val="auto"/>
              </w:rPr>
            </w:pPr>
            <w:r>
              <w:rPr>
                <w:rFonts w:ascii="Arial" w:cs="Arial" w:eastAsia="Arial" w:hAnsi="Arial"/>
                <w:sz w:val="18"/>
                <w:szCs w:val="18"/>
                <w:color w:val="auto"/>
              </w:rPr>
              <w:t>make unscheduled payments on subordinated indebtedness;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engage in transactions with affiliates;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create certain liens;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create unrestricted subsidiaries;</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w w:val="95"/>
              </w:rPr>
              <w:t>consolidate, amalgamate, merge or transfer their assets as, or substantially as, an</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entirety; and</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engage in certain sale-leaseback transactions.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These covenants are subject to a number of important limitations and exceptions.</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1"/>
              </w:rPr>
              <w:t>If the notes are assigned investment grade ratings by both Moody’s and S&amp;P and no default or</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1"/>
              </w:rPr>
              <w:t>event of default has occurred and is continuing under the indenture, upon our election, we and</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3"/>
              </w:rPr>
              <w:t>our restricted subsidiaries will no longer be subject to many of the foregoing covenants. See</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“Description of New Notes—Certain Covenants—Covenant Termination.”</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The notes will contain certain events of default.</w:t>
            </w:r>
          </w:p>
        </w:tc>
      </w:tr>
      <w:tr>
        <w:trPr>
          <w:trHeight w:val="418"/>
        </w:trPr>
        <w:tc>
          <w:tcPr>
            <w:tcW w:w="37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Optional Redemption of the Notes</w:t>
            </w: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3"/>
              </w:rPr>
              <w:t>We may redeem, at our option, all or part of the notes at any time prior to December 1, 2024</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3"/>
              </w:rPr>
              <w:t>(three months prior to their maturity date) (the “Notes Par Call Date”) at the redemption price</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described under “Description of New Notes—Optional Redemption—Make-Whole</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3"/>
              </w:rPr>
              <w:t>Redemption” plus accrued and unpaid interest to, but not including, the redemption date. We</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4"/>
              </w:rPr>
              <w:t>may also redeem, at our option, all or part of the notes at any time on or after the Notes Par</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6"/>
              </w:rPr>
              <w:t>Call Date at a redemption price of 100% of the principal amount thereof plus accrued and</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unpaid interest to the redemption date.</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w w:val="99"/>
              </w:rPr>
              <w:t>For a more complete description of the redemption provisions of the notes, please read</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“Description of New Notes—Optional Redemption.”</w:t>
            </w:r>
          </w:p>
        </w:tc>
      </w:tr>
      <w:tr>
        <w:trPr>
          <w:trHeight w:val="432"/>
        </w:trPr>
        <w:tc>
          <w:tcPr>
            <w:tcW w:w="3700" w:type="dxa"/>
            <w:vAlign w:val="bottom"/>
            <w:gridSpan w:val="2"/>
          </w:tcPr>
          <w:p>
            <w:pPr>
              <w:ind w:left="180"/>
              <w:spacing w:after="0"/>
              <w:rPr>
                <w:sz w:val="20"/>
                <w:szCs w:val="20"/>
                <w:color w:val="auto"/>
              </w:rPr>
            </w:pPr>
            <w:r>
              <w:rPr>
                <w:rFonts w:ascii="Arial" w:cs="Arial" w:eastAsia="Arial" w:hAnsi="Arial"/>
                <w:sz w:val="18"/>
                <w:szCs w:val="18"/>
                <w:b w:val="1"/>
                <w:bCs w:val="1"/>
                <w:color w:val="auto"/>
              </w:rPr>
              <w:t>Ranking</w:t>
            </w:r>
          </w:p>
        </w:tc>
        <w:tc>
          <w:tcPr>
            <w:tcW w:w="7760" w:type="dxa"/>
            <w:vAlign w:val="bottom"/>
            <w:gridSpan w:val="2"/>
          </w:tcPr>
          <w:p>
            <w:pPr>
              <w:ind w:left="880"/>
              <w:spacing w:after="0"/>
              <w:rPr>
                <w:sz w:val="20"/>
                <w:szCs w:val="20"/>
                <w:color w:val="auto"/>
              </w:rPr>
            </w:pPr>
            <w:r>
              <w:rPr>
                <w:rFonts w:ascii="Arial" w:cs="Arial" w:eastAsia="Arial" w:hAnsi="Arial"/>
                <w:sz w:val="18"/>
                <w:szCs w:val="18"/>
                <w:color w:val="auto"/>
              </w:rPr>
              <w:t>The notes will be our senior, unsecured obligations and will be:</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rPr>
              <w:t>equal in right of payment with our existing and future senior indebtedness;</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w w:val="95"/>
              </w:rPr>
              <w:t>senior in right of payment to our existing and future indebtedness that is expressly</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subordinated to the notes;</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w w:val="91"/>
              </w:rPr>
              <w:t>effectively subordinated to our existing and future secured indebtedness, to the extent</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of the value of the collateral securing that indebtedness; and</w:t>
            </w:r>
          </w:p>
        </w:tc>
      </w:tr>
      <w:tr>
        <w:trPr>
          <w:trHeight w:val="41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6540" w:type="dxa"/>
            <w:vAlign w:val="bottom"/>
          </w:tcPr>
          <w:p>
            <w:pPr>
              <w:ind w:left="280"/>
              <w:spacing w:after="0"/>
              <w:rPr>
                <w:sz w:val="20"/>
                <w:szCs w:val="20"/>
                <w:color w:val="auto"/>
              </w:rPr>
            </w:pPr>
            <w:r>
              <w:rPr>
                <w:rFonts w:ascii="Arial" w:cs="Arial" w:eastAsia="Arial" w:hAnsi="Arial"/>
                <w:sz w:val="18"/>
                <w:szCs w:val="18"/>
                <w:color w:val="auto"/>
                <w:w w:val="94"/>
              </w:rPr>
              <w:t>structurally subordinated to all existing and future indebtedness and other liabilities,</w:t>
            </w: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40" w:type="dxa"/>
            <w:vAlign w:val="bottom"/>
          </w:tcPr>
          <w:p>
            <w:pPr>
              <w:ind w:left="320"/>
              <w:spacing w:after="0"/>
              <w:rPr>
                <w:sz w:val="20"/>
                <w:szCs w:val="20"/>
                <w:color w:val="auto"/>
              </w:rPr>
            </w:pPr>
            <w:r>
              <w:rPr>
                <w:rFonts w:ascii="Arial" w:cs="Arial" w:eastAsia="Arial" w:hAnsi="Arial"/>
                <w:sz w:val="18"/>
                <w:szCs w:val="18"/>
                <w:color w:val="auto"/>
              </w:rPr>
              <w:t>including trade payables,</w:t>
            </w: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Arial" w:cs="Arial" w:eastAsia="Arial" w:hAnsi="Arial"/>
                <w:sz w:val="18"/>
                <w:szCs w:val="18"/>
                <w:color w:val="auto"/>
              </w:rPr>
              <w:t>5</w:t>
            </w:r>
          </w:p>
        </w:tc>
      </w:tr>
      <w:tr>
        <w:trPr>
          <w:trHeight w:val="132"/>
        </w:trPr>
        <w:tc>
          <w:tcPr>
            <w:tcW w:w="128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6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1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20" w:type="dxa"/>
            <w:vAlign w:val="bottom"/>
          </w:tcPr>
          <w:p>
            <w:pPr>
              <w:spacing w:after="0"/>
              <w:rPr>
                <w:sz w:val="17"/>
                <w:szCs w:val="17"/>
                <w:color w:val="auto"/>
              </w:rPr>
            </w:pPr>
          </w:p>
        </w:tc>
        <w:tc>
          <w:tcPr>
            <w:tcW w:w="646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w w:val="95"/>
              </w:rPr>
              <w:t>and (to the extent we are not a holder thereof) preferred equity, if any, of our non-</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guarantor subsidiaries.</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1"/>
              </w:rPr>
              <w:t>The guarantee of each guarantor will be such guarantor’s senior, unsecured obligation and will</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rPr>
              <w:t>be:</w:t>
            </w:r>
          </w:p>
        </w:tc>
        <w:tc>
          <w:tcPr>
            <w:tcW w:w="646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rPr>
              <w:t>·</w:t>
            </w:r>
          </w:p>
        </w:tc>
        <w:tc>
          <w:tcPr>
            <w:tcW w:w="6460" w:type="dxa"/>
            <w:vAlign w:val="bottom"/>
          </w:tcPr>
          <w:p>
            <w:pPr>
              <w:ind w:left="200"/>
              <w:spacing w:after="0"/>
              <w:rPr>
                <w:sz w:val="20"/>
                <w:szCs w:val="20"/>
                <w:color w:val="auto"/>
              </w:rPr>
            </w:pPr>
            <w:r>
              <w:rPr>
                <w:rFonts w:ascii="Arial" w:cs="Arial" w:eastAsia="Arial" w:hAnsi="Arial"/>
                <w:sz w:val="18"/>
                <w:szCs w:val="18"/>
                <w:color w:val="auto"/>
              </w:rPr>
              <w:t>equal in right of payment with such guarantor’s existing and future senior</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indebtedness;</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rPr>
              <w:t>·</w:t>
            </w:r>
          </w:p>
        </w:tc>
        <w:tc>
          <w:tcPr>
            <w:tcW w:w="6460" w:type="dxa"/>
            <w:vAlign w:val="bottom"/>
          </w:tcPr>
          <w:p>
            <w:pPr>
              <w:ind w:left="200"/>
              <w:spacing w:after="0"/>
              <w:rPr>
                <w:sz w:val="20"/>
                <w:szCs w:val="20"/>
                <w:color w:val="auto"/>
              </w:rPr>
            </w:pPr>
            <w:r>
              <w:rPr>
                <w:rFonts w:ascii="Arial" w:cs="Arial" w:eastAsia="Arial" w:hAnsi="Arial"/>
                <w:sz w:val="18"/>
                <w:szCs w:val="18"/>
                <w:color w:val="auto"/>
                <w:w w:val="92"/>
              </w:rPr>
              <w:t>senior in right of payment to such guarantor’s existing and future indebtedness that is</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expressly subordinated to the guarantee;</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rPr>
              <w:t>·</w:t>
            </w:r>
          </w:p>
        </w:tc>
        <w:tc>
          <w:tcPr>
            <w:tcW w:w="6460" w:type="dxa"/>
            <w:vAlign w:val="bottom"/>
          </w:tcPr>
          <w:p>
            <w:pPr>
              <w:ind w:left="200"/>
              <w:spacing w:after="0"/>
              <w:rPr>
                <w:sz w:val="20"/>
                <w:szCs w:val="20"/>
                <w:color w:val="auto"/>
              </w:rPr>
            </w:pPr>
            <w:r>
              <w:rPr>
                <w:rFonts w:ascii="Arial" w:cs="Arial" w:eastAsia="Arial" w:hAnsi="Arial"/>
                <w:sz w:val="18"/>
                <w:szCs w:val="18"/>
                <w:color w:val="auto"/>
                <w:w w:val="91"/>
              </w:rPr>
              <w:t>effectively subordinated to such guarantor’s existing and future secured indebtedness,</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to the extent of the value of the collateral securing that indebtedness; and</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ind w:left="1400"/>
              <w:spacing w:after="0"/>
              <w:rPr>
                <w:sz w:val="20"/>
                <w:szCs w:val="20"/>
                <w:color w:val="auto"/>
              </w:rPr>
            </w:pPr>
            <w:r>
              <w:rPr>
                <w:rFonts w:ascii="Arial" w:cs="Arial" w:eastAsia="Arial" w:hAnsi="Arial"/>
                <w:sz w:val="18"/>
                <w:szCs w:val="18"/>
                <w:color w:val="auto"/>
              </w:rPr>
              <w:t>·</w:t>
            </w:r>
          </w:p>
        </w:tc>
        <w:tc>
          <w:tcPr>
            <w:tcW w:w="6460" w:type="dxa"/>
            <w:vAlign w:val="bottom"/>
          </w:tcPr>
          <w:p>
            <w:pPr>
              <w:ind w:left="200"/>
              <w:spacing w:after="0"/>
              <w:rPr>
                <w:sz w:val="20"/>
                <w:szCs w:val="20"/>
                <w:color w:val="auto"/>
              </w:rPr>
            </w:pPr>
            <w:r>
              <w:rPr>
                <w:rFonts w:ascii="Arial" w:cs="Arial" w:eastAsia="Arial" w:hAnsi="Arial"/>
                <w:sz w:val="18"/>
                <w:szCs w:val="18"/>
                <w:color w:val="auto"/>
                <w:w w:val="94"/>
              </w:rPr>
              <w:t>structurally subordinated to all existing and future indebtedness and other liabilities,</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w w:val="94"/>
              </w:rPr>
              <w:t>including trade payables, and (to the extent such guarantor is not a holder thereof)</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60" w:type="dxa"/>
            <w:vAlign w:val="bottom"/>
          </w:tcPr>
          <w:p>
            <w:pPr>
              <w:ind w:left="240"/>
              <w:spacing w:after="0"/>
              <w:rPr>
                <w:sz w:val="20"/>
                <w:szCs w:val="20"/>
                <w:color w:val="auto"/>
              </w:rPr>
            </w:pPr>
            <w:r>
              <w:rPr>
                <w:rFonts w:ascii="Arial" w:cs="Arial" w:eastAsia="Arial" w:hAnsi="Arial"/>
                <w:sz w:val="18"/>
                <w:szCs w:val="18"/>
                <w:color w:val="auto"/>
              </w:rPr>
              <w:t>preferred equity, if any, of such guarantor’s non-guarantor subsidiaries.</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9"/>
              </w:rPr>
              <w:t>As of September 30, 2018, Weatherford Ireland had total consolidated indebtedness of</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approximately $8.0 billion, substantially all of which, other than $338 million and $317</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1"/>
              </w:rPr>
              <w:t>million of indebtedness incurred under our Term Loan Agreement (as defined below) and 364-</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0"/>
              </w:rPr>
              <w:t>Day Credit Agreement (as defined below), respectively, was unsecured indebtedness of us, our</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2"/>
              </w:rPr>
              <w:t>affiliates or our subsidiaries guaranteed by Weatherford Ireland, Weatherford Bermuda and/or</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2"/>
              </w:rPr>
              <w:t>us and to which the new notes and the related guarantees will rank equal in right of payment.</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2"/>
              </w:rPr>
              <w:t>As of September 30, 2018, subsidiaries of Weatherford Ireland, other than us or Weatherford</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4"/>
              </w:rPr>
              <w:t>Bermuda, had outstanding guarantees for approximately $665 million of our debt under our</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4"/>
              </w:rPr>
              <w:t>Revolving Credit Agreement (as defined below), Term Loan Agreement and 364-Day Credit</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2"/>
              </w:rPr>
              <w:t>Agreement. See “Risk Factors—Risks Relating to the New Notes and our Indebtedness—The</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6"/>
              </w:rPr>
              <w:t>new notes and the related guarantees will be effectively subordinated to any of our or the</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3"/>
              </w:rPr>
              <w:t>guarantors’ existing and future secured debt and structurally subordinated to the liabilities of</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our and our guarantors’ non-guarantor subsidiaries.”</w:t>
            </w:r>
          </w:p>
        </w:tc>
      </w:tr>
      <w:tr>
        <w:trPr>
          <w:trHeight w:val="418"/>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See “Description of Other Indebtedness,” “Description of New Notes—Ranking” and</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“Description of New Notes—Guarantees.”</w:t>
            </w:r>
          </w:p>
        </w:tc>
      </w:tr>
      <w:tr>
        <w:trPr>
          <w:trHeight w:val="418"/>
        </w:trPr>
        <w:tc>
          <w:tcPr>
            <w:tcW w:w="31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 of Control</w:t>
            </w: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0"/>
              </w:rPr>
              <w:t>Upon a change of control repurchase event, we will be required to make an offer to repurchase</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3"/>
              </w:rPr>
              <w:t>all outstanding notes at a price in cash equal to 101.0% of the aggregate principal amount of</w:t>
            </w:r>
          </w:p>
        </w:tc>
      </w:tr>
      <w:tr>
        <w:trPr>
          <w:trHeight w:val="216"/>
        </w:trPr>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6"/>
              </w:rPr>
              <w:t>the notes repurchased, plus any accrued and unpaid interest to the repurchase date. See</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“Description of New Notes—Change of Control Repurchase Event.”</w:t>
            </w:r>
          </w:p>
        </w:tc>
      </w:tr>
      <w:tr>
        <w:trPr>
          <w:trHeight w:val="418"/>
        </w:trPr>
        <w:tc>
          <w:tcPr>
            <w:tcW w:w="3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Transfer restrictions</w:t>
            </w: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5"/>
              </w:rPr>
              <w:t>The new notes generally will be freely transferable, but will also be securities for which the</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public market may be limited.</w:t>
            </w:r>
          </w:p>
        </w:tc>
      </w:tr>
      <w:tr>
        <w:trPr>
          <w:trHeight w:val="418"/>
        </w:trPr>
        <w:tc>
          <w:tcPr>
            <w:tcW w:w="3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 Prior Market</w:t>
            </w: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w w:val="91"/>
              </w:rPr>
              <w:t>The new notes will be new securities for which there is currently no market. We cannot assure</w:t>
            </w:r>
          </w:p>
        </w:tc>
      </w:tr>
      <w:tr>
        <w:trPr>
          <w:trHeight w:val="230"/>
        </w:trPr>
        <w:tc>
          <w:tcPr>
            <w:tcW w:w="1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280" w:type="dxa"/>
            <w:vAlign w:val="bottom"/>
            <w:gridSpan w:val="2"/>
          </w:tcPr>
          <w:p>
            <w:pPr>
              <w:ind w:left="1400"/>
              <w:spacing w:after="0"/>
              <w:rPr>
                <w:sz w:val="20"/>
                <w:szCs w:val="20"/>
                <w:color w:val="auto"/>
              </w:rPr>
            </w:pPr>
            <w:r>
              <w:rPr>
                <w:rFonts w:ascii="Arial" w:cs="Arial" w:eastAsia="Arial" w:hAnsi="Arial"/>
                <w:sz w:val="18"/>
                <w:szCs w:val="18"/>
                <w:color w:val="auto"/>
              </w:rPr>
              <w:t>you as to the liquidity of markets that may</w:t>
            </w:r>
          </w:p>
        </w:tc>
      </w:tr>
      <w:tr>
        <w:trPr>
          <w:trHeight w:val="432"/>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rPr>
              <w:t>6</w:t>
            </w:r>
          </w:p>
        </w:tc>
      </w:tr>
      <w:tr>
        <w:trPr>
          <w:trHeight w:val="132"/>
        </w:trPr>
        <w:tc>
          <w:tcPr>
            <w:tcW w:w="12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6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52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4"/>
              </w:rPr>
              <w:t>develop for the new notes, your ability to sell the new notes or the price at which you would</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4"/>
              </w:rPr>
              <w:t>be able to sell the new notes. See “Risk Factors—Risks Relating to the New Notes and our</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5"/>
              </w:rPr>
              <w:t>Indebtedness—Your ability to transfer the new notes may be limited by the absence of an</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4"/>
              </w:rPr>
              <w:t>active trading market, and there is no assurance that any active market will develop for the</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new notes.”</w:t>
            </w:r>
          </w:p>
        </w:tc>
      </w:tr>
      <w:tr>
        <w:trPr>
          <w:trHeight w:val="418"/>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Risk Factors</w:t>
            </w:r>
          </w:p>
        </w:tc>
        <w:tc>
          <w:tcPr>
            <w:tcW w:w="7520" w:type="dxa"/>
            <w:vAlign w:val="bottom"/>
          </w:tcPr>
          <w:p>
            <w:pPr>
              <w:ind w:left="680"/>
              <w:spacing w:after="0"/>
              <w:rPr>
                <w:sz w:val="20"/>
                <w:szCs w:val="20"/>
                <w:color w:val="auto"/>
              </w:rPr>
            </w:pPr>
            <w:r>
              <w:rPr>
                <w:rFonts w:ascii="Arial" w:cs="Arial" w:eastAsia="Arial" w:hAnsi="Arial"/>
                <w:sz w:val="18"/>
                <w:szCs w:val="18"/>
                <w:color w:val="auto"/>
                <w:w w:val="92"/>
              </w:rPr>
              <w:t>The new notes involve risks. You should carefully read and consider the information set forth</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3"/>
              </w:rPr>
              <w:t>in the “Risk Factors” and “Forward-Looking Statements” sections of this prospectus and the</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“Risk Factors” section of Weatherford Ireland’s Form 10-K and similar sections in any</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1"/>
              </w:rPr>
              <w:t>subsequent Exchange Act reports that we incorporate by reference in this prospectus, and all</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9"/>
              </w:rPr>
              <w:t>other information set forth in, or incorporated by reference into, this prospectus, before</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making a decision to invest in the new notes.</w:t>
            </w:r>
          </w:p>
        </w:tc>
      </w:tr>
      <w:tr>
        <w:trPr>
          <w:trHeight w:val="432"/>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Governing Law</w:t>
            </w:r>
          </w:p>
        </w:tc>
        <w:tc>
          <w:tcPr>
            <w:tcW w:w="7520" w:type="dxa"/>
            <w:vAlign w:val="bottom"/>
          </w:tcPr>
          <w:p>
            <w:pPr>
              <w:ind w:left="680"/>
              <w:spacing w:after="0"/>
              <w:rPr>
                <w:sz w:val="20"/>
                <w:szCs w:val="20"/>
                <w:color w:val="auto"/>
              </w:rPr>
            </w:pPr>
            <w:r>
              <w:rPr>
                <w:rFonts w:ascii="Arial" w:cs="Arial" w:eastAsia="Arial" w:hAnsi="Arial"/>
                <w:sz w:val="18"/>
                <w:szCs w:val="18"/>
                <w:color w:val="auto"/>
              </w:rPr>
              <w:t>The notes and the indenture will be governed by New York law.</w:t>
            </w:r>
          </w:p>
        </w:tc>
      </w:tr>
      <w:tr>
        <w:trPr>
          <w:trHeight w:val="418"/>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Additional Issuance</w:t>
            </w:r>
          </w:p>
        </w:tc>
        <w:tc>
          <w:tcPr>
            <w:tcW w:w="7520" w:type="dxa"/>
            <w:vAlign w:val="bottom"/>
          </w:tcPr>
          <w:p>
            <w:pPr>
              <w:ind w:left="680"/>
              <w:spacing w:after="0"/>
              <w:rPr>
                <w:sz w:val="20"/>
                <w:szCs w:val="20"/>
                <w:color w:val="auto"/>
              </w:rPr>
            </w:pPr>
            <w:r>
              <w:rPr>
                <w:rFonts w:ascii="Arial" w:cs="Arial" w:eastAsia="Arial" w:hAnsi="Arial"/>
                <w:sz w:val="18"/>
                <w:szCs w:val="18"/>
                <w:color w:val="auto"/>
                <w:w w:val="91"/>
              </w:rPr>
              <w:t>We may, at any time, without the consent of the holders of the notes, issue additional notes of</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88"/>
              </w:rPr>
              <w:t>the same series having the same ranking and the same interest rate, maturity and other terms as</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2"/>
              </w:rPr>
              <w:t>the notes. Any additional notes having such similar terms, together with the old notes and the</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5"/>
              </w:rPr>
              <w:t>new notes offered hereby, will constitute a single series of notes under the indenture. See</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“Description of New Notes.”</w:t>
            </w:r>
          </w:p>
        </w:tc>
      </w:tr>
      <w:tr>
        <w:trPr>
          <w:trHeight w:val="418"/>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 of New Notes</w:t>
            </w:r>
          </w:p>
        </w:tc>
        <w:tc>
          <w:tcPr>
            <w:tcW w:w="7520" w:type="dxa"/>
            <w:vAlign w:val="bottom"/>
          </w:tcPr>
          <w:p>
            <w:pPr>
              <w:ind w:left="680"/>
              <w:spacing w:after="0"/>
              <w:rPr>
                <w:sz w:val="20"/>
                <w:szCs w:val="20"/>
                <w:color w:val="auto"/>
              </w:rPr>
            </w:pPr>
            <w:r>
              <w:rPr>
                <w:rFonts w:ascii="Arial" w:cs="Arial" w:eastAsia="Arial" w:hAnsi="Arial"/>
                <w:sz w:val="18"/>
                <w:szCs w:val="18"/>
                <w:color w:val="auto"/>
                <w:w w:val="91"/>
              </w:rPr>
              <w:t>The new notes will be represented initially by one or more global notes. Each global new note</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will be deposited with the trustee, as custodian for DTC.</w:t>
            </w:r>
          </w:p>
        </w:tc>
      </w:tr>
      <w:tr>
        <w:trPr>
          <w:trHeight w:val="418"/>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Same-Day Settlement</w:t>
            </w:r>
          </w:p>
        </w:tc>
        <w:tc>
          <w:tcPr>
            <w:tcW w:w="7520" w:type="dxa"/>
            <w:vAlign w:val="bottom"/>
          </w:tcPr>
          <w:p>
            <w:pPr>
              <w:ind w:left="680"/>
              <w:spacing w:after="0"/>
              <w:rPr>
                <w:sz w:val="20"/>
                <w:szCs w:val="20"/>
                <w:color w:val="auto"/>
              </w:rPr>
            </w:pPr>
            <w:r>
              <w:rPr>
                <w:rFonts w:ascii="Arial" w:cs="Arial" w:eastAsia="Arial" w:hAnsi="Arial"/>
                <w:sz w:val="18"/>
                <w:szCs w:val="18"/>
                <w:color w:val="auto"/>
                <w:w w:val="92"/>
              </w:rPr>
              <w:t>The global new notes will be shown on, and transfers of the global new notes will be effected</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9"/>
              </w:rPr>
              <w:t>only through, records maintained in book-entry form by DTC and its direct and indirect</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participants.</w:t>
            </w:r>
          </w:p>
        </w:tc>
      </w:tr>
      <w:tr>
        <w:trPr>
          <w:trHeight w:val="418"/>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0"/>
              </w:rPr>
              <w:t>The new notes are expected to trade in DTC’s same day funds settlement system until maturity</w:t>
            </w: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w w:val="92"/>
              </w:rPr>
              <w:t>or redemption. Therefore, secondary market trading activity in the new notes will be settled in</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immediately available funds.</w:t>
            </w:r>
          </w:p>
        </w:tc>
      </w:tr>
      <w:tr>
        <w:trPr>
          <w:trHeight w:val="418"/>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Trading</w:t>
            </w:r>
          </w:p>
        </w:tc>
        <w:tc>
          <w:tcPr>
            <w:tcW w:w="7520" w:type="dxa"/>
            <w:vAlign w:val="bottom"/>
          </w:tcPr>
          <w:p>
            <w:pPr>
              <w:ind w:left="680"/>
              <w:spacing w:after="0"/>
              <w:rPr>
                <w:sz w:val="20"/>
                <w:szCs w:val="20"/>
                <w:color w:val="auto"/>
              </w:rPr>
            </w:pPr>
            <w:r>
              <w:rPr>
                <w:rFonts w:ascii="Arial" w:cs="Arial" w:eastAsia="Arial" w:hAnsi="Arial"/>
                <w:sz w:val="18"/>
                <w:szCs w:val="18"/>
                <w:color w:val="auto"/>
                <w:w w:val="94"/>
              </w:rPr>
              <w:t>We do not expect to list the new notes for trading on any securities exchange or automated</w:t>
            </w:r>
          </w:p>
        </w:tc>
      </w:tr>
      <w:tr>
        <w:trPr>
          <w:trHeight w:val="230"/>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520" w:type="dxa"/>
            <w:vAlign w:val="bottom"/>
          </w:tcPr>
          <w:p>
            <w:pPr>
              <w:ind w:left="680"/>
              <w:spacing w:after="0"/>
              <w:rPr>
                <w:sz w:val="20"/>
                <w:szCs w:val="20"/>
                <w:color w:val="auto"/>
              </w:rPr>
            </w:pPr>
            <w:r>
              <w:rPr>
                <w:rFonts w:ascii="Arial" w:cs="Arial" w:eastAsia="Arial" w:hAnsi="Arial"/>
                <w:sz w:val="18"/>
                <w:szCs w:val="18"/>
                <w:color w:val="auto"/>
              </w:rPr>
              <w:t>dealer quotation system.</w:t>
            </w:r>
          </w:p>
        </w:tc>
      </w:tr>
      <w:tr>
        <w:trPr>
          <w:trHeight w:val="432"/>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Trustee, Registrar and Exchange Agent</w:t>
            </w:r>
          </w:p>
        </w:tc>
        <w:tc>
          <w:tcPr>
            <w:tcW w:w="7520" w:type="dxa"/>
            <w:vAlign w:val="bottom"/>
          </w:tcPr>
          <w:p>
            <w:pPr>
              <w:ind w:left="680"/>
              <w:spacing w:after="0"/>
              <w:rPr>
                <w:sz w:val="20"/>
                <w:szCs w:val="20"/>
                <w:color w:val="auto"/>
              </w:rPr>
            </w:pPr>
            <w:r>
              <w:rPr>
                <w:rFonts w:ascii="Arial" w:cs="Arial" w:eastAsia="Arial" w:hAnsi="Arial"/>
                <w:sz w:val="18"/>
                <w:szCs w:val="18"/>
                <w:color w:val="auto"/>
              </w:rPr>
              <w:t>Deutsche Bank Trust Company Americas.</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additional information regarding the notes, see “Description of New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Investing in the new notes involves a high degree of risk. Before deciding whether to invest in the new notes, you should carefully consider the risks and uncertainties described below as well as those described under “Risk Factors” in Weatherford Ireland’s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Exchange Offer</w:t>
      </w:r>
    </w:p>
    <w:p>
      <w:pPr>
        <w:spacing w:after="0" w:line="229"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If you fail to exchange old notes, existing transfer restrictions will remain in effect, and the market value of old notes may be adversely affected because they may be more difficult to sell.</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If you fail to exchange old notes for new notes in the exchange offer, then you will continue to be subject to the existing transfer restrictions on the old notes. In general, the old notes may not be offered or sold unless they are registered or exempt from registration under the Securities Act and applicable state securities laws. Except in connection with this exchange offer or as required by the registration rights agreement, we do not intend to register resales of the old notes.</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tender of old notes in the exchange offer will reduce the principal amount of the currently outstanding old notes. Due to the corresponding reduction in liquidity, this may have an adverse effect upon, and increase the volatility of, the market price of any currently outstanding old notes that you continue to hold following the completion of the exchange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New Notes and our Indebtedness</w:t>
      </w:r>
    </w:p>
    <w:p>
      <w:pPr>
        <w:spacing w:after="0" w:line="229"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b w:val="1"/>
          <w:bCs w:val="1"/>
          <w:i w:val="1"/>
          <w:iCs w:val="1"/>
          <w:color w:val="auto"/>
        </w:rPr>
        <w:t>The new notes and the related guarantees will be effectively subordinated to any of our or the guarantors’ existing and future secured debt and structurally subordinated to the liabilities of our and the guarantors’ non-guarantor subsidiaries.</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new notes and the related guarantees will be general unsecured, senior obligations of Weatherford Delaware and the guarantors, respectively, and will be effectively subordinated to existing and future secured indebtedness of us and the guarantors to the extent of the value of the collateral securing that indebtedness.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September 30, 2018, Weatherford Ireland had total consolidated indebtedness of approximately $8.0 billion, substantially all of which, other than $338 million and $317 million of indebtedness incurred under the Term Loan Agreement and 364-Day Credit Agreement, respectively, was unsecured indebtedness of us or our subsidiaries guaranteed by Weatherford Ireland, Weatherford Bermuda and/or us and to which the new notes and the related guarantees will rank equal in right of payment. Despite our current consolidated debt levels, we may be able to incur substantial additional debt in the future, including secured debt, subject to the restrictions contained in our debt instruments and credit facilities. The indenture governing the notes does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Bermuda, the holders of any secured indebtedness of us, Weatherford Ireland or Weatherford Bermuda will be entitled to proceed directly against the collateral securing such indebtedness. Accordingly, that collateral will not be available for satisfying any amounts owed under the new notes or the related guarantees, as applicable, unless and until the secured indebtedness is satisfied in full.</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Other than Weatherford Bermuda, none of Weatherford Ireland’s subsidiaries will guarantee the notes. Accordingly, the notes and the related guarantees will also be structurally subordinated to all existing and future unsecured and secured liabilities and (to the extent we are not a holder thereof) preferred equity, if any, of Weatherford Ireland’s subsidiaries other than us and Weatherford Bermuda.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claims of that subsidiary’s creditors, including trade creditors. As of September 30, 2018, the aggregate amount of liabilities of Weatherford Ireland’s subsidiaries was approximately $10.3 billion, including approximately $8.0 billion of consolidated indebtedness, trade and other payables but excluding intercompany liabilities. As of September 30, 2018, subsidiaries of Weatherford Ireland, other than us or Weatherford Bermuda, had outstanding guarantees for approximately $655 million of Weatherford Ireland’s debt under our Revolving Credit Agreement, Term Loan Agreement and 364-Day Credit Agreement. The provisions of the indenture governing the notes do not prohibit our subsidiaries from incurring additional indebtedness or issuing preferred equity.</w:t>
      </w:r>
    </w:p>
    <w:p>
      <w:pPr>
        <w:spacing w:after="0" w:line="15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service or repay this indebtedness.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ability to make scheduled payments of the principal and to pay interest on or to refinance our indebtedness, including the new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new notes, or the debt obligations of Weatherford Ireland and its other subsidiaries.</w:t>
      </w:r>
    </w:p>
    <w:p>
      <w:pPr>
        <w:spacing w:after="0" w:line="178" w:lineRule="exact"/>
        <w:rPr>
          <w:sz w:val="20"/>
          <w:szCs w:val="20"/>
          <w:color w:val="auto"/>
        </w:rPr>
      </w:pPr>
    </w:p>
    <w:p>
      <w:pPr>
        <w:ind w:left="340" w:right="64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new notes.</w:t>
      </w:r>
    </w:p>
    <w:p>
      <w:pPr>
        <w:spacing w:after="0" w:line="147"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As of September 30, 2018, Weatherford Ireland’s total consolidated indebtedness was approximately $8.0 billion. We may also incur additional indebtedness to meet future financing needs. Our indebtedness could have significant negative consequences for our business, results of operations and financial condition, including:</w:t>
      </w:r>
    </w:p>
    <w:p>
      <w:pPr>
        <w:spacing w:after="0" w:line="181" w:lineRule="exact"/>
        <w:rPr>
          <w:sz w:val="20"/>
          <w:szCs w:val="20"/>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new notes.</w:t>
      </w:r>
    </w:p>
    <w:p>
      <w:pPr>
        <w:spacing w:after="0" w:line="170"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b w:val="1"/>
          <w:bCs w:val="1"/>
          <w:i w:val="1"/>
          <w:iCs w:val="1"/>
          <w:color w:val="auto"/>
        </w:rPr>
        <w:t>If we are unable to comply with the restrictions and covenants in the agreements governing the Revolving Credit Agreement, the Term Loan Agreement, the 364-Day Credit Agreement and our other indebtedness, including the indentures governing the notes and our other senior notes, there could be a default under the terms of these agreements, which could result in an acceleration of payment of funds that we have borrowed and would affect our ability to make principal and interest payments on the new notes.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 pay principal and interest on the new notes and substantially decrease the market value of the new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the 364-Day Credit Agreement and the indentures governing our other senior notes (the “Prior Indentures”) and the indenture that governs the notes), we could be in default under the terms of such agreements. In the event of such default: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80" w:hanging="644"/>
        <w:spacing w:after="0" w:line="277"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the Term Loan Agreement, the 364-Day Credit Agreement, the Prior Indentures or the indenture that governs the notes to avoid being in default. As of September 30, 2018, we were in compliance with our debt covenants under the Revolving Credit Agreement, Term Loan Agreement, 364-Day Credit Agreement, the Prior Indentures and the indenture that governs the notes. However, if we are unable to continue to comply with our financial covenants or if we breach our other covenants under the Revolving Credit Agreement, the Term Loan Agreement, the 364-Day Credit Agreement, the Prior Indentures or the indenture that governs the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192" w:lineRule="exact"/>
        <w:rPr>
          <w:sz w:val="20"/>
          <w:szCs w:val="20"/>
          <w:color w:val="auto"/>
        </w:rPr>
      </w:pPr>
    </w:p>
    <w:p>
      <w:pPr>
        <w:ind w:left="340" w:right="120"/>
        <w:spacing w:after="0" w:line="342" w:lineRule="auto"/>
        <w:rPr>
          <w:sz w:val="20"/>
          <w:szCs w:val="20"/>
          <w:color w:val="auto"/>
        </w:rPr>
      </w:pPr>
      <w:r>
        <w:rPr>
          <w:rFonts w:ascii="Arial" w:cs="Arial" w:eastAsia="Arial" w:hAnsi="Arial"/>
          <w:sz w:val="16"/>
          <w:szCs w:val="16"/>
          <w:b w:val="1"/>
          <w:bCs w:val="1"/>
          <w:i w:val="1"/>
          <w:iCs w:val="1"/>
          <w:color w:val="auto"/>
        </w:rPr>
        <w:t>The terms of the Revolving Credit Agreement, Term Loan Agreement, 364-Day Credit Agreement, Prior Indentures and the indenture governing the notes restrict our current and future operations, particularly our ability to respond to changes or to pursue our business strategies.</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Revolving Credit Agreement, the Term Loan Agreement, the 364-Day Credit Agreement, the Prior Indentures, and the indenture that governs the notes contain a number of restrictive covenants that impose significant operating and financial restrictions on us and may limit our ability to engage in acts that may be in our long-term best interest, including restrictions on our ability to:</w:t>
      </w:r>
    </w:p>
    <w:p>
      <w:pPr>
        <w:spacing w:after="0" w:line="181" w:lineRule="exact"/>
        <w:rPr>
          <w:sz w:val="20"/>
          <w:szCs w:val="20"/>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repurchase our equity;</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these restrictions, we may be:</w:t>
      </w:r>
    </w:p>
    <w:p>
      <w:pPr>
        <w:spacing w:after="0" w:line="225" w:lineRule="exact"/>
        <w:rPr>
          <w:sz w:val="20"/>
          <w:szCs w:val="20"/>
          <w:color w:val="auto"/>
        </w:rPr>
      </w:pPr>
    </w:p>
    <w:p>
      <w:pPr>
        <w:ind w:left="1260" w:hanging="60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the restrictive covenants in the Revolving Credit Agreement, the Term Loan Agreement and the 364-Day Credit Agreement require us to maintain specified financial ratios. Our ability to meet those financial ratios can be affected by events beyond our control.</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breach of the covenants under the Revolving Credit Agreement, the Term Loan Agreement, the 364-Day Credit Agreement, the Prior Indentures or the indenture that governs the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Term Loan Agreement or the 364-Day Credit Agreement would permit the lenders thereunder to terminate all commitments. Furthermore, if we were unable to repay the amounts due and payable under the Term Loan Agreement or the 364-Day Credit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67"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Your ability to transfer the new notes may be limited by the absence of an active trading market, and there is no assurance that any active trading market will develop for the new notes.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new notes will be registered under the Securities Act, but will constitute a new issue of securities for which there is no established trading market. We do not intend to have the new notes listed on a national securities exchange or included in any automated quotation system. The liquidity of any market for the new notes will depend upon the number of holders of the new notes, our performance, the market for similar securities, the interest in securities dealers making a market in the new notes and other factors. Therefore, we cannot assure you that an active market for the new notes will develop or, if developed, that it will continue. If an active market does not develop or is not maintained, the price and liquidity of the new notes will be adversely affected.</w:t>
      </w:r>
    </w:p>
    <w:p>
      <w:pPr>
        <w:spacing w:after="0" w:line="158"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Historically, the market for non-investment-grade debt has been subject to disruptions that have caused substantial volatility in the prices of securities similar to the new notes. We cannot assure you that the market, if any, for the new notes will be free from similar disruptions or that any such disruptions may not adversely affect the prices at which you may sell your new notes.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new notes will develop. See “Exchange Offer.”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meet our obligations under the new notes.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a holding company subsidiary of Weatherford Ireland with no material assets (other than shares of our subsidiaries), operations, revenues or cash flows other than those related to the issuance, administration and repayment of debt, including the new notes being offered hereby. As a result, our ability to meet our obligations under the new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8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fund a change of control offer.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the other series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senior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Term Loan Agreement and the 364-Day Credit Agreement and require us to prepay amounts outstanding thereunder. See “Description of New Notes—Change of Control Repurchase Event.”</w:t>
      </w:r>
    </w:p>
    <w:p>
      <w:pPr>
        <w:spacing w:after="0" w:line="182"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b w:val="1"/>
          <w:bCs w:val="1"/>
          <w:i w:val="1"/>
          <w:iCs w:val="1"/>
          <w:color w:val="auto"/>
        </w:rPr>
        <w:t>Many of the covenants contained in the indenture governing the notes will terminate if the notes are rated investment grade by both S&amp;P and Moody’s and no default or event of default has occurred and is continuing.</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Many of the covenants in the indenture governing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New Notes—Certain Covenants—Covenant Termination.”</w:t>
      </w:r>
    </w:p>
    <w:p>
      <w:pPr>
        <w:spacing w:after="0" w:line="178"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The indenture governing the notes permits us to sell or distribute our land drilling business to our shareholders. A sale or spinoff of that business would result in a smaller amount of consolidated assets supporting the repayment of the new notes.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indenture governing the notes permits us to sell or spinoff, by way of a stock dividend, the voting securities of a subsidiary that holds all or substantially all of our land drilling rigs and related assets, subject only to the absence of any continuing default or event of default. See “Description of New Notes—Certain Definitions—Qualified Spin Transaction.” As a result of any such sale or spinoff transaction, the holders of the new notes would have a smaller amount of consolidated assets supporting repayment of their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Weatherford Ireland’s, Weatherford Bermuda’s and Weatherford Delaware’s credit ratings may not reflect all risks of your investment in the new notes.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new notes. These credit ratings may not reflect the potential impact of risks relating to the structure or marketing of the new notes. Agency ratings are not a recommendation to buy, sell or hold any security, and may be revised or withdrawn at any time by the issuing organization. Each agency’s ratings should be evaluated independently of any other agency’s ratings.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 agencies have lowered and could further lower our credit ratings.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credit ratings have been downgraded by multiple credit rating agencies and these agencies could further downgrade our credit ratings. On December 20, 2018, Moody’s downgraded our senior unsecured notes to Caa3 from Caa1 and our short-term rating to SGL-4 from SGL-3, and maintained its negative outlook on each. On December 24, 2018, S&amp;P downgraded our senior unsecured notes to CCC- from CCC+, with a negative outlook. Our non-investment grade credit ratings have resulted in our loss of access to the commercial paper market for our short-term liquidity needs. Furthermore, our non-investment grade status may further limit our ability to refinance our existing debt, could cause us to refinance or issue debt with less favorable and more restrictive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cannot meet the NYSE’s continued listing requirements, the NYSE may delist Weatherford Ireland’s ordinary shares.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future, if we are not able to meet the continued listing requirements of the NYSE, which require, among other things, that the average closing price of our ordinary shares be above $1.00 over 30 consecutive trading days, our ordinary shares may be delisted. The closing price of our ordinary shares on December 26, 2018 was $0.25.</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we are unable to satisfy the NYSE’s criteria for continued listing, our ordinary shares would be subject to delisting. A delisting of our ordinary shares could negatively impact us by, among other things, reducing the liquidity and market price of the ordinary shares; reducing the number of investors willing to hold or acquire our ordinary shares, which could negatively impact our ability to raise equity financing; decreasing the amount of news and analyst coverage of us; and limiting our ability to issue additional securities or obtain additional financing in the future.</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delisting from the NYSE might negatively impact our reputation and, as a consequence, our business. Moreover, a delisting of our ordinary shares would constitute a “fundamental change” under the terms of indenture governing the Exchangeable Notes (as defined below), which would require us to make an offer to repurchase the Exchangeable Notes at an amount in cash equal to the principal amount of the Exchangeable Notes plus accrued and unpaid interest on the Exchangeable Notes. We may not have enough available cash or be able to obtain financing at the time we are required to make repurchases of the Exchangeable Notes. Our failure to repurchase notes when required in connection with a fundamental change would constitute a default under the indenture. A default under the indenture or the fundamental change itself could also lead to a default under agreements governing our other indebtedness. If the repayment of the other indebtedness accelerates, then we may not have sufficient funds to repay that indebtedness or repurchase the notes when required.</w:t>
      </w:r>
    </w:p>
    <w:p>
      <w:pPr>
        <w:spacing w:after="0" w:line="19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The guarantees of the new notes will be the guarantors’ obligations only, and the guarantors’ operations are conducted through, and substantially all of their consolidated assets are held by, their subsidiaries.</w:t>
      </w:r>
    </w:p>
    <w:p>
      <w:pPr>
        <w:spacing w:after="0" w:line="17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Weatherford Ireland and Weatherford Bermuda are each holding companies that conduct all of their respective operations through subsidiaries. Accordingly, the guarantors’ ability to pay the cash obligations, if any, that become due under the guarantees of the new notes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new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167"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U.S. Federal and state laws, Bermuda law and Irish law allow courts, under specific circumstances, to void guarantees and require noteholders to return payments received from guarantors.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new notes could be voided if, among other things, at the time the guarantors issued the guarantees, a guarantor:</w:t>
      </w:r>
    </w:p>
    <w:p>
      <w:pPr>
        <w:spacing w:after="0" w:line="170" w:lineRule="exact"/>
        <w:rPr>
          <w:sz w:val="20"/>
          <w:szCs w:val="20"/>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920" w:hanging="615"/>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170" w:lineRule="exact"/>
        <w:rPr>
          <w:sz w:val="20"/>
          <w:szCs w:val="20"/>
          <w:color w:val="auto"/>
        </w:rPr>
      </w:pPr>
    </w:p>
    <w:p>
      <w:pPr>
        <w:ind w:left="1260" w:hanging="604"/>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225"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new notes.</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Under Bermuda law, the guarantees or payment thereunder may be set aside or otherwise varied or amended by order of a Bermuda court. This may occur where:</w:t>
      </w:r>
    </w:p>
    <w:p>
      <w:pPr>
        <w:spacing w:after="0" w:line="170" w:lineRule="exact"/>
        <w:rPr>
          <w:sz w:val="20"/>
          <w:szCs w:val="20"/>
          <w:color w:val="auto"/>
        </w:rPr>
      </w:pPr>
    </w:p>
    <w:p>
      <w:pPr>
        <w:ind w:left="1300" w:right="40" w:hanging="644"/>
        <w:spacing w:after="0" w:line="286" w:lineRule="auto"/>
        <w:tabs>
          <w:tab w:leader="none" w:pos="12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issue of the guarantees or payment thereunder is found to be a disposition of property at an undervalue made with the dominant purpose of putting property beyond the reach of a person who may at some time make a claim against the guarantor. In these circumstances a Bermuda court may make an order voiding or varying a guarantor’s obligations under its guarantee;</w:t>
      </w:r>
    </w:p>
    <w:p>
      <w:pPr>
        <w:spacing w:after="0" w:line="165" w:lineRule="exact"/>
        <w:rPr>
          <w:rFonts w:ascii="Arial" w:cs="Arial" w:eastAsia="Arial" w:hAnsi="Arial"/>
          <w:sz w:val="17"/>
          <w:szCs w:val="17"/>
          <w:color w:val="auto"/>
        </w:rPr>
      </w:pPr>
    </w:p>
    <w:p>
      <w:pPr>
        <w:ind w:left="1300" w:right="180" w:hanging="644"/>
        <w:spacing w:after="0" w:line="257"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Within six months of issuing the guarantees or making payment thereunder, a guarantor commences winding-up proceedings in Bermuda and it can be shown that: i) at the time of issuing the guarantees or making a payment thereunder, the guarantor was insolvent; and ii) the issue of the guarantee or the payment thereunder was made with the dominant intention of preferring certain creditors over other creditors of the company. In these circumstances the guarantees or payment thereunder may be deemed a fraudulent preference by a Bermuda court and be voided or varied accordingly; or</w:t>
      </w:r>
    </w:p>
    <w:p>
      <w:pPr>
        <w:spacing w:after="0" w:line="188" w:lineRule="exact"/>
        <w:rPr>
          <w:rFonts w:ascii="Arial" w:cs="Arial" w:eastAsia="Arial" w:hAnsi="Arial"/>
          <w:sz w:val="18"/>
          <w:szCs w:val="18"/>
          <w:color w:val="auto"/>
        </w:rPr>
      </w:pPr>
    </w:p>
    <w:p>
      <w:pPr>
        <w:ind w:left="1300" w:right="260" w:hanging="644"/>
        <w:spacing w:after="0" w:line="264"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Bermuda company commences a court-ordered winding-up in Bermuda and payment is made pursuant to the guarantees (or new guarantees are issued) without the sanction of the Bermuda court. Any such payment or new guarantees made without sanction would be void.</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addition, in a winding-up of a Bermuda company, the claims of certain preferential creditors will rank in priority to claims of unsecured creditors. If Weatherford Bermuda is wound up and Weatherford Bermuda has obligations to creditors that are treated under Bermuda law as creditors that are senior relative to the holders of the notes, the holders of the notes may suffer losses as a result of their subordinated status during such winding-up.</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issuance of the guarantees of the new notes by a guarantor may be subject to review under Irish law in certain circumstances, including the following:</w:t>
      </w:r>
    </w:p>
    <w:p>
      <w:pPr>
        <w:spacing w:after="0" w:line="170" w:lineRule="exact"/>
        <w:rPr>
          <w:sz w:val="20"/>
          <w:szCs w:val="20"/>
          <w:color w:val="auto"/>
        </w:rPr>
      </w:pPr>
    </w:p>
    <w:p>
      <w:pPr>
        <w:ind w:left="1300" w:right="500" w:hanging="644"/>
        <w:spacing w:after="0" w:line="277" w:lineRule="auto"/>
        <w:tabs>
          <w:tab w:leader="none" w:pos="1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80"/>
        <w:spacing w:after="0" w:line="264" w:lineRule="auto"/>
        <w:rPr>
          <w:sz w:val="20"/>
          <w:szCs w:val="20"/>
          <w:color w:val="auto"/>
        </w:rPr>
      </w:pPr>
      <w:r>
        <w:rPr>
          <w:rFonts w:ascii="Arial" w:cs="Arial" w:eastAsia="Arial" w:hAnsi="Arial"/>
          <w:sz w:val="18"/>
          <w:szCs w:val="18"/>
          <w:color w:val="auto"/>
        </w:rPr>
        <w:t>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181" w:lineRule="exact"/>
        <w:rPr>
          <w:sz w:val="20"/>
          <w:szCs w:val="20"/>
          <w:color w:val="auto"/>
        </w:rPr>
      </w:pPr>
    </w:p>
    <w:p>
      <w:pPr>
        <w:jc w:val="both"/>
        <w:ind w:left="1300" w:right="60" w:hanging="644"/>
        <w:spacing w:after="0" w:line="264"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181" w:lineRule="exact"/>
        <w:rPr>
          <w:rFonts w:ascii="Arial" w:cs="Arial" w:eastAsia="Arial" w:hAnsi="Arial"/>
          <w:sz w:val="18"/>
          <w:szCs w:val="18"/>
          <w:color w:val="auto"/>
        </w:rPr>
      </w:pPr>
    </w:p>
    <w:p>
      <w:pPr>
        <w:ind w:left="1260" w:hanging="604"/>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guarantee is challenged on the grounds that there was no corporate benefit to the guarantor in entering into the guarantee; or</w:t>
      </w:r>
    </w:p>
    <w:p>
      <w:pPr>
        <w:spacing w:after="0" w:line="236" w:lineRule="exact"/>
        <w:rPr>
          <w:rFonts w:ascii="Arial" w:cs="Arial" w:eastAsia="Arial" w:hAnsi="Arial"/>
          <w:sz w:val="17"/>
          <w:szCs w:val="17"/>
          <w:color w:val="auto"/>
        </w:rPr>
      </w:pPr>
    </w:p>
    <w:p>
      <w:pPr>
        <w:ind w:left="1300" w:right="80" w:hanging="644"/>
        <w:spacing w:after="0" w:line="277"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Weatherford Bermuda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new notes, the holders of the new notes may suffer losses as a result of their subordinated status during such insolvency proceeding.</w:t>
      </w:r>
    </w:p>
    <w:p>
      <w:pPr>
        <w:spacing w:after="0" w:line="18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If a court voids the guarantee or any payment under the guarantee of the new notes as a result of a fraudulent transfer or holds it unenforceable for any other reason, the rights of holders of the new notes under the guarantee would be seriously undermined and such holders could cease to have any claim against that guarantor under its guarantee of the new notes. See “—Our holding company structure may impact our ability to meet our obligations under the new notes.”</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 substantial number of our guarantors’ subsidiaries operate or are incorporated in jurisdictions other than Ireland and Bermuda and may be subject to the insolvency, bankruptcy and corporation laws of such other jurisdictions. The insolvency, bankruptcy and corporation laws of these jurisdictions may differ materially from those of Ireland and those of Bermuda. In addition, there can be no assurance as to how the insolvency, bankruptcy or corporation laws of the various jurisdictions in which Weatherford Ireland and its subsidiaries operate will be applied in relation to one another.</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Weatherford Ireland is unable to pay its debts, an examiner may be appointed under Irish law to oversee Weatherford Ireland’s operations.</w:t>
      </w:r>
    </w:p>
    <w:p>
      <w:pPr>
        <w:spacing w:after="0" w:line="24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Bermuda, even if we or Weatherford Bermuda are solvent. There can be no assurance that we would be exempt from an extension of the examinership.</w:t>
      </w:r>
    </w:p>
    <w:p>
      <w:pPr>
        <w:spacing w:after="0" w:line="15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Further, a scheme of arrangement may be approved involving the writing down of the debt due by Weatherford Ireland to the holders of the new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new notes.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new notes or any payment by it pursuant to such guarantee will not be challenged by a liquidator or examiner or that a court would uphold such guarantee or payment.</w:t>
      </w:r>
    </w:p>
    <w:p>
      <w:pPr>
        <w:spacing w:after="0" w:line="18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Adverse changes in tax laws both in the United States and abroad, changes in tax rates or exposure to additional income tax liabilities could have a material adverse effect on our results of operations.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5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Changes in tax laws could significantly increase our tax expense and require us to take actions, at potential significant expense, to seek to preserve our current level of tax expense.</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the “TCJA”), that significantly reforms the Internal Revenue Code of 1986, as amended (the ‘‘Code’’). The TCJA, among other things, contains significant changes to corporate taxation, including a permanent reduction of the corporate income tax rate, a partial limitation on the deductibility of business interest expense, limitation of the deduction for certain net operating losses to 80% of current year taxable income, an indefinite net operating loss carryforward, immediate deductions for certain new investments instead of deductions for depreciation expense over time, modification or repeal of many business deductions and credits (including certain foreign tax credits), a shift of the U.S. taxation of multinational corporations from a tax on worldwide income to a partial territorial system (along with certain rules designed to prevent erosion of the U.S. income tax base, such as the base erosion and anti-abuse tax), modifications to the rules used to determine whether an entity is a ‘‘controlled foreign corporation’’ and a one-time tax on accumulated offshore earnings held in cash and illiquid assets (with the latter taxed at a lower rate). We continue to examine the impact of this tax reform legislation, and as its overall impact is uncertain, we note that the TCJA could adversely affect our business and financial condition. The various impacts of the TCJA may materially differ from the estimated impacts recognized in the fourth quarter due to future treasury regulations, tax law technical corrections, and other potential guidance, notices, rulings, refined computations, actions we may take as a result of the tax legislation, and other items. The SEC has issued rules that allow for a measurement period of up to one year after the enactment date of the legislation to finalize the recording of the related tax impacts. The impact of this tax reform legislation on holders of notes is also uncertain and could be adverse. Investors should consult their own advisors regarding the potential application of these rules on an investment in the notes.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payments in relation to the new notes could be subject to Swiss withholding tax.</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 payments and any other payments that are treated like interest payments for Swiss tax purposes) to the note holders will become subject to Swiss withholding tax of 35%. We use our best efforts to ensure that none of the proceeds from the offer of the new notes will be used in a manner that would trigger a harmful flow back of the funds to Switzerland, and, as such, the new notes are not expected to constitute Swiss bonds or bond like instruments subject to Swiss withholding tax.</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transfer of the notes may be subject to Swiss federal stamp duties.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certain circumstances, the transfer of the new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78"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b w:val="1"/>
          <w:bCs w:val="1"/>
          <w:i w:val="1"/>
          <w:iCs w:val="1"/>
          <w:color w:val="auto"/>
        </w:rPr>
        <w:t>The new notes will initially be held in book-entry form, and, holders must rely on the procedures and the relevant clearing system to exercise their rights and remedies.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Unless and until certificated notes are issued in exchange for book-entry interests in the new notes, beneficial owners of the book-entry interests will not be considered owners or holders of the new notes. Instead, DTC or its nominee will be the sole holder of the new notes. Payments of principal, interest and other amounts due on or in respect of the new notes in global form will be made to DTC, after which those payments will be credited to DTC participants’ accounts that hold book-entry interests in the new notes in global form and credited by those participants to indirect participants.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Unlike holders of the new notes themselves, owners of book-entry interests will not have the direct right to act upon our solicitations for consents or requests for waivers or other actions from holders of the new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Irish and Bermuda laws differ from the laws in effect in the United States and may afford less protection to holders of the new notes.</w:t>
      </w:r>
    </w:p>
    <w:p>
      <w:pPr>
        <w:spacing w:after="0" w:line="23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 Further, several of our directors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w:t>
      </w:r>
    </w:p>
    <w:p>
      <w:pPr>
        <w:spacing w:after="0" w:line="15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new notes may have more difficulty protecting their interests than would holders of securities of a corporation incorporated in a jurisdiction of the United States.</w:t>
      </w:r>
    </w:p>
    <w:p>
      <w:pPr>
        <w:spacing w:after="0" w:line="193"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8"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Weatherford Bermuda has adopted provisions in its bye-laws that provide that it shall indemnify its officers and directors in respect of their actions and omissions, except in respect of their fraud or dishonesty. Weatherford Bermuda’s bye-laws provide that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exchange offer is intended to satisfy our obligations under the registration rights agreement that we entered into with the initial purchasers of our old notes in connection with the initial offer and sale thereof. We will not receive any cash proceeds from the issuance of the new notes in the exchange offer. In consideration for issuing the new notes as contemplated in this prospectus, we will receive the old notes in a like principal amount. The terms of the new notes are substantially identical to the terms of the old notes, except that the new notes will be registered under the Securities Act and the transfer restrictions, registration rights and provisions for additional interest relating to the old notes do not apply to the new notes. Old notes surrendered in exchange for the new notes will be retired and cancelled and will not be reissued. Accordingly, the issuance of the new notes will not result in any change in our outstanding indebtedness.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sold the old notes on February 28, 2018, pursuant to that certain purchase agreement, dated as of February 21, 2018, by and among Weatherford International, LLC, the guarantors party thereto, and Deutsche Bank Securities Inc., as representative of the several initial purchasers. The old notes were subsequently offered by the initial purchasers to persons reasonably believed to be qualified institutional buyers pursuant to Rule 144A and to non-U.S. persons pursuant to Regulation 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sold the old notes in transactions that were exempt from or not subject to the registration requirements under the Securities Act. Accordingly, the old notes are subject to transfer restrictions. In general, you may not offer or sell the old notes unless they are either registered under the Securities Act or such offer or sale is exempt from, or not subject to, registration under the Securities Act and applicable state securities laws.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February 28, 2018, we issued $600 million aggregate principal amount of our old notes. In connection with the issuance and sale of the old notes, we entered into a registration rights agreement with the initial purchasers of the old notes. In that agreement, we agreed to use our commercially reasonable efforts to file a registration statement regarding the exchange of the old notes for new notes which are registered under the Securities Act and complete an exchange offer not later than 60 days after the registration statement is declared effective. To satisfy our obligations under the registration rights agreement, we are offering certain holders of the old notes (those who are able to make certain representations described below under “—Procedures for Tendering— Your Representations to Us”), the opportunity to exchange their old notes for the new notes in the exchange offer. The exchange offer will be open for a period of at least 20 full business days. During the exchange offer period, we will exchange the new notes for all old notes properly surrendered and not withdrawn before the expiration date. The form and terms of the new notes are substantially identical to the old notes except that the issuance of the new notes has been registered under the Securities Act and the transfer restrictions, registration rights and certain additional interest provisions relating to the old notes do not apply to the new notes. Under the registration rights agreement, we may be required to make additional payments in the form of additional interest to the holders of the old notes under circumstances relating to the timing of the exchange offer. The registration rights agreement provides that we will be required to pay additional interest to the holders of the old notes if the exchange offer is not completed on or prior to April 4, 2019 or a shelf registration statement is required to be filed under the registration rights agreement but has not been declared effective on or prior to the date required by the registration rights agreement.</w:t>
      </w:r>
    </w:p>
    <w:p>
      <w:pPr>
        <w:spacing w:after="0" w:line="18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registration rights agreement is filed as an exhibit to the registration statement of which this prospectus forms a part. This summary of certain provisions of the registration rights agreement does not purport to be complete and is subject to, and is qualified in its entirety by reference to, all the provisions of the registration rights agreement, copies of which may be obtained as described under “Where You Can Find More Information.”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Resale of New Notes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Based on no-action letters of the staff of the SEC issued to third parties, we believe that new notes may be offered for resale, resold and otherwise transferred by you without further compliance with the registration and prospectus delivery provisions of the Securities Act if:</w:t>
      </w:r>
    </w:p>
    <w:p>
      <w:pPr>
        <w:spacing w:after="0" w:line="170" w:lineRule="exact"/>
        <w:rPr>
          <w:sz w:val="20"/>
          <w:szCs w:val="20"/>
          <w:color w:val="auto"/>
        </w:rPr>
      </w:pPr>
    </w:p>
    <w:p>
      <w:pPr>
        <w:ind w:left="1260" w:hanging="604"/>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an “affiliate” of ours within the meaning of Rule 405 under the Securities Act;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your business;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do not intend to participate in a distribution of the new notes.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staff of the SEC, however, has not considered the exchange offer for the new notes in the context of a no-action letter, and the staff of the SEC may not make a similar determination as in the no-action letters issued to these third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tender in the exchange offer with the intention of participating in any manner in a distribution of the new notes, you:</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604"/>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rely on such interpretations by the staff of the SEC; and</w:t>
      </w:r>
    </w:p>
    <w:p>
      <w:pPr>
        <w:spacing w:after="0" w:line="225" w:lineRule="exact"/>
        <w:rPr>
          <w:rFonts w:ascii="Arial" w:cs="Arial" w:eastAsia="Arial" w:hAnsi="Arial"/>
          <w:sz w:val="18"/>
          <w:szCs w:val="18"/>
          <w:color w:val="auto"/>
        </w:rPr>
      </w:pPr>
    </w:p>
    <w:p>
      <w:pPr>
        <w:ind w:left="1300" w:right="720" w:hanging="644"/>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 secondary resale transaction.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an exemption from registration is otherwise available, any securityholder intending to distribute new notes should be covered by an effective registration statement under the Securities Act. The registration statement should contain the selling securityholder’s information required by Item 507 or 508, as applicable, of Regulation S-K under the Securities Act.</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prospectus may be used for an offer to resell, resale or other transfer of new notes only as specifically described in this prospectus. If you are a broker-dealer, you may participate in the exchange offer only if you acquired the old notes as a result of market-making activities or other trading activities. Each broker-dealer that receives new notes for its own account in exchange for old notes, where such old notes were acquired by such broker-dealer as a result of market-making activities or other trading activities, must acknowledge by way of the letter of transmittal that it will deliver this prospectus in connection with any resale of the new notes. Please read the section captioned “Plan of Distribution” for more details regarding the transfer of new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the terms and conditions described in this prospectus and in the letter of transmittal, we will accept for exchange any old notes properly tendered and not withdrawn prior to 5:00 p.m., New York City time, on the expiration date. We will issue new notes in principal amount equal to the principal amount of old notes surrendered in the exchange offer. Old notes may be tendered only for new notes and only in denominations of $2,000 and integral multiples of $1,000 in excess thereof. We will deliver the new notes promptly after the expiration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exchange offer is not conditioned upon any minimum aggregate principal amount of old notes being tendered in the exchange offer.</w:t>
      </w:r>
    </w:p>
    <w:p>
      <w:pPr>
        <w:spacing w:after="0" w:line="237"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of the date of this prospectus, $600 million aggregate principal amount of 9.875% Senior Notes due 2025 representing old notes is outstanding. This prospectus and letter of transmittal is being sent to DTC, the sole registered holder of the old notes, and to all persons that we can identify as beneficial owners of the old notes. There will be no fixed record date for determining registered holders of old notes entitled to participate in the exchange offer.</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 the applicable requirements of the Securities Act and the Exchange Act, and the rules and regulations of the SEC. Old notes whose holders do not tender for exchange in the exchange offer will remain outstanding and continue to accrue interest. These old notes will be entitled to the rights and benefits such holders have under the indenture relating to the new notes.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will be deemed to have accepted for exchange properly tendered old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If you tender old notes in the exchange offer, you will not be required to pay brokerage commissions or fees or, subject to the letter of transmittal, transfer taxes with respect to the exchange of old notes. We will pay all charges and expenses, other than certain applicable taxes described below, in connection with the exchange offer. Please read “—Fees and Expenses” for more details regarding fees and expenses incurred in connection with the exchange offer.</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We will return any old notes that we do not accept for exchange for any reason without expense to their tendering holders promptly after the expiration or termination of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exchange offer will expire at 5:00 p.m., New York City time, on January 28, 2019, unless, in our sole discretion, we extend such deadline.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Delays in Acceptance, Termination or Amendment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expressly reserve the right, at any time or various times, to extend the period of time during which the exchange offer is open. We may delay acceptance of any old notes by giving oral (promptly followed in writing) or written notice of such extension to their holders at any time until the exchange offer expires or terminates. During any such extensions, all old notes previously tendered will remain subject to the exchange offer, and we may accept them for exchange.</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To extend the exchange offer, we will notify the exchange agent orally or in writing of any extension. We will notify the holders of old notes of the extension via a press release issued no later than 9:00 a.m., New York City time, on the business day after the previously scheduled expiration date.</w:t>
      </w:r>
    </w:p>
    <w:p>
      <w:pPr>
        <w:spacing w:after="0" w:line="12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If any of the conditions described below under “—Conditions to the Exchange Offer” have not been satisfied, we reserve the right, in our sole discretion</w:t>
      </w:r>
    </w:p>
    <w:p>
      <w:pPr>
        <w:spacing w:after="0" w:line="170" w:lineRule="exact"/>
        <w:rPr>
          <w:sz w:val="20"/>
          <w:szCs w:val="20"/>
          <w:color w:val="auto"/>
        </w:rPr>
      </w:pPr>
    </w:p>
    <w:p>
      <w:pPr>
        <w:ind w:left="1260" w:hanging="604"/>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delay accepting for exchange any old notes,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by giving oral (promptly followed in writing) or written notice of such delay, extension or termination to the exchange agent. Subject to the terms of the registration rights agreement, we also reserve the right to amend the terms of the exchange offer in any manner.</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such delay in acceptance, extension, termination or amendment will be followed as promptly as practicable by oral (promptly followed in writing) or written notice thereof to holders of the old notes. Any notice relating to the extension of the exchange offer will disclose the number of securities tendered as of the date of the notice, as required by Rule 14e-1(d) under the Exchange Act. If we amend the exchange offer in a manner that we determine to constitute a material change, we will promptly disclose such amendment by means of a prospectus supplement. The prospectus supplement will be distributed to holders of the old notes. Depending upon the significance of the amendment and the manner of disclosure to holders, we may extend the exchange offer if it would otherwise expire during such period. If an amendment constitutes a material change to the exchange offer, including the waiver of a material condition, we will extend the exchange offer, if necessary, to remain open for at least five business days after the date of the amendment. In the event of any increase or decrease in the consideration we are offering for the old notes or in the percentage of old notes being sought by us, we will extend the exchange offer to remain open for at least 10 business days after the date we provide notice of such increase or decrease to the registered holders of old notes.</w:t>
      </w:r>
    </w:p>
    <w:p>
      <w:pPr>
        <w:spacing w:after="0" w:line="16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If we delay accepting any old notes or terminate the exchange offer, we will promptly pay the consideration offered, or return any old notes deposited, pursuant to the exchange offer as required by Rule 14e-1(c)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will not be required to accept for exchange, or exchange any new notes for, any old notes if the exchange offer, or the making of any exchange by a holder of old notes, would violate applicable law or policy of the staff of the SEC. Similarly, we may terminate the exchange offer as provided in this prospectus before expiration of the offer in the event of such a potential violation.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will not be obligated to accept for exchange the old notes of any holder that has not made to us the representations described under “— Procedures for Tendering” and “Plan of Distribution” and such other representations as may be reasonably necessary under applicable SEC rules, regulations or interpretations to allow us to use an appropriate form to register the new notes under the Securities Act.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we will not accept for exchange any old notes tendered, and will not issue new notes in exchange for any such old notes, if at such time any stop order has been threatened or is in effect with respect to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exchange offer registration statement of which this prospectus constitutes a part or the qualification of the indenture under the Trust Indenture Act of 1939, as amended.</w:t>
      </w:r>
    </w:p>
    <w:p>
      <w:pPr>
        <w:spacing w:after="0" w:line="170"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We expressly reserve the right to amend or terminate the exchange offer, and to reject for exchange any old notes not previously accepted for exchange, upon the occurrence of any of the conditions to the exchange offer specified above. We will give oral or written notice of any extension, amendment, non-acceptance or termination to the holders of the old notes as promptly as practicable.</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These conditions are for our sole benefit, and we may assert them or waive them in whole or in part at any time or at various times prior to the expiration of the exchange offer in our sole discretion. If we fail at any time to exercise any of these rights, this failure will not mean that we have waived our rights. Each such right will be deemed an ongoing right that we may assert at any time or at various times prior to the expiration of the exchange offer.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To participate in the exchange offer, you must properly tender your old notes to the exchange agent as described below. We will only issue new notes in exchange for old notes that you timely and properly tender. Therefore, you should allow sufficient time to ensure timely delivery of the old notes, and you should follow carefully the instructions on how to tender your old notes. It is your responsibility to properly tender your old notes. We have the right to waive any defects. However, we are not required to waive defects, and neither we nor the exchange agent is required to notify you of any defects in your tender.</w:t>
      </w:r>
    </w:p>
    <w:p>
      <w:pPr>
        <w:spacing w:after="0" w:line="15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If you have any questions or need help in exchanging your old notes, please call the exchange agent whose address and phone number are described in the letter of transmittal included as Annex A to this prospectus and under “Prospectus Summary—The Exchange Offer—Exchange Agent.”</w:t>
      </w:r>
    </w:p>
    <w:p>
      <w:pPr>
        <w:spacing w:after="0" w:line="12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All of the old notes were issued in book-entry form, and all of the old notes are currently represented by global certificates registered in the name of Cede &amp; Co., the nominee of DTC. We have confirmed with DTC that the old notes may be tendered using ATOP. The exchange agent will establish an account with DTC for purposes of the exchange offer promptly after the commencement of the exchange offer, and DTC participants may electronically transmit their acceptance of the exchange offer by causing DTC to transfer their old notes to the exchange agent using the ATOP procedures. In connection with the transfer, DTC will send an “agent’s message” to the exchange agent. The agent’s message will state that DTC has received instructions from the participant to tender old notes and that the participant agrees to be bound by the terms of the letter of transmittal.</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By using the ATOP procedures to exchange old notes, you will not be required to deliver a letter of transmittal to the exchange agent. However, you will be bound by its terms just as if you had signed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procedure for guaranteed late delivery of the old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Please read “Plan of Distribution.”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Determinations in the Exchange Offer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will determine in our sole discretion all questions as to the validity, form, eligibility, time of receipt, acceptance of tendered old notes and withdrawal of tendered old notes. Our determination will be final and binding on all parties. We reserve the absolute right to reject any old notes not properly tendered or any old notes our acceptance of which would, in the opinion of our counsel, be unlawful. We also reserve the right to waive any defect, irregularities or conditions of tender as to particular old notes. Our interpretation of the terms and conditions of the exchange offer, including the instructions in the letter of transmittal, will be final and binding on all parties. Unless waived, all defects or irregularities in connection with tenders of old notes must be cured within such time as we shall determine. Although we intend to notify holders of defects or irregularities with respect to tenders of old notes, neither we, the exchange agent nor any other person will incur any liability for failure to give such notification. Tenders of old notes will not be deemed made until such defects or irregularities have been cured or waived. Any old notes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received by the exchange agent that are not properly tendered and as to which the defects or irregularities have not been cured or waived will be returned to the tendering holder promptly upon expiration or termination of the exchange offer.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When We Will Issue New Notes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all cases, we will issue new notes for old notes that we have accepted for exchange in the exchange offer only after the exchange agent receives, prior to 5:00 p.m., New York City time, on the expiration date:</w:t>
      </w:r>
    </w:p>
    <w:p>
      <w:pPr>
        <w:spacing w:after="0" w:line="170" w:lineRule="exact"/>
        <w:rPr>
          <w:sz w:val="20"/>
          <w:szCs w:val="20"/>
          <w:color w:val="auto"/>
        </w:rPr>
      </w:pPr>
    </w:p>
    <w:p>
      <w:pPr>
        <w:ind w:left="1260" w:hanging="604"/>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book-entry confirmation of such old notes into the exchange agent’s account at DTC;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properly transmitted agent’s message.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Return of Old Notes Not Accepted or Exchanged</w:t>
      </w:r>
    </w:p>
    <w:p>
      <w:pPr>
        <w:spacing w:after="0" w:line="225"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upon the expiration or termination of the exchange offer.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Your Representations to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agreeing to be bound by the letter of transmittal, you will represent to us that, among other things:</w:t>
      </w:r>
    </w:p>
    <w:p>
      <w:pPr>
        <w:spacing w:after="0" w:line="225" w:lineRule="exact"/>
        <w:rPr>
          <w:sz w:val="20"/>
          <w:szCs w:val="20"/>
          <w:color w:val="auto"/>
        </w:rPr>
      </w:pPr>
    </w:p>
    <w:p>
      <w:pPr>
        <w:ind w:left="1260" w:hanging="604"/>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your business;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have not engaged in and have no intent to engage in (nor have you entered into any arrangement or understanding with any person or entity to participate in) a distribution of the new notes in violation of the provisions of the Securities Act;</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not an “affiliate” (within the meaning of Rule 405 under the Securities Act) of Weatherford International, LLC or the guarantors; and</w:t>
      </w:r>
    </w:p>
    <w:p>
      <w:pPr>
        <w:spacing w:after="0" w:line="170" w:lineRule="exact"/>
        <w:rPr>
          <w:rFonts w:ascii="Arial" w:cs="Arial" w:eastAsia="Arial" w:hAnsi="Arial"/>
          <w:sz w:val="18"/>
          <w:szCs w:val="18"/>
          <w:color w:val="auto"/>
        </w:rPr>
      </w:pPr>
    </w:p>
    <w:p>
      <w:pPr>
        <w:ind w:left="1300" w:right="180" w:hanging="644"/>
        <w:spacing w:after="0" w:line="264"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that were acquired as a result of market-making activities or other trading activities, then you will deliver a prospectus (or to the extent permitted by law, make available a prospectus to purchasers) in connection with any resale of the new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Except as otherwise provided in this prospectus, you may withdraw your tender at any time prior to 5:00 p.m., New York City time, on the expiration date. For a withdrawal to be effective you must comply with the appropriate ATOP procedures. Any notice of withdrawal must specify the name and number of the account at DTC to be credited with withdrawn old notes and otherwise comply with the ATOP procedures.</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will determine all questions as to the validity, form, eligibility and time of receipt of a notice of withdrawal. Our determination shall be final and binding on all parties. We will deem any old notes so withdrawn not to have been validly tendered for exchange for purposes of the exchange offer.</w:t>
      </w:r>
    </w:p>
    <w:p>
      <w:pPr>
        <w:spacing w:after="0" w:line="12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Any old notes that have been tendered for exchange but that are not exchanged for any reason will be credited to an account maintained with DTC for the old notes. This return or crediting will take place promptly upon withdrawal, rejection of tender, expiration or termination of the exchange offer. You may retender properly withdrawn old notes by following the procedures described under “—Procedures for Tendering” above at any time on or prior to the expiration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 by e-mail, telephone or in person by our officers and regular employees and those of our affiliates.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pay the cash expenses to be incurred in connection with the exchange offer. They include SEC registration fees, fees and expenses of the exchange agent and trustee, accounting and legal fees and printing costs and related fees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will pay all transfer taxes, if any, applicable to the exchange of old notes for new notes in the exchange offer. Each tendering holder, however, will be required to pay any transfer taxes, whether imposed on the registered holder or any other person, if a transfer tax is imposed for any reason other than the exchange of old notes for new notes in the exchange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If you do not exchange your old notes for new notes in the exchange offer, the old notes you hold will remain outstanding and continue to accrue interest, but will continue to be subject to the existing restrictions on transfer. In general, you may not offer or sell the old notes except under an exemption from, or in a transaction not subject to, the Securities Act and applicable state securities laws. After the expiration of this exchange offer, we do not intend to register old notes under the Securities Act unless the registration rights agreement requires us to do so.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will record the new notes in our accounting records at the same carrying value as the old notes. This carrying value is the aggregate principal amount of the old notes, as reflected in our accounting records on the date of exchange. Accordingly, we will not recognize any gain or loss for accounting purposes in connection with the exchange offer, other than the recognition of the fees and expenses of the exchange offer as stated under “—Fees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Participation in the exchange offer is voluntary, and you should consider carefully whether to accept. You are urged to consult your financial and tax advisors in making your own decision on what action to take.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subsequent exchange offers or otherwise. We have no present plans to acquire any old notes that are not tendered in the exchange offer or to file a registration statement to permit resales of any untendered old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9"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See “Where You Can Find Additional Information; Incorporation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 revolving credit facility (as amended and supplemented, the “Revolving Credit Agreement”), a secured term loan agreement (as amended, the “Term Loan Agreement”) and a 364-day revolving credit agreement (the “364-Day Credit Agreement” and, together with the Revolving Credit Agreement and the Term Loan Agreement, the “Credit Agreements”) with, among others, JPMorgan Chase Bank, N.A., as administrative agent and lender. Our Credit Agreements contain customary events of default, including our failure to comply with financial covenants. On April 17, 2017, we amended the Revolving Credit Agreement and Term Loan Agreement to effect certain definitional and covenant modifications and to reduce total commitments under the Revolving Credit Agreement from $1.38 billion to $1.199 billion. On August 16, 2018, we further amended the Revolving Credit Agreement and Term Loan Agreement to effect certain definitional and covenant modifications and extend and reduce the commitments of certain lenders in connection with entry into the 364-Day Credit Agreement.</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Obligations under the Credit Agreements are guaranteed by Weatherford Ireland and a material portion of its subsidiaries. Obligations under the Term Loan Agreement are secured by substantially all of Weatherford Ireland’s and certain of its subsidiaries’ assets, including the equity and assets of a material portion of its subsidiaries. Obligations under the 364-Day Credit Agreement are secured by the current assets of certain subsidiaries of Weatherford Ireland.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At September 30, 2018, we had total commitments under the Revolving Credit Agreement maturing in July of 2019 (as to certain lenders who have not agreed to extend their revolving commitment under the Revolving Credit Agreement, such lenders, the “non-extending lenders”) of $226 million and July of 2020 (as to the remaining lenders who agreed to extend their revolving commitment under the Revolving Credit Agreement, such lenders, the “extending lenders”) however, </w:t>
      </w:r>
      <w:r>
        <w:rPr>
          <w:rFonts w:ascii="Arial" w:cs="Arial" w:eastAsia="Arial" w:hAnsi="Arial"/>
          <w:sz w:val="17"/>
          <w:szCs w:val="17"/>
          <w:color w:val="auto"/>
        </w:rPr>
        <w:t>commitments from our extending lenders were reduced by $54 million to $172 million on November 14, 2018. At September 30,</w:t>
      </w:r>
      <w:r>
        <w:rPr>
          <w:rFonts w:ascii="Arial" w:cs="Arial" w:eastAsia="Arial" w:hAnsi="Arial"/>
          <w:sz w:val="18"/>
          <w:szCs w:val="18"/>
          <w:color w:val="auto"/>
        </w:rPr>
        <w:t xml:space="preserve"> </w:t>
      </w:r>
      <w:r>
        <w:rPr>
          <w:rFonts w:ascii="Arial" w:cs="Arial" w:eastAsia="Arial" w:hAnsi="Arial"/>
          <w:sz w:val="17"/>
          <w:szCs w:val="17"/>
          <w:color w:val="auto"/>
        </w:rPr>
        <w:t xml:space="preserve">2018, we had total commitments </w:t>
      </w:r>
      <w:r>
        <w:rPr>
          <w:rFonts w:ascii="Arial" w:cs="Arial" w:eastAsia="Arial" w:hAnsi="Arial"/>
          <w:sz w:val="18"/>
          <w:szCs w:val="18"/>
          <w:color w:val="auto"/>
        </w:rPr>
        <w:t>of $357 million, borrowings of $338 million under our Term Loan Agreement maturing in July of 2020 and borrowings of</w:t>
      </w:r>
      <w:r>
        <w:rPr>
          <w:rFonts w:ascii="Arial" w:cs="Arial" w:eastAsia="Arial" w:hAnsi="Arial"/>
          <w:sz w:val="17"/>
          <w:szCs w:val="17"/>
          <w:color w:val="auto"/>
        </w:rPr>
        <w:t xml:space="preserve"> </w:t>
      </w:r>
      <w:r>
        <w:rPr>
          <w:rFonts w:ascii="Arial" w:cs="Arial" w:eastAsia="Arial" w:hAnsi="Arial"/>
          <w:sz w:val="18"/>
          <w:szCs w:val="18"/>
          <w:color w:val="auto"/>
        </w:rPr>
        <w:t>$317 million under our 364-Day Credit Agreement maturing in August of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Loans under the Credit Agreements are subject to varying rates of interest based on whether the loan is a Eurodollar loan or an alternate base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1.925% to 3.700% depending on the Specified Senior Leverage Ratio, and for extending lenders under the Revolving Credit Agreement the applicable margin ranges from 2.675% to 4.450% depending on the Specified Senior Leverage Ratio (as defined in the Revolving Credit Agreement). The applicable margin for Eurodollar loans under the Term Loan Agreement ranges from 1.425% to 3.2% depending on the Specified Senior Leverage Ratio. The applicable margin for Eurodollar loans under the 364-Day Credit Agreement ranges from 2.175% to 3.95% depending on the Specified Senior Leverage Ratio.</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1.675% to 3.450% depending on the Specified Senior Leverage Ratio,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 The applicable margin for alternate base rate loans under the 364-Day Credit Agreement ranges from 1.175% to 2.95% depending on the Specified Senior Leverage Ratio.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Credit Agreements contain the following customary covenants, among others:</w:t>
      </w:r>
    </w:p>
    <w:p>
      <w:pPr>
        <w:spacing w:after="0" w:line="225" w:lineRule="exact"/>
        <w:rPr>
          <w:sz w:val="20"/>
          <w:szCs w:val="20"/>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Senior Leverage Ratio of no greater than 2.5 to 1.</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Leverage and LC Ratio of no greater than 3.5 to 1.</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Specified Asset Coverage Ratio of at least 4 to 1.</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Current Asset Coverage Ratio of not less than 2.1 to 1.</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Notes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existing senior notes represent our senior obligations and rank equally with all of our other existing and future senior indebtedness, including the new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Weatherford Bermuda and Weatherford Delaware, as applicable, had outstanding the following series of senior notes:</w:t>
      </w:r>
    </w:p>
    <w:p>
      <w:pPr>
        <w:spacing w:after="0" w:line="248" w:lineRule="exact"/>
        <w:rPr>
          <w:sz w:val="20"/>
          <w:szCs w:val="20"/>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$364 million in aggregate amount of our 5.125% senior notes due 2020;</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$743 million in aggregate amount of our 7.750% senior notes due 2021;</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$643 million in aggregate amount of our 4.50% senior notes due 2022;</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$741 million in aggregate amount of our 8.250% senior notes due 2023;</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$781 million in aggregate amount of our 9.875% senior notes due 2024;</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$447 million in aggregate amount of our 6.50% senior notes due 2036;</w:t>
      </w:r>
    </w:p>
    <w:p>
      <w:pPr>
        <w:spacing w:after="0" w:line="225" w:lineRule="exact"/>
        <w:rPr>
          <w:rFonts w:ascii="Arial" w:cs="Arial" w:eastAsia="Arial" w:hAnsi="Arial"/>
          <w:sz w:val="18"/>
          <w:szCs w:val="18"/>
          <w:color w:val="auto"/>
        </w:rPr>
      </w:pPr>
    </w:p>
    <w:p>
      <w:pPr>
        <w:ind w:left="5620" w:right="5040" w:hanging="4964"/>
        <w:spacing w:after="0" w:line="573" w:lineRule="auto"/>
        <w:tabs>
          <w:tab w:leader="none" w:pos="12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$255 million in aggregate amount of our 6.80% senior notes due 2037;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604"/>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$456 million in aggregate amount of our 7.00% senior notes due 2038;</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$245 million in aggregate amount of our 9.875% senior notes due 2039;</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$457 million in aggregate amount of our 6.75% senior notes due 2040;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$369 million in aggregate amount of our 5.95% senior notes due 2042.</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a tender offer that closed on February 28, 2018, we repurchased $425 million in aggregate amount of our 9.625% senior notes due 2019. In April 2018, we repaid the remaining principal outstanding pursuant to an early redemption of the 9.625% senior notes due 2019 that remained outstanding following the tender offer.</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16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the above, our 7.750% senior notes due 2021, 8.250% senior notes due 2023 and 9.875% senior notes due 2024 have additional limitations on, among other things, Weatherford Ireland’s and its restricted subsidiaries’ ability to:</w:t>
      </w:r>
    </w:p>
    <w:p>
      <w:pPr>
        <w:spacing w:after="0" w:line="170" w:lineRule="exact"/>
        <w:rPr>
          <w:sz w:val="20"/>
          <w:szCs w:val="20"/>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certain types of equity securities;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repurchase equity or subordinated debt;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or loans;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unscheduled payments on subordinated indebtedness;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amalgamate, merge or transfer their assets as, or substantially as, an entirety;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sale-leaseback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7, 2016, Weatherford Bermuda issued $1.265 billion aggregate principal amount of 5.875% Exchangeable Senior Notes due 2021 (the “Exchangeable Notes”). The Exchangeable Notes bear cash interest from June 7, 2016 at an annual rate of 5.875%, payable semi-annually in arrears on July 1 and January 1 of each year, beginning on January 1, 2017. The Exchangeable Notes mature on July 1, 2021, unless earlier repurchased, redeemed or exchanged. The Exchangeable Notes are fully and unconditionally guaranteed, on a senior, unsecured basis, by Weatherford Ireland and Weatherford Delaware.</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 Weatherford Bermuda to repurchase its Exchangeable Notes at a cash repurchase price equal to the principal amount of the Exchangeable Notes to be repurchased, plus accrued and unpaid interest.</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Exchangeable Notes and the related guarantees are senior, unsecured obligations of Weatherford Bermuda and the guarantors, respectively, and are (1) equal in right of payment with existing and future senior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NOTES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are offering to exchange up to $600 million aggregate principal amount of our new 9.875% Senior Notes due 2025, which have been registered under the Securities Act, referred to in this prospectus as the “new notes,” for any and all of our outstanding unregistered 9.875% Senior Notes due 2025, referred to in this prospectus as the “old notes.” We issued $600 million aggregate principal amount of old notes on February 28, 2018, in a transaction exempt from registration under the Securities Act. We are offering new notes to the holders of the old notes in exchange for such notes in order to satisfy our registration obligations under the registration rights agreement that we entered into in connection with the issuance of the old notes.</w:t>
      </w:r>
    </w:p>
    <w:p>
      <w:pPr>
        <w:spacing w:after="0" w:line="15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new notes will be treated as a single class with any old notes that remain outstanding after the completion of the exchange offer. The new notes will be issued, and the old notes are currently outstanding, under an indenture dated as of June 18, 2007 (the “Base Indenture”), among Weatherford International, LLC, a Delaware limited liability company (the “Issuer”), Weatherford International plc, an Irish public limited company (the “Parent Guarantor”), Weatherford International Ltd., a Bermuda exempted company (“Weatherford Bermuda”), as the initial Subsidiary Guarantor, and Deutsche Bank Trust Company Americas, as trustee (the “Trustee”), as amended and supplemented by several supplemental indentures, including the Sixth Supplemental Indenture dated February 28, 2018, that established the form and terms of the notes. We refer to the Base Indenture, as amended and supplemented by such supplemental indentures, as the “Indenture.” You may obtain a copy of each of the Base Indenture and such supplemental indentures from the Issuer at its address set forth elsewhere in this prospectus— in the section “Where You Can Find Additional Information; Incorporation by Reference.”</w:t>
      </w:r>
    </w:p>
    <w:p>
      <w:pPr>
        <w:spacing w:after="0" w:line="197"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following is a summary of the material terms and provisions of the notes, the Indenture and the registration rights agreement. The following summary does not purport to be a complete description of the notes, the Indenture and the registration rights agreement, and is subject to the detailed provisions of, and qualified in its entirety by reference to, the notes, the Indenture and the registration rights agreement, which are filed as exhibits to the registration statement of which this prospectus is a part, for a complete description of our obligations and your rights under the notes, the Indenture and the registration rights agreement. You can find definitions of certain terms used in this description under the heading “—Certain Definitions.”</w:t>
      </w:r>
    </w:p>
    <w:p>
      <w:pPr>
        <w:spacing w:after="0" w:line="15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this description, the terms “Issuer,” “Company,” “we,” “us” and “our” refers to Weatherford International, LLC, the issuer of the new notes offered hereby. The term “Notes” in this section of the prospectus includes the old notes issued on February 28, 2018, as well as the new notes, unless the context otherwise requires.</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the exchange offer is consummated, Holders of old notes who do not exchange their old notes for new notes will vote together with the Holders of the new notes for all relevant purposes under the Indenture. In that regard, the Indenture requires that certain actions by the Holders under the Indenture (including acceleration after an Event of Default as defined in “—Events of Defaults” below) must be taken, and certain rights must be exercised, by Holders of specified minimum percentages of the aggregate principal amount of all outstanding Notes issued under the Indenture. In determining whether Holders of the requisite percentage in aggregate principal amount of Notes have given any notice, consent or waiver or taken any other action permitted or required under the Indenture, any old notes that remain outstanding after the exchange offer will be aggregated with the new notes, and the Holders of these old notes and the new notes will vote together as a single class for all such purposes. Accordingly, all references in this “Description of New Notes” to specified percentages in aggregate principal amount of the outstanding Notes mean, at any time after the exchange offer for the old notes is consummated, such percentage in aggregate principal amount of such old notes and the new notes then outstanding.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Holder of a Note will be treated as the owner of it for all purposes. Only registered Holders will have rights under the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Principal of and interest on the new notes will be payable, and the new notes may be exchanged or transferred, at our office or agency in the City and State of New York (which initially shall be the corporate trust office of the Trustee), except that, at our option, payment of interest may be made by check mailed to the address of the Holders as such address appears in the note register.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new notes will be issued only in fully registered form, without coupons, in denominations of $2,000 and any integral multiple of $1,000 in excess thereof. No service charge shall be made for any registration of transfer or exchange of Notes, but we may require payment of a sum sufficient to cover any transfer tax or other similar governmental charge payable in connection therewith.</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Subject to the covenants described below under “—Certain Covenants,” the Company may issue additional Notes under the Indenture in unlimited principal amounts; provided that the Additional Notes are fungible with the Notes for U.S. federal income tax purposes so that such Additional Notes will trade as a single class with the Notes (any Notes so issued, “Additional Notes”). The Notes and any Additional Notes subsequently issued under the Indenture would be treated as a single class for all purposes under the Indenture, in each case including waivers, amendments, redemptions and offers to purchase. Unless the context otherwise requires, for all purposes of the Indenture and this “Description of New Notes,” references to the new notes include any Additional Notes actually issued.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New Notes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$600 million aggregate principal amount of new notes offered hereby will be senior, unsecured obligations of the Company. The new notes will mature on March 1, 2025 and bear interest at the rate per annum shown on the cover page of the prospectus from the most recent date to which interest has been paid or provided for, payable in cash semi-annually in arrears, on May and November 1 of each year, commencing on November 1, 2018, to Holders at the close of business on April 15 or October 15, as the case may be (whether or not a Business Day), immediately preceding the related interest payment date. Interest from November 1, 2024 to March 1, 2025 will be payable in cash in arrears on March 1, 2025, to Holders at the close of business on February 15, 2025. In the case of the new notes, all interest accrued on the old notes from the original issuance date, February 28, 2018, will be treated as having accrued on the new notes that are issued in exchange for the old notes. Interest on the new notes will be computed on the basis of a 360-day year of twelve 30-day months.</w:t>
      </w:r>
    </w:p>
    <w:p>
      <w:pPr>
        <w:spacing w:after="0" w:line="19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new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Certificated Notes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the senior, unsecured obligations of the Issuer and will be:</w:t>
      </w:r>
    </w:p>
    <w:p>
      <w:pPr>
        <w:spacing w:after="0" w:line="225" w:lineRule="exact"/>
        <w:rPr>
          <w:sz w:val="20"/>
          <w:szCs w:val="20"/>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Indebtedness;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225" w:lineRule="exact"/>
        <w:rPr>
          <w:rFonts w:ascii="Arial" w:cs="Arial" w:eastAsia="Arial" w:hAnsi="Arial"/>
          <w:sz w:val="18"/>
          <w:szCs w:val="18"/>
          <w:color w:val="auto"/>
        </w:rPr>
      </w:pPr>
    </w:p>
    <w:p>
      <w:pPr>
        <w:ind w:left="1300" w:right="940" w:hanging="644"/>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hanging="644"/>
        <w:spacing w:after="0" w:line="277"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 of the Notes by each Guarantor will be that Guarantor’s senior, unsecured obligation and will be:</w:t>
      </w:r>
    </w:p>
    <w:p>
      <w:pPr>
        <w:spacing w:after="0" w:line="225" w:lineRule="exact"/>
        <w:rPr>
          <w:sz w:val="20"/>
          <w:szCs w:val="20"/>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Indebtedness;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its Guarantee;</w:t>
      </w:r>
    </w:p>
    <w:p>
      <w:pPr>
        <w:spacing w:after="0" w:line="225"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170" w:lineRule="exact"/>
        <w:rPr>
          <w:rFonts w:ascii="Arial" w:cs="Arial" w:eastAsia="Arial" w:hAnsi="Arial"/>
          <w:sz w:val="18"/>
          <w:szCs w:val="18"/>
          <w:color w:val="auto"/>
        </w:rPr>
      </w:pPr>
    </w:p>
    <w:p>
      <w:pPr>
        <w:ind w:left="1300" w:right="600" w:hanging="644"/>
        <w:spacing w:after="0" w:line="308" w:lineRule="auto"/>
        <w:tabs>
          <w:tab w:leader="none" w:pos="12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6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As of September 30, 2018, the Parent Guarantor had total consolidated Indebtedness of approximately $8.0 billion substantially all of which, other than other than $338 million and $317 million of Indebtedness incurred under the Term Loan Agreement and 364-Day Credit Agreement, respectively, was unsecured Indebtedness of the Issuer or its subsidiaries guaranteed by the Guarantors and/or the Issuer and to which the Notes and the Guarantees will rank equal in right of payment. See “Risk Factors—Risks Relating to the New Notes and our Indebtedness—The new notes and the related guarantees will be effectively subordinated to any of our or the guarantors’ existing and future secured debt and structurally subordinated to the liabilities of our and our guarantors’ non-guarantor subsidiaries.”</w:t>
      </w:r>
    </w:p>
    <w:p>
      <w:pPr>
        <w:spacing w:after="0" w:line="193"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Although the Indenture contains limitations on the amount of additional secured Indebtedness that the Parent Guarantor and its Restricted Subsidiaries may incur, under certain circumstances, the amount of this Indebtedness could be substantial. See “—Certain Covenants—Limitation on Additional Indebtedness” and “—Certain Covenants—Limitation on Liens.”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Issuer’s obligations under the Indenture and old notes currently are, and the new notes will be, fully and unconditionally and jointly and severally guaranteed, on a senior unsecured basis, by the Parent Guarantor and Weatherford Bermuda. In the future, such obligations may also be guaranteed by certain other Restricted Subsidiaries of the Parent Guarantor as described under “—Certain Covenants—Additional Guarantees.”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Currently, none of the Parent Guarantor’s Subsidiaries guarantee the Notes, other than Weatherford Bermuda. In the event of a bankruptcy, liquidation or reorganization of any non-guarantor Subsidiaries, the non-guarantor Subsidiaries will pay the holders of their debt and their trade creditors before they will be able to distribute any of their assets to the Issuer or a Guarantor. As of September 30, 2018, the Parent Guarantor’s non-guarantor Subsidiaries (excluding the Issuer) had outstanding guarantees for approximately $8.0 million of the Issuer’s debt under the Revolving Credit Agreement, the Term Loan Agreement and the 364-Day Credit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obligations of each Guarantor under its Guarantee will be limited to the maximum amount as will, after giving effect to all other contingent and fixed liabilities of such Guarantor (including, without limitation, any guarantees under the Revolving Credit Agreement, the Term Loan Agreement and the 364-Day Credit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on the eve of insolvency, was rendered insolvent, was made with the dominant intention of preferring certain creditors over other creditors, was made with the dominant intention of putting property beyond the reach of creditors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New Notes and our Indebtedness—U.S. Federal and state laws, Bermuda law and Irish law allow courts, under specific circumstances, to void guarantees and require noteholders to return payments received from guarantors.”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Guarantor shall be released automatically from its obligations under its Guarantee and its other obligations under the Indenture upon: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300" w:hanging="644"/>
        <w:spacing w:after="0" w:line="264" w:lineRule="auto"/>
        <w:tabs>
          <w:tab w:leader="none" w:pos="12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225" w:lineRule="exact"/>
        <w:rPr>
          <w:rFonts w:ascii="Arial" w:cs="Arial" w:eastAsia="Arial" w:hAnsi="Arial"/>
          <w:sz w:val="18"/>
          <w:szCs w:val="18"/>
          <w:color w:val="auto"/>
        </w:rPr>
      </w:pPr>
    </w:p>
    <w:p>
      <w:pPr>
        <w:ind w:left="1300" w:right="500" w:hanging="644"/>
        <w:spacing w:after="0" w:line="264"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 Subsidiary Guarantor, provided that no Event of Default has occurred and is continuing, all Debt which required such Subsidiary Guarantor to guarantee the Notes pursuant to the covenant described below under the caption “—Certain Covenants— Additional Guarantees” is no longer outstanding;</w:t>
      </w:r>
    </w:p>
    <w:p>
      <w:pPr>
        <w:spacing w:after="0" w:line="181" w:lineRule="exact"/>
        <w:rPr>
          <w:rFonts w:ascii="Arial" w:cs="Arial" w:eastAsia="Arial" w:hAnsi="Arial"/>
          <w:sz w:val="18"/>
          <w:szCs w:val="18"/>
          <w:color w:val="auto"/>
        </w:rPr>
      </w:pPr>
    </w:p>
    <w:p>
      <w:pPr>
        <w:ind w:left="1300" w:right="100" w:hanging="644"/>
        <w:spacing w:after="0" w:line="277" w:lineRule="auto"/>
        <w:tabs>
          <w:tab w:leader="none" w:pos="1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or covenant defeasance or satisfaction and discharge of the Indenture as provided below under the captions “—Legal Defeasance and Covenant Defeasance” and “—Satisfaction and Discharge”;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liquidation and dissolution of such Guarantor, provided no Default or Event of Default has occurred that is continuing;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652"/>
        <w:spacing w:after="0" w:line="342" w:lineRule="auto"/>
        <w:tabs>
          <w:tab w:leader="none" w:pos="66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At any time on or after, December 1, 2024 (three months prior to their maturity date) (the “Notes Par Call Date”), the Notes will be redeemable, at our option, in whole or in part, at a price equal to 100% of the principal amount of the Notes to be redeemed, plus accrued and unpaid interest to the redemption date (subject to the right of Holders of record on the relevant record date to receive interest due on the relevant interest payment date).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Make-Whole Redemption</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at any time prior to the Notes Par Call Date, the Notes will be redeemable, at our option, at any time in whole, or from time to time in part, at a price equal to the greater of:</w:t>
      </w:r>
    </w:p>
    <w:p>
      <w:pPr>
        <w:spacing w:after="0" w:line="170" w:lineRule="exact"/>
        <w:rPr>
          <w:sz w:val="20"/>
          <w:szCs w:val="20"/>
          <w:color w:val="auto"/>
        </w:rPr>
      </w:pPr>
    </w:p>
    <w:p>
      <w:pPr>
        <w:ind w:left="1260" w:hanging="6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25" w:lineRule="exact"/>
        <w:rPr>
          <w:rFonts w:ascii="Arial" w:cs="Arial" w:eastAsia="Arial" w:hAnsi="Arial"/>
          <w:sz w:val="18"/>
          <w:szCs w:val="18"/>
          <w:color w:val="auto"/>
        </w:rPr>
      </w:pPr>
    </w:p>
    <w:p>
      <w:pPr>
        <w:ind w:left="1300" w:hanging="644"/>
        <w:spacing w:after="0" w:line="279" w:lineRule="auto"/>
        <w:tabs>
          <w:tab w:leader="none" w:pos="12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(at the rate in effect on the date of calculation of the redemption price) on the Notes to be redeemed (exclusive of interest accrued to, but not including, the redemption date) that would have been due if the Notes had matured on the Notes Par Call Date, discounted to the redemption date on a semi-annual basis (assuming a 360-day year consisting of twelve 30-day months) at the applicable Treasury Yield plus 50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applicable to the Notes,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4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Independent Investment Banker as having a maturity comparable to the remaining term of the Notes to be redeemed, calculated as if the maturity date of the Notes were the Notes Par Call Date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Notes Par Call Date,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6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Deutsche Bank Securities Inc. and its successors or, if such firm is not willing and able to select the applicable Comparable Treasury Issue, an independent investment banking institution of national standing appointed by the Issuer.</w:t>
      </w:r>
    </w:p>
    <w:p>
      <w:pPr>
        <w:spacing w:after="0" w:line="14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Deutsche Bank Securities Inc. so long as it is a primary U.S. Government securities dealer in the United States (a “Primary Treasury Dealer”) at the relevant time and, if it is not then a Primary Treasury Dealer, then a Primary Treasury Dealer selected by it, and its successors, plus at least three other Primary Treasury Dealers selected by us.</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(expressed in each case as a percentage of its principal amount) quoted in writing to the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Provisions Respecting Any Redemption</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If a redemption date is after a regular record date and on or before the next interest payment date, then (i) the Holder of a Note at the close of business on such regular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not be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$2,000 in original principal amount or less shall be redeemed in part.</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Redemption—Make-Whole Redemption” need not set forth the redemption price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Repurchase Event</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Upon the occurrence of a Change of Control Triggering Event, unless the Issuer has previously or concurrently exercised its right to redeem all of the Notes as described under “—Optional Redemption,” each Holder of Notes will have the right, except as provided below, to require that the Issuer purchase all or any part (equal to $2,000 or an integral multiple of $1,000 in excess thereof) of that Holder’s Notes for a cash price equal to 101% of the aggregate principal amount of the Notes to be purchased, plus accrued and unpaid interest, if any, thereon to the date of purchase (the “Change of Control Payment”).</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17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225" w:lineRule="exact"/>
        <w:rPr>
          <w:rFonts w:ascii="Arial" w:cs="Arial" w:eastAsia="Arial" w:hAnsi="Arial"/>
          <w:sz w:val="18"/>
          <w:szCs w:val="18"/>
          <w:color w:val="auto"/>
        </w:rPr>
      </w:pPr>
    </w:p>
    <w:p>
      <w:pPr>
        <w:ind w:left="660" w:right="160" w:hanging="652"/>
        <w:spacing w:after="0" w:line="302" w:lineRule="auto"/>
        <w:tabs>
          <w:tab w:leader="none" w:pos="6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time on the second Business Day preceding the Change of Control Payment Date; and</w:t>
      </w:r>
    </w:p>
    <w:p>
      <w:pPr>
        <w:spacing w:after="0" w:line="154" w:lineRule="exact"/>
        <w:rPr>
          <w:rFonts w:ascii="Arial" w:cs="Arial" w:eastAsia="Arial" w:hAnsi="Arial"/>
          <w:sz w:val="16"/>
          <w:szCs w:val="16"/>
          <w:color w:val="auto"/>
        </w:rPr>
      </w:pPr>
    </w:p>
    <w:p>
      <w:pPr>
        <w:ind w:left="660" w:right="400" w:hanging="652"/>
        <w:spacing w:after="0" w:line="277" w:lineRule="auto"/>
        <w:tabs>
          <w:tab w:leader="none" w:pos="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225" w:lineRule="exact"/>
        <w:rPr>
          <w:sz w:val="20"/>
          <w:szCs w:val="20"/>
          <w:color w:val="auto"/>
        </w:rPr>
      </w:pPr>
    </w:p>
    <w:p>
      <w:pPr>
        <w:ind w:left="660" w:right="360" w:hanging="652"/>
        <w:spacing w:after="0" w:line="277" w:lineRule="auto"/>
        <w:tabs>
          <w:tab w:leader="none" w:pos="6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The Paying Agent will promptly deliver to each Holder who has so tendered Notes the Change of Control Payment for the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New Notes and our Indebtedness —We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Revolving Credit Agreement, the Term Loan Agreement or the 364-Day Credit Agreement and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initial purchasers of the old notes.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 otherwise effect the Parent Guarantor’s consolidated capital structure or credit ratings.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Restrictions on the ability of the Parent Guarantor and certain Subsidiaries to incur additional Indebtedness are contained in the covenants described under “—Certain Covenants—Limitation on Additional Indebtedness” and “—Certain Covenants—Limitation on Liens.” Except as described above with respect to a Change of Control, the Indenture does not contain provisions that permit the Holders to require that the Issuer purchase or redeem the Notes in the event of a takeover, recapitalization or similar transaction.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as described under “—Optional Redemption,” unless and until there is a default in the payment of the applicable redemption price.</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Holders of not less than 95%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9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As of the date the new notes are issued,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14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Unrestricted Subsidiary will not be subject to any of the restrictive covenants in the Indenture;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Unrestricted Subsidiary will not guarantee the Notes;</w:t>
      </w:r>
    </w:p>
    <w:p>
      <w:pPr>
        <w:spacing w:after="0" w:line="225" w:lineRule="exact"/>
        <w:rPr>
          <w:rFonts w:ascii="Arial" w:cs="Arial" w:eastAsia="Arial" w:hAnsi="Arial"/>
          <w:sz w:val="18"/>
          <w:szCs w:val="18"/>
          <w:color w:val="auto"/>
        </w:rPr>
      </w:pPr>
    </w:p>
    <w:p>
      <w:pPr>
        <w:ind w:left="660" w:right="520" w:hanging="652"/>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Subsidiary that has previously been a Guarantor and that is designated an Unrestricted Subsidiary will be released from its Guarantee and its obligations under the Indenture; and</w:t>
      </w:r>
    </w:p>
    <w:p>
      <w:pPr>
        <w:spacing w:after="0" w:line="170" w:lineRule="exact"/>
        <w:rPr>
          <w:rFonts w:ascii="Arial" w:cs="Arial" w:eastAsia="Arial" w:hAnsi="Arial"/>
          <w:sz w:val="18"/>
          <w:szCs w:val="18"/>
          <w:color w:val="auto"/>
        </w:rPr>
      </w:pPr>
    </w:p>
    <w:p>
      <w:pPr>
        <w:ind w:left="660" w:right="220" w:hanging="652"/>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 Termination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Following the first date that the Notes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described under the following subheadings:</w:t>
      </w:r>
    </w:p>
    <w:p>
      <w:pPr>
        <w:spacing w:after="0" w:line="18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 on Additional Indebtedness”;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 on Dividend and Other Restrictions Affecting Restricted Subsidiaries”;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 on Transactions with Affiliates”;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 on Designation of Unrestricted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Additional Indebtedness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225" w:lineRule="exact"/>
        <w:rPr>
          <w:sz w:val="20"/>
          <w:szCs w:val="20"/>
          <w:color w:val="auto"/>
        </w:rPr>
      </w:pPr>
    </w:p>
    <w:p>
      <w:pPr>
        <w:ind w:left="660" w:right="160" w:hanging="652"/>
        <w:spacing w:after="0" w:line="264" w:lineRule="auto"/>
        <w:tabs>
          <w:tab w:leader="none" w:pos="6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a principal amount equal to the face amount thereof) not to exceed the greater of (i) $2,000.0 million or (ii)17.5% of the Parent Guarantor’s Consolidated Tangible Assets determined at the time of incurrence;</w:t>
      </w:r>
    </w:p>
    <w:p>
      <w:pPr>
        <w:spacing w:after="0" w:line="17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Indebtedness under (a) the old notes issued on the Issue Date, (b) guarantees of the old notes, (c) any Exchange Notes (including the new notes) and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Guarantees of any Exchange Notes (including the new notes);</w:t>
      </w:r>
    </w:p>
    <w:p>
      <w:pPr>
        <w:spacing w:after="0" w:line="210" w:lineRule="exact"/>
        <w:rPr>
          <w:rFonts w:ascii="Arial" w:cs="Arial" w:eastAsia="Arial" w:hAnsi="Arial"/>
          <w:sz w:val="18"/>
          <w:szCs w:val="18"/>
          <w:color w:val="auto"/>
        </w:rPr>
      </w:pPr>
    </w:p>
    <w:p>
      <w:pPr>
        <w:ind w:left="660" w:right="100" w:hanging="652"/>
        <w:spacing w:after="0" w:line="277"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170" w:lineRule="exact"/>
        <w:rPr>
          <w:rFonts w:ascii="Arial" w:cs="Arial" w:eastAsia="Arial" w:hAnsi="Arial"/>
          <w:sz w:val="18"/>
          <w:szCs w:val="18"/>
          <w:color w:val="auto"/>
        </w:rPr>
      </w:pPr>
    </w:p>
    <w:p>
      <w:pPr>
        <w:ind w:left="660" w:right="20" w:hanging="652"/>
        <w:spacing w:after="0" w:line="259"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86"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170" w:lineRule="exact"/>
        <w:rPr>
          <w:rFonts w:ascii="Arial" w:cs="Arial" w:eastAsia="Arial" w:hAnsi="Arial"/>
          <w:sz w:val="18"/>
          <w:szCs w:val="18"/>
          <w:color w:val="auto"/>
        </w:rPr>
      </w:pPr>
    </w:p>
    <w:p>
      <w:pPr>
        <w:ind w:left="660" w:right="20" w:hanging="652"/>
        <w:spacing w:after="0" w:line="288" w:lineRule="auto"/>
        <w:tabs>
          <w:tab w:leader="none" w:pos="6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w:t>
      </w:r>
    </w:p>
    <w:p>
      <w:pPr>
        <w:ind w:left="660" w:right="540" w:hanging="4"/>
        <w:spacing w:after="0" w:line="290" w:lineRule="auto"/>
        <w:tabs>
          <w:tab w:leader="none" w:pos="92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61" w:lineRule="exact"/>
        <w:rPr>
          <w:rFonts w:ascii="Arial" w:cs="Arial" w:eastAsia="Arial" w:hAnsi="Arial"/>
          <w:sz w:val="17"/>
          <w:szCs w:val="17"/>
          <w:color w:val="auto"/>
        </w:rPr>
      </w:pPr>
    </w:p>
    <w:p>
      <w:pPr>
        <w:ind w:left="660" w:right="120" w:hanging="652"/>
        <w:spacing w:after="0" w:line="291" w:lineRule="auto"/>
        <w:tabs>
          <w:tab w:leader="none" w:pos="6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67" w:lineRule="exact"/>
        <w:rPr>
          <w:rFonts w:ascii="Arial" w:cs="Arial" w:eastAsia="Arial" w:hAnsi="Arial"/>
          <w:sz w:val="16"/>
          <w:szCs w:val="16"/>
          <w:color w:val="auto"/>
        </w:rPr>
      </w:pPr>
    </w:p>
    <w:p>
      <w:pPr>
        <w:jc w:val="both"/>
        <w:ind w:left="660" w:right="120" w:hanging="652"/>
        <w:spacing w:after="0" w:line="264" w:lineRule="auto"/>
        <w:tabs>
          <w:tab w:leader="none" w:pos="6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 (b) 5.0% of the Parent Guarantor’s Consolidated Tangible Assets determined at the time of incurrence;</w:t>
      </w:r>
    </w:p>
    <w:p>
      <w:pPr>
        <w:spacing w:after="0" w:line="181"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170" w:lineRule="exact"/>
        <w:rPr>
          <w:rFonts w:ascii="Arial" w:cs="Arial" w:eastAsia="Arial" w:hAnsi="Arial"/>
          <w:sz w:val="18"/>
          <w:szCs w:val="18"/>
          <w:color w:val="auto"/>
        </w:rPr>
      </w:pPr>
    </w:p>
    <w:p>
      <w:pPr>
        <w:ind w:left="660" w:hanging="652"/>
        <w:spacing w:after="0" w:line="264" w:lineRule="auto"/>
        <w:tabs>
          <w:tab w:leader="none" w:pos="6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Indebtedness incurred by any Person acquiring all or any portion of such business, assets or Equity Interests for the purpose of financing or in contemplation of any such acquisition;</w:t>
      </w:r>
    </w:p>
    <w:p>
      <w:pPr>
        <w:spacing w:after="0" w:line="170" w:lineRule="exact"/>
        <w:rPr>
          <w:sz w:val="20"/>
          <w:szCs w:val="20"/>
          <w:color w:val="auto"/>
        </w:rPr>
      </w:pPr>
    </w:p>
    <w:p>
      <w:pPr>
        <w:ind w:left="660" w:hanging="652"/>
        <w:spacing w:after="0" w:line="312" w:lineRule="auto"/>
        <w:tabs>
          <w:tab w:leader="none" w:pos="66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170" w:lineRule="exact"/>
        <w:rPr>
          <w:rFonts w:ascii="Arial" w:cs="Arial" w:eastAsia="Arial" w:hAnsi="Arial"/>
          <w:sz w:val="18"/>
          <w:szCs w:val="18"/>
          <w:color w:val="auto"/>
        </w:rPr>
      </w:pPr>
    </w:p>
    <w:p>
      <w:pPr>
        <w:ind w:left="660" w:right="20" w:hanging="652"/>
        <w:spacing w:after="0" w:line="271" w:lineRule="auto"/>
        <w:tabs>
          <w:tab w:leader="none" w:pos="663"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Revolving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Indebtedness being refinanced, shall be calculated based on the currency exchange rate applicable to the currencies in which such Refinancing Indebtedness is denominated that is in effect on the date of such refinancing.</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“—Limitation on Additional Indebtedness” covenant, the Issuer shall be in Default of this covenant).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specified in the Indenture pursuant to which such Restricted Subsidiary shall become a Guarantor with respect to the Notes, upon the terms and subject to the release provisions and other limitations described under “— Guarantees.”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Restricted Payments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17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225" w:lineRule="exact"/>
        <w:rPr>
          <w:rFonts w:ascii="Arial" w:cs="Arial" w:eastAsia="Arial" w:hAnsi="Arial"/>
          <w:sz w:val="18"/>
          <w:szCs w:val="18"/>
          <w:color w:val="auto"/>
        </w:rPr>
      </w:pPr>
    </w:p>
    <w:p>
      <w:pPr>
        <w:ind w:left="660" w:right="120" w:hanging="652"/>
        <w:spacing w:after="0" w:line="264" w:lineRule="auto"/>
        <w:tabs>
          <w:tab w:leader="none" w:pos="6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6" w:lineRule="exact"/>
        <w:rPr>
          <w:rFonts w:ascii="Arial" w:cs="Arial" w:eastAsia="Arial" w:hAnsi="Arial"/>
          <w:sz w:val="18"/>
          <w:szCs w:val="18"/>
          <w:color w:val="auto"/>
        </w:rPr>
      </w:pPr>
    </w:p>
    <w:p>
      <w:pPr>
        <w:ind w:left="1300" w:right="20" w:hanging="644"/>
        <w:spacing w:after="0" w:line="289" w:lineRule="auto"/>
        <w:tabs>
          <w:tab w:leader="none" w:pos="1307" w:val="left"/>
        </w:tabs>
        <w:numPr>
          <w:ilvl w:val="1"/>
          <w:numId w:val="39"/>
        </w:numPr>
        <w:rPr>
          <w:rFonts w:ascii="Arial" w:cs="Arial" w:eastAsia="Arial" w:hAnsi="Arial"/>
          <w:sz w:val="16"/>
          <w:szCs w:val="16"/>
          <w:color w:val="auto"/>
        </w:rPr>
      </w:pPr>
      <w:r>
        <w:rPr>
          <w:rFonts w:ascii="Arial" w:cs="Arial" w:eastAsia="Arial" w:hAnsi="Arial"/>
          <w:sz w:val="16"/>
          <w:szCs w:val="16"/>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June 17, 2016 (the “Prior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66" w:lineRule="exact"/>
        <w:rPr>
          <w:rFonts w:ascii="Arial" w:cs="Arial" w:eastAsia="Arial" w:hAnsi="Arial"/>
          <w:sz w:val="16"/>
          <w:szCs w:val="16"/>
          <w:color w:val="auto"/>
        </w:rPr>
      </w:pPr>
    </w:p>
    <w:p>
      <w:pPr>
        <w:ind w:left="1300" w:right="360" w:hanging="644"/>
        <w:spacing w:after="0" w:line="259" w:lineRule="auto"/>
        <w:tabs>
          <w:tab w:leader="none" w:pos="13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Prior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hanging="644"/>
        <w:spacing w:after="0" w:line="302" w:lineRule="auto"/>
        <w:tabs>
          <w:tab w:leader="none" w:pos="13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225" w:lineRule="exact"/>
        <w:rPr>
          <w:sz w:val="20"/>
          <w:szCs w:val="20"/>
          <w:color w:val="auto"/>
        </w:rPr>
      </w:pPr>
    </w:p>
    <w:p>
      <w:pPr>
        <w:ind w:left="660" w:right="40" w:hanging="652"/>
        <w:spacing w:after="0" w:line="342" w:lineRule="auto"/>
        <w:tabs>
          <w:tab w:leader="none" w:pos="6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Restricted Payment made in exchange for, or out of the proceeds of, the substantially concurrent issuance and sale of Qualified Equity Interests;</w:t>
      </w:r>
    </w:p>
    <w:p>
      <w:pPr>
        <w:spacing w:after="0" w:line="248" w:lineRule="exact"/>
        <w:rPr>
          <w:rFonts w:ascii="Arial" w:cs="Arial" w:eastAsia="Arial" w:hAnsi="Arial"/>
          <w:sz w:val="16"/>
          <w:szCs w:val="16"/>
          <w:color w:val="auto"/>
        </w:rPr>
      </w:pPr>
    </w:p>
    <w:p>
      <w:pPr>
        <w:ind w:left="660" w:right="140" w:hanging="652"/>
        <w:spacing w:after="0" w:line="259" w:lineRule="auto"/>
        <w:tabs>
          <w:tab w:leader="none" w:pos="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186" w:lineRule="exact"/>
        <w:rPr>
          <w:rFonts w:ascii="Arial" w:cs="Arial" w:eastAsia="Arial" w:hAnsi="Arial"/>
          <w:sz w:val="18"/>
          <w:szCs w:val="18"/>
          <w:color w:val="auto"/>
        </w:rPr>
      </w:pPr>
    </w:p>
    <w:p>
      <w:pPr>
        <w:ind w:left="660" w:hanging="652"/>
        <w:spacing w:after="0" w:line="255" w:lineRule="auto"/>
        <w:tabs>
          <w:tab w:leader="none" w:pos="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 such covenant and has completed the repurchase or redemption of all Notes validly tendered for payment in connection with such Change of Control Offer;</w:t>
      </w:r>
    </w:p>
    <w:p>
      <w:pPr>
        <w:spacing w:after="0" w:line="193" w:lineRule="exact"/>
        <w:rPr>
          <w:rFonts w:ascii="Arial" w:cs="Arial" w:eastAsia="Arial" w:hAnsi="Arial"/>
          <w:sz w:val="18"/>
          <w:szCs w:val="18"/>
          <w:color w:val="auto"/>
        </w:rPr>
      </w:pPr>
    </w:p>
    <w:p>
      <w:pPr>
        <w:ind w:left="660" w:right="60" w:hanging="652"/>
        <w:spacing w:after="0" w:line="268" w:lineRule="auto"/>
        <w:tabs>
          <w:tab w:leader="none" w:pos="6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87" w:lineRule="exact"/>
        <w:rPr>
          <w:rFonts w:ascii="Arial" w:cs="Arial" w:eastAsia="Arial" w:hAnsi="Arial"/>
          <w:sz w:val="17"/>
          <w:szCs w:val="17"/>
          <w:color w:val="auto"/>
        </w:rPr>
      </w:pPr>
    </w:p>
    <w:p>
      <w:pPr>
        <w:ind w:left="660" w:right="60" w:hanging="652"/>
        <w:spacing w:after="0" w:line="279" w:lineRule="auto"/>
        <w:tabs>
          <w:tab w:leader="none" w:pos="6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retirements for value of Equity Interests of the Parent Guarantor or its Restricted Subsidiaries made in lieu of withholding taxes in connection with any exercise or exchange of stock options, warrants or similar rights;</w:t>
      </w:r>
    </w:p>
    <w:p>
      <w:pPr>
        <w:spacing w:after="0" w:line="170" w:lineRule="exact"/>
        <w:rPr>
          <w:sz w:val="20"/>
          <w:szCs w:val="20"/>
          <w:color w:val="auto"/>
        </w:rPr>
      </w:pPr>
    </w:p>
    <w:p>
      <w:pPr>
        <w:ind w:left="660" w:right="80" w:hanging="652"/>
        <w:spacing w:after="0" w:line="264" w:lineRule="auto"/>
        <w:tabs>
          <w:tab w:leader="none" w:pos="6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225" w:lineRule="exact"/>
        <w:rPr>
          <w:rFonts w:ascii="Arial" w:cs="Arial" w:eastAsia="Arial" w:hAnsi="Arial"/>
          <w:sz w:val="18"/>
          <w:szCs w:val="18"/>
          <w:color w:val="auto"/>
        </w:rPr>
      </w:pPr>
    </w:p>
    <w:p>
      <w:pPr>
        <w:ind w:left="660" w:right="360" w:hanging="652"/>
        <w:spacing w:after="0" w:line="277" w:lineRule="auto"/>
        <w:tabs>
          <w:tab w:leader="none" w:pos="6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170" w:lineRule="exact"/>
        <w:rPr>
          <w:rFonts w:ascii="Arial" w:cs="Arial" w:eastAsia="Arial" w:hAnsi="Arial"/>
          <w:sz w:val="18"/>
          <w:szCs w:val="18"/>
          <w:color w:val="auto"/>
        </w:rPr>
      </w:pPr>
    </w:p>
    <w:p>
      <w:pPr>
        <w:ind w:left="660" w:right="80" w:hanging="652"/>
        <w:spacing w:after="0" w:line="27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170" w:lineRule="exact"/>
        <w:rPr>
          <w:rFonts w:ascii="Arial" w:cs="Arial" w:eastAsia="Arial" w:hAnsi="Arial"/>
          <w:sz w:val="18"/>
          <w:szCs w:val="18"/>
          <w:color w:val="auto"/>
        </w:rPr>
      </w:pPr>
    </w:p>
    <w:p>
      <w:pPr>
        <w:jc w:val="both"/>
        <w:ind w:left="660" w:right="200" w:hanging="652"/>
        <w:spacing w:after="0" w:line="342" w:lineRule="auto"/>
        <w:tabs>
          <w:tab w:leader="none" w:pos="6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Basket to the extent of such payment.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Dividend and Other Restrictions Affecting Restricted Subsidiaries</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81" w:lineRule="exact"/>
        <w:rPr>
          <w:sz w:val="20"/>
          <w:szCs w:val="20"/>
          <w:color w:val="auto"/>
        </w:rPr>
      </w:pPr>
    </w:p>
    <w:p>
      <w:pPr>
        <w:ind w:left="660" w:right="60" w:hanging="652"/>
        <w:spacing w:after="0" w:line="259" w:lineRule="auto"/>
        <w:tabs>
          <w:tab w:leader="none" w:pos="6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86" w:lineRule="exact"/>
        <w:rPr>
          <w:rFonts w:ascii="Arial" w:cs="Arial" w:eastAsia="Arial" w:hAnsi="Arial"/>
          <w:sz w:val="18"/>
          <w:szCs w:val="18"/>
          <w:color w:val="auto"/>
        </w:rPr>
      </w:pPr>
    </w:p>
    <w:p>
      <w:pPr>
        <w:ind w:left="660" w:right="20" w:hanging="652"/>
        <w:spacing w:after="0" w:line="259" w:lineRule="auto"/>
        <w:tabs>
          <w:tab w:leader="none" w:pos="6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40" w:hanging="652"/>
        <w:spacing w:after="0" w:line="277" w:lineRule="auto"/>
        <w:tabs>
          <w:tab w:leader="none" w:pos="6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for, in each case:</w:t>
      </w:r>
    </w:p>
    <w:p>
      <w:pPr>
        <w:spacing w:after="0" w:line="225" w:lineRule="exact"/>
        <w:rPr>
          <w:sz w:val="20"/>
          <w:szCs w:val="20"/>
          <w:color w:val="auto"/>
        </w:rPr>
      </w:pPr>
    </w:p>
    <w:p>
      <w:pPr>
        <w:ind w:left="660" w:right="240" w:hanging="652"/>
        <w:spacing w:after="0" w:line="277"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Revolving Credit Agreement and the Term Loan Agreement) as in effect on that 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225" w:lineRule="exact"/>
        <w:rPr>
          <w:rFonts w:ascii="Arial" w:cs="Arial" w:eastAsia="Arial" w:hAnsi="Arial"/>
          <w:sz w:val="18"/>
          <w:szCs w:val="18"/>
          <w:color w:val="auto"/>
        </w:rPr>
      </w:pPr>
    </w:p>
    <w:p>
      <w:pPr>
        <w:ind w:left="660" w:right="100" w:hanging="652"/>
        <w:spacing w:after="0" w:line="264"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81" w:lineRule="exact"/>
        <w:rPr>
          <w:rFonts w:ascii="Arial" w:cs="Arial" w:eastAsia="Arial" w:hAnsi="Arial"/>
          <w:sz w:val="18"/>
          <w:szCs w:val="18"/>
          <w:color w:val="auto"/>
        </w:rPr>
      </w:pPr>
    </w:p>
    <w:p>
      <w:pPr>
        <w:ind w:left="660" w:right="40" w:hanging="652"/>
        <w:spacing w:after="0" w:line="259"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86" w:lineRule="exact"/>
        <w:rPr>
          <w:rFonts w:ascii="Arial" w:cs="Arial" w:eastAsia="Arial" w:hAnsi="Arial"/>
          <w:sz w:val="18"/>
          <w:szCs w:val="18"/>
          <w:color w:val="auto"/>
        </w:rPr>
      </w:pPr>
    </w:p>
    <w:p>
      <w:pPr>
        <w:ind w:left="660" w:hanging="652"/>
        <w:spacing w:after="0" w:line="276" w:lineRule="auto"/>
        <w:tabs>
          <w:tab w:leader="none" w:pos="66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72" w:lineRule="exact"/>
        <w:rPr>
          <w:rFonts w:ascii="Arial" w:cs="Arial" w:eastAsia="Arial" w:hAnsi="Arial"/>
          <w:sz w:val="17"/>
          <w:szCs w:val="17"/>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225" w:lineRule="exact"/>
        <w:rPr>
          <w:rFonts w:ascii="Arial" w:cs="Arial" w:eastAsia="Arial" w:hAnsi="Arial"/>
          <w:sz w:val="18"/>
          <w:szCs w:val="18"/>
          <w:color w:val="auto"/>
        </w:rPr>
      </w:pPr>
    </w:p>
    <w:p>
      <w:pPr>
        <w:ind w:left="660" w:right="160" w:hanging="652"/>
        <w:spacing w:after="0" w:line="277"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170" w:lineRule="exact"/>
        <w:rPr>
          <w:rFonts w:ascii="Arial" w:cs="Arial" w:eastAsia="Arial" w:hAnsi="Arial"/>
          <w:sz w:val="18"/>
          <w:szCs w:val="18"/>
          <w:color w:val="auto"/>
        </w:rPr>
      </w:pPr>
    </w:p>
    <w:p>
      <w:pPr>
        <w:ind w:left="660" w:right="320" w:hanging="652"/>
        <w:spacing w:after="0" w:line="277"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225" w:lineRule="exact"/>
        <w:rPr>
          <w:rFonts w:ascii="Arial" w:cs="Arial" w:eastAsia="Arial" w:hAnsi="Arial"/>
          <w:sz w:val="18"/>
          <w:szCs w:val="18"/>
          <w:color w:val="auto"/>
        </w:rPr>
      </w:pPr>
    </w:p>
    <w:p>
      <w:pPr>
        <w:ind w:left="660" w:right="180" w:hanging="652"/>
        <w:spacing w:after="0" w:line="255"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89" w:lineRule="exact"/>
        <w:rPr>
          <w:rFonts w:ascii="Arial" w:cs="Arial" w:eastAsia="Arial" w:hAnsi="Arial"/>
          <w:sz w:val="18"/>
          <w:szCs w:val="18"/>
          <w:color w:val="auto"/>
        </w:rPr>
      </w:pPr>
    </w:p>
    <w:p>
      <w:pPr>
        <w:ind w:left="660" w:right="280" w:hanging="652"/>
        <w:spacing w:after="0" w:line="264"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hanging="652"/>
        <w:spacing w:after="0" w:line="342" w:lineRule="auto"/>
        <w:tabs>
          <w:tab w:leader="none" w:pos="663"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Purchase Money Indebtedness and any Refinancing Indebtedness in respect thereof incurred in compliance with the covenant described under “— Limitation on Additional Indebtedness” that imposes restrictions of the nature described in clause (c) above on the assets acquired;</w:t>
      </w:r>
    </w:p>
    <w:p>
      <w:pPr>
        <w:spacing w:after="0" w:line="123" w:lineRule="exact"/>
        <w:rPr>
          <w:rFonts w:ascii="Arial" w:cs="Arial" w:eastAsia="Arial" w:hAnsi="Arial"/>
          <w:sz w:val="16"/>
          <w:szCs w:val="16"/>
          <w:color w:val="auto"/>
        </w:rPr>
      </w:pPr>
    </w:p>
    <w:p>
      <w:pPr>
        <w:ind w:left="660" w:hanging="652"/>
        <w:spacing w:after="0" w:line="277"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170" w:lineRule="exact"/>
        <w:rPr>
          <w:rFonts w:ascii="Arial" w:cs="Arial" w:eastAsia="Arial" w:hAnsi="Arial"/>
          <w:sz w:val="18"/>
          <w:szCs w:val="18"/>
          <w:color w:val="auto"/>
        </w:rPr>
      </w:pPr>
    </w:p>
    <w:p>
      <w:pPr>
        <w:ind w:left="660" w:right="100" w:hanging="652"/>
        <w:spacing w:after="0" w:line="302" w:lineRule="auto"/>
        <w:tabs>
          <w:tab w:leader="none" w:pos="66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54" w:lineRule="exact"/>
        <w:rPr>
          <w:rFonts w:ascii="Arial" w:cs="Arial" w:eastAsia="Arial" w:hAnsi="Arial"/>
          <w:sz w:val="16"/>
          <w:szCs w:val="16"/>
          <w:color w:val="auto"/>
        </w:rPr>
      </w:pPr>
    </w:p>
    <w:p>
      <w:pPr>
        <w:ind w:left="660" w:hanging="652"/>
        <w:spacing w:after="0" w:line="257"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88" w:lineRule="exact"/>
        <w:rPr>
          <w:rFonts w:ascii="Arial" w:cs="Arial" w:eastAsia="Arial" w:hAnsi="Arial"/>
          <w:sz w:val="18"/>
          <w:szCs w:val="18"/>
          <w:color w:val="auto"/>
        </w:rPr>
      </w:pPr>
    </w:p>
    <w:p>
      <w:pPr>
        <w:ind w:left="660" w:right="600" w:hanging="652"/>
        <w:spacing w:after="0" w:line="277"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170" w:lineRule="exact"/>
        <w:rPr>
          <w:rFonts w:ascii="Arial" w:cs="Arial" w:eastAsia="Arial" w:hAnsi="Arial"/>
          <w:sz w:val="18"/>
          <w:szCs w:val="18"/>
          <w:color w:val="auto"/>
        </w:rPr>
      </w:pPr>
    </w:p>
    <w:p>
      <w:pPr>
        <w:ind w:left="660" w:right="360" w:hanging="652"/>
        <w:spacing w:after="0" w:line="277" w:lineRule="auto"/>
        <w:tabs>
          <w:tab w:leader="none" w:pos="66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the covenant described under “—Limitation on Restricted Payments”;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supermajority voting requirements existing under corporate charters, by-laws, stockholders agreements and similar documents and agreements.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Transactions with Affiliates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 million (an “Affiliate Transaction”), unless:</w:t>
      </w:r>
    </w:p>
    <w:p>
      <w:pPr>
        <w:spacing w:after="0" w:line="147" w:lineRule="exact"/>
        <w:rPr>
          <w:sz w:val="20"/>
          <w:szCs w:val="20"/>
          <w:color w:val="auto"/>
        </w:rPr>
      </w:pPr>
    </w:p>
    <w:p>
      <w:pPr>
        <w:ind w:left="660" w:right="20" w:hanging="652"/>
        <w:spacing w:after="0" w:line="257"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88" w:lineRule="exact"/>
        <w:rPr>
          <w:rFonts w:ascii="Arial" w:cs="Arial" w:eastAsia="Arial" w:hAnsi="Arial"/>
          <w:sz w:val="18"/>
          <w:szCs w:val="18"/>
          <w:color w:val="auto"/>
        </w:rPr>
      </w:pPr>
    </w:p>
    <w:p>
      <w:pPr>
        <w:ind w:left="660" w:right="20" w:hanging="652"/>
        <w:spacing w:after="0" w:line="264" w:lineRule="auto"/>
        <w:tabs>
          <w:tab w:leader="none" w:pos="6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restrictions shall not apply to:</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transactions to the extent between or among (a) the Parent Guarantor and one or more Restricted Subsidiaries or (b) Restricted Subsidiaries;</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0" w:hanging="652"/>
        <w:spacing w:after="0" w:line="259" w:lineRule="auto"/>
        <w:tabs>
          <w:tab w:leader="none" w:pos="6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86" w:lineRule="exact"/>
        <w:rPr>
          <w:rFonts w:ascii="Arial" w:cs="Arial" w:eastAsia="Arial" w:hAnsi="Arial"/>
          <w:sz w:val="18"/>
          <w:szCs w:val="18"/>
          <w:color w:val="auto"/>
        </w:rPr>
      </w:pPr>
    </w:p>
    <w:p>
      <w:pPr>
        <w:ind w:left="660" w:right="280" w:hanging="652"/>
        <w:spacing w:after="0" w:line="277" w:lineRule="auto"/>
        <w:tabs>
          <w:tab w:leader="none" w:pos="6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the covenant described under “—Limitation on Restricted Payments”;</w:t>
      </w:r>
    </w:p>
    <w:p>
      <w:pPr>
        <w:spacing w:after="0" w:line="170" w:lineRule="exact"/>
        <w:rPr>
          <w:rFonts w:ascii="Arial" w:cs="Arial" w:eastAsia="Arial" w:hAnsi="Arial"/>
          <w:sz w:val="18"/>
          <w:szCs w:val="18"/>
          <w:color w:val="auto"/>
        </w:rPr>
      </w:pPr>
    </w:p>
    <w:p>
      <w:pPr>
        <w:ind w:left="660" w:right="200" w:hanging="652"/>
        <w:spacing w:after="0" w:line="342" w:lineRule="auto"/>
        <w:tabs>
          <w:tab w:leader="none" w:pos="6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23" w:lineRule="exact"/>
        <w:rPr>
          <w:rFonts w:ascii="Arial" w:cs="Arial" w:eastAsia="Arial" w:hAnsi="Arial"/>
          <w:sz w:val="16"/>
          <w:szCs w:val="16"/>
          <w:color w:val="auto"/>
        </w:rPr>
      </w:pPr>
    </w:p>
    <w:p>
      <w:pPr>
        <w:ind w:left="660" w:right="460" w:hanging="652"/>
        <w:spacing w:after="0" w:line="342" w:lineRule="auto"/>
        <w:tabs>
          <w:tab w:leader="none" w:pos="6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23" w:lineRule="exact"/>
        <w:rPr>
          <w:rFonts w:ascii="Arial" w:cs="Arial" w:eastAsia="Arial" w:hAnsi="Arial"/>
          <w:sz w:val="16"/>
          <w:szCs w:val="16"/>
          <w:color w:val="auto"/>
        </w:rPr>
      </w:pPr>
    </w:p>
    <w:p>
      <w:pPr>
        <w:ind w:left="660" w:right="140" w:hanging="652"/>
        <w:spacing w:after="0" w:line="257" w:lineRule="auto"/>
        <w:tabs>
          <w:tab w:leader="none" w:pos="6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88" w:lineRule="exact"/>
        <w:rPr>
          <w:rFonts w:ascii="Arial" w:cs="Arial" w:eastAsia="Arial" w:hAnsi="Arial"/>
          <w:sz w:val="18"/>
          <w:szCs w:val="18"/>
          <w:color w:val="auto"/>
        </w:rPr>
      </w:pPr>
    </w:p>
    <w:p>
      <w:pPr>
        <w:ind w:left="660" w:right="760" w:hanging="652"/>
        <w:spacing w:after="0" w:line="277" w:lineRule="auto"/>
        <w:tabs>
          <w:tab w:leader="none" w:pos="6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pledge of the Equity Interests of Unrestricted Subsidiaries;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225" w:lineRule="exact"/>
        <w:rPr>
          <w:rFonts w:ascii="Arial" w:cs="Arial" w:eastAsia="Arial" w:hAnsi="Arial"/>
          <w:sz w:val="18"/>
          <w:szCs w:val="18"/>
          <w:color w:val="auto"/>
        </w:rPr>
      </w:pPr>
    </w:p>
    <w:p>
      <w:pPr>
        <w:ind w:left="660" w:hanging="652"/>
        <w:spacing w:after="0" w:line="312" w:lineRule="auto"/>
        <w:tabs>
          <w:tab w:leader="none" w:pos="6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director shall abstain from voting as a director of the Parent Guarantor on any matter involving such other Person; and</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188" w:lineRule="exact"/>
        <w:rPr>
          <w:sz w:val="20"/>
          <w:szCs w:val="20"/>
          <w:color w:val="auto"/>
        </w:rPr>
      </w:pPr>
    </w:p>
    <w:p>
      <w:pPr>
        <w:ind w:left="660" w:right="380" w:hanging="652"/>
        <w:spacing w:after="0" w:line="342" w:lineRule="auto"/>
        <w:tabs>
          <w:tab w:leader="none" w:pos="667" w:val="left"/>
        </w:tabs>
        <w:numPr>
          <w:ilvl w:val="0"/>
          <w:numId w:val="50"/>
        </w:numPr>
        <w:rPr>
          <w:rFonts w:ascii="Arial" w:cs="Arial" w:eastAsia="Arial" w:hAnsi="Arial"/>
          <w:sz w:val="16"/>
          <w:szCs w:val="16"/>
          <w:color w:val="auto"/>
        </w:rPr>
      </w:pPr>
      <w:r>
        <w:rPr>
          <w:rFonts w:ascii="Arial" w:cs="Arial" w:eastAsia="Arial" w:hAnsi="Arial"/>
          <w:sz w:val="16"/>
          <w:szCs w:val="16"/>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225" w:lineRule="exact"/>
        <w:rPr>
          <w:rFonts w:ascii="Arial" w:cs="Arial" w:eastAsia="Arial" w:hAnsi="Arial"/>
          <w:sz w:val="18"/>
          <w:szCs w:val="18"/>
          <w:color w:val="auto"/>
        </w:rPr>
      </w:pPr>
    </w:p>
    <w:p>
      <w:pPr>
        <w:ind w:left="660" w:hanging="652"/>
        <w:spacing w:after="0" w:line="285" w:lineRule="auto"/>
        <w:tabs>
          <w:tab w:leader="none" w:pos="667"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w:t>
      </w:r>
    </w:p>
    <w:p>
      <w:pPr>
        <w:spacing w:after="0" w:line="2" w:lineRule="exact"/>
        <w:rPr>
          <w:rFonts w:ascii="Arial" w:cs="Arial" w:eastAsia="Arial" w:hAnsi="Arial"/>
          <w:sz w:val="16"/>
          <w:szCs w:val="16"/>
          <w:color w:val="auto"/>
        </w:rPr>
      </w:pPr>
    </w:p>
    <w:p>
      <w:pPr>
        <w:jc w:val="both"/>
        <w:ind w:left="660" w:right="40"/>
        <w:spacing w:after="0" w:line="302" w:lineRule="auto"/>
        <w:rPr>
          <w:rFonts w:ascii="Arial" w:cs="Arial" w:eastAsia="Arial" w:hAnsi="Arial"/>
          <w:sz w:val="16"/>
          <w:szCs w:val="16"/>
          <w:color w:val="auto"/>
        </w:rPr>
      </w:pPr>
      <w:r>
        <w:rPr>
          <w:rFonts w:ascii="Arial" w:cs="Arial" w:eastAsia="Arial" w:hAnsi="Arial"/>
          <w:sz w:val="16"/>
          <w:szCs w:val="16"/>
          <w:color w:val="auto"/>
        </w:rPr>
        <w:t>(3)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55" w:lineRule="exact"/>
        <w:rPr>
          <w:rFonts w:ascii="Arial" w:cs="Arial" w:eastAsia="Arial" w:hAnsi="Arial"/>
          <w:sz w:val="16"/>
          <w:szCs w:val="16"/>
          <w:color w:val="auto"/>
        </w:rPr>
      </w:pPr>
    </w:p>
    <w:p>
      <w:pPr>
        <w:ind w:left="660" w:right="360" w:hanging="652"/>
        <w:spacing w:after="0" w:line="259" w:lineRule="auto"/>
        <w:tabs>
          <w:tab w:leader="none" w:pos="6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225" w:lineRule="exact"/>
        <w:rPr>
          <w:rFonts w:ascii="Arial" w:cs="Arial" w:eastAsia="Arial" w:hAnsi="Arial"/>
          <w:sz w:val="18"/>
          <w:szCs w:val="18"/>
          <w:color w:val="auto"/>
        </w:rPr>
      </w:pPr>
    </w:p>
    <w:p>
      <w:pPr>
        <w:ind w:left="660" w:right="100" w:hanging="652"/>
        <w:spacing w:after="0" w:line="286" w:lineRule="auto"/>
        <w:tabs>
          <w:tab w:leader="none" w:pos="667"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w:t>
      </w:r>
    </w:p>
    <w:p>
      <w:pPr>
        <w:spacing w:after="0" w:line="1" w:lineRule="exact"/>
        <w:rPr>
          <w:rFonts w:ascii="Arial" w:cs="Arial" w:eastAsia="Arial" w:hAnsi="Arial"/>
          <w:sz w:val="16"/>
          <w:szCs w:val="16"/>
          <w:color w:val="auto"/>
        </w:rPr>
      </w:pPr>
    </w:p>
    <w:p>
      <w:pPr>
        <w:ind w:left="660" w:right="1000"/>
        <w:spacing w:after="0" w:line="261" w:lineRule="auto"/>
        <w:rPr>
          <w:rFonts w:ascii="Arial" w:cs="Arial" w:eastAsia="Arial" w:hAnsi="Arial"/>
          <w:sz w:val="16"/>
          <w:szCs w:val="16"/>
          <w:color w:val="auto"/>
        </w:rPr>
      </w:pPr>
      <w:r>
        <w:rPr>
          <w:rFonts w:ascii="Arial" w:cs="Arial" w:eastAsia="Arial" w:hAnsi="Arial"/>
          <w:sz w:val="18"/>
          <w:szCs w:val="18"/>
          <w:color w:val="auto"/>
        </w:rPr>
        <w:t>(iii) securing indebtedness issued or guaranteed by the United States, any State thereof, any foreign country, or any department, agency, instrumentality or political subdivision of any such jurisdiction;</w:t>
      </w:r>
    </w:p>
    <w:p>
      <w:pPr>
        <w:spacing w:after="0" w:line="183" w:lineRule="exact"/>
        <w:rPr>
          <w:rFonts w:ascii="Arial" w:cs="Arial" w:eastAsia="Arial" w:hAnsi="Arial"/>
          <w:sz w:val="16"/>
          <w:szCs w:val="16"/>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auto"/>
        </w:rPr>
      </w:pPr>
    </w:p>
    <w:p>
      <w:pPr>
        <w:ind w:left="660" w:hanging="652"/>
        <w:spacing w:after="0" w:line="273" w:lineRule="auto"/>
        <w:tabs>
          <w:tab w:leader="none" w:pos="667"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w:t>
      </w:r>
    </w:p>
    <w:p>
      <w:pPr>
        <w:spacing w:after="0" w:line="2" w:lineRule="exact"/>
        <w:rPr>
          <w:sz w:val="20"/>
          <w:szCs w:val="20"/>
          <w:color w:val="auto"/>
        </w:rPr>
      </w:pPr>
    </w:p>
    <w:p>
      <w:pPr>
        <w:ind w:right="140" w:firstLine="8"/>
        <w:spacing w:after="0" w:line="255"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 (c) in the first paragraph of the covenant described below under the caption “—Limitations on Sale-Leaseback Transactions”) does not exceed 15% of Consolidated Net Worth, as shown on a consolidated balance sheet, as of a date not more than 150 days prior to the proposed transaction, prepared by the Parent Guarantor in accordance with GAAP.</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 Person (other than the Parent Guarantor or a Restricted Subsidiary)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59" w:lineRule="auto"/>
        <w:tabs>
          <w:tab w:leader="none" w:pos="6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“—Limitation on Liens” without equally and ratably securing the Notes pursuant to such covenant;</w:t>
      </w:r>
    </w:p>
    <w:p>
      <w:pPr>
        <w:spacing w:after="0" w:line="186" w:lineRule="exact"/>
        <w:rPr>
          <w:rFonts w:ascii="Arial" w:cs="Arial" w:eastAsia="Arial" w:hAnsi="Arial"/>
          <w:sz w:val="18"/>
          <w:szCs w:val="18"/>
          <w:color w:val="auto"/>
        </w:rPr>
      </w:pPr>
    </w:p>
    <w:p>
      <w:pPr>
        <w:ind w:left="660" w:right="140" w:hanging="652"/>
        <w:spacing w:after="0" w:line="273" w:lineRule="auto"/>
        <w:tabs>
          <w:tab w:leader="none" w:pos="6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178" w:lineRule="exact"/>
        <w:rPr>
          <w:rFonts w:ascii="Arial" w:cs="Arial" w:eastAsia="Arial" w:hAnsi="Arial"/>
          <w:sz w:val="17"/>
          <w:szCs w:val="17"/>
          <w:color w:val="auto"/>
        </w:rPr>
      </w:pPr>
    </w:p>
    <w:p>
      <w:pPr>
        <w:ind w:left="660" w:right="80" w:hanging="652"/>
        <w:spacing w:after="0" w:line="272" w:lineRule="auto"/>
        <w:tabs>
          <w:tab w:leader="none" w:pos="671"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Designation of Unrestricted Subsidiaries</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8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225" w:lineRule="exact"/>
        <w:rPr>
          <w:rFonts w:ascii="Arial" w:cs="Arial" w:eastAsia="Arial" w:hAnsi="Arial"/>
          <w:sz w:val="18"/>
          <w:szCs w:val="18"/>
          <w:color w:val="auto"/>
        </w:rPr>
      </w:pPr>
    </w:p>
    <w:p>
      <w:pPr>
        <w:jc w:val="both"/>
        <w:ind w:left="660" w:right="160" w:hanging="652"/>
        <w:spacing w:after="0" w:line="286" w:lineRule="auto"/>
        <w:tabs>
          <w:tab w:leader="none" w:pos="66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Parent Guarantor would be permitted to make, at the time of such Designation, (a) a Permitted Investment or (b) an Investment pursuant to the covenant described under “—Limitation on Restricted Payments” above, in either case, in an amount (the “Designation Amount”) equal to the Fair Market Value of the Parent Guarantor’s proportionate interest in such Subsidiary on such date.</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No Subsidiary shall be Designated as an “Unrestricted Subsidiary” unless:</w:t>
      </w:r>
    </w:p>
    <w:p>
      <w:pPr>
        <w:spacing w:after="0" w:line="225" w:lineRule="exact"/>
        <w:rPr>
          <w:sz w:val="20"/>
          <w:szCs w:val="20"/>
          <w:color w:val="auto"/>
        </w:rPr>
      </w:pPr>
    </w:p>
    <w:p>
      <w:pPr>
        <w:ind w:left="660" w:right="260" w:hanging="652"/>
        <w:spacing w:after="0" w:line="273" w:lineRule="auto"/>
        <w:tabs>
          <w:tab w:leader="none" w:pos="667"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178" w:lineRule="exact"/>
        <w:rPr>
          <w:rFonts w:ascii="Arial" w:cs="Arial" w:eastAsia="Arial" w:hAnsi="Arial"/>
          <w:sz w:val="17"/>
          <w:szCs w:val="17"/>
          <w:color w:val="auto"/>
        </w:rPr>
      </w:pPr>
    </w:p>
    <w:p>
      <w:pPr>
        <w:ind w:left="660" w:right="160" w:hanging="652"/>
        <w:spacing w:after="0" w:line="302" w:lineRule="auto"/>
        <w:tabs>
          <w:tab w:leader="none" w:pos="6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55" w:lineRule="auto"/>
        <w:tabs>
          <w:tab w:leader="none" w:pos="6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the covenant described under “—Limitation on Additional Indebtedness” or the Lien is not permitted under the covenant described under “—Limitation on Liens,” the Parent Guarantor shall be in default of the applicable covenant.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 only if:</w:t>
      </w:r>
    </w:p>
    <w:p>
      <w:pPr>
        <w:spacing w:after="0" w:line="24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225" w:lineRule="exact"/>
        <w:rPr>
          <w:rFonts w:ascii="Arial" w:cs="Arial" w:eastAsia="Arial" w:hAnsi="Arial"/>
          <w:sz w:val="18"/>
          <w:szCs w:val="18"/>
          <w:color w:val="auto"/>
        </w:rPr>
      </w:pPr>
    </w:p>
    <w:p>
      <w:pPr>
        <w:ind w:left="660" w:hanging="652"/>
        <w:spacing w:after="0" w:line="277" w:lineRule="auto"/>
        <w:tabs>
          <w:tab w:leader="none" w:pos="6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on Mergers, Consolidations, Etc.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170" w:lineRule="exact"/>
        <w:rPr>
          <w:sz w:val="20"/>
          <w:szCs w:val="20"/>
          <w:color w:val="auto"/>
        </w:rPr>
      </w:pPr>
    </w:p>
    <w:p>
      <w:pPr>
        <w:ind w:left="660" w:right="180" w:hanging="652"/>
        <w:spacing w:after="0" w:line="290" w:lineRule="auto"/>
        <w:tabs>
          <w:tab w:leader="none" w:pos="66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and any registration rights agreement then in effect on the part of the Issuer to be performed or observed or (b) in the case of a Successor Person to such Guarantor, all of the obligations of such Guarantor under the Guarantee of such Guarantor and the performance or observance of every covenant of the Indenture and any registration rights agreement then in effect on the part of such Guarantor to be performed or observed;</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Default shall have occurred and be continuing; and</w:t>
      </w:r>
    </w:p>
    <w:p>
      <w:pPr>
        <w:spacing w:after="0" w:line="225" w:lineRule="exact"/>
        <w:rPr>
          <w:rFonts w:ascii="Arial" w:cs="Arial" w:eastAsia="Arial" w:hAnsi="Arial"/>
          <w:sz w:val="18"/>
          <w:szCs w:val="18"/>
          <w:color w:val="auto"/>
        </w:rPr>
      </w:pPr>
    </w:p>
    <w:p>
      <w:pPr>
        <w:ind w:left="660" w:right="100" w:hanging="652"/>
        <w:spacing w:after="0" w:line="286" w:lineRule="auto"/>
        <w:tabs>
          <w:tab w:leader="none" w:pos="66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4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81" w:lineRule="exact"/>
        <w:rPr>
          <w:sz w:val="20"/>
          <w:szCs w:val="20"/>
          <w:color w:val="auto"/>
        </w:rPr>
      </w:pPr>
    </w:p>
    <w:p>
      <w:pPr>
        <w:ind w:left="660" w:right="220" w:hanging="652"/>
        <w:spacing w:after="0" w:line="277" w:lineRule="auto"/>
        <w:tabs>
          <w:tab w:leader="none" w:pos="6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Parent Guarantor were required to file such reports.</w:t>
      </w:r>
    </w:p>
    <w:p>
      <w:pPr>
        <w:spacing w:after="0" w:line="2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For so long as any Notes remain outstanding and constitute “restricted securities” under Rule 144, the Parent Guarantor will furnish the holders of the Notes, and to securities analysts and prospective investors, upon their request, the information required to be delivered pursuant to Rule 144(d)(4)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failure to pay interest on any of the Notes when the same becomes due and payable and the continuance of any such failure for 30 days;</w:t>
      </w:r>
    </w:p>
    <w:p>
      <w:pPr>
        <w:spacing w:after="0" w:line="236" w:lineRule="exact"/>
        <w:rPr>
          <w:rFonts w:ascii="Arial" w:cs="Arial" w:eastAsia="Arial" w:hAnsi="Arial"/>
          <w:sz w:val="17"/>
          <w:szCs w:val="17"/>
          <w:color w:val="auto"/>
        </w:rPr>
      </w:pPr>
    </w:p>
    <w:p>
      <w:pPr>
        <w:ind w:left="660" w:right="160" w:hanging="652"/>
        <w:spacing w:after="0" w:line="277"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described above under “—Certain Covenants —Limitation on Mergers, Consolidations, Etc.,” or failure by the Issuer to comply in respect of its obligations to make a Change of Control Offer for the Notes as described under “—Change of Control Repurchase Event”;</w:t>
      </w:r>
    </w:p>
    <w:p>
      <w:pPr>
        <w:spacing w:after="0" w:line="181" w:lineRule="exact"/>
        <w:rPr>
          <w:rFonts w:ascii="Arial" w:cs="Arial" w:eastAsia="Arial" w:hAnsi="Arial"/>
          <w:sz w:val="18"/>
          <w:szCs w:val="18"/>
          <w:color w:val="auto"/>
        </w:rPr>
      </w:pPr>
    </w:p>
    <w:p>
      <w:pPr>
        <w:ind w:left="660" w:right="100" w:hanging="652"/>
        <w:spacing w:after="0" w:line="264"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except with respect to the covenant described under the heading “—Certain Covenants—Reports” or as described in clause (3) above, failure by the Parent Guarantor or any Restricted Subsidiary to comply with any other covenant or agreement contained in the Indenture and continuance of this failure for 60 days after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notice of the failure has been given to the Issuer by the Trustee or to the Issuer and the Trustee by the Holders of at least 25.0% of the aggregate principal amount of the Notes then outstanding, or</w:t>
      </w:r>
    </w:p>
    <w:p>
      <w:pPr>
        <w:spacing w:after="0" w:line="170" w:lineRule="exact"/>
        <w:rPr>
          <w:sz w:val="20"/>
          <w:szCs w:val="20"/>
          <w:color w:val="auto"/>
        </w:rPr>
      </w:pPr>
    </w:p>
    <w:p>
      <w:pPr>
        <w:ind w:left="1300" w:right="140" w:hanging="644"/>
        <w:spacing w:after="0" w:line="264" w:lineRule="auto"/>
        <w:tabs>
          <w:tab w:leader="none" w:pos="13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failure by the Parent Guarantor for 180 days after notice of the failure has been given to the Issuer by the Trustee or by the Holders of at least 25.0% of the aggregate principal amount of the Notes then outstanding to comply with the covenant described under the heading “— Certain Covenants—Reports”;</w:t>
      </w:r>
    </w:p>
    <w:p>
      <w:pPr>
        <w:spacing w:after="0" w:line="181" w:lineRule="exact"/>
        <w:rPr>
          <w:rFonts w:ascii="Arial" w:cs="Arial" w:eastAsia="Arial" w:hAnsi="Arial"/>
          <w:sz w:val="18"/>
          <w:szCs w:val="18"/>
          <w:color w:val="auto"/>
        </w:rPr>
      </w:pPr>
    </w:p>
    <w:p>
      <w:pPr>
        <w:jc w:val="both"/>
        <w:ind w:left="660" w:right="200" w:hanging="652"/>
        <w:spacing w:after="0" w:line="264" w:lineRule="auto"/>
        <w:tabs>
          <w:tab w:leader="none" w:pos="667"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181" w:lineRule="exact"/>
        <w:rPr>
          <w:rFonts w:ascii="Arial" w:cs="Arial" w:eastAsia="Arial" w:hAnsi="Arial"/>
          <w:sz w:val="18"/>
          <w:szCs w:val="18"/>
          <w:color w:val="auto"/>
        </w:rPr>
      </w:pPr>
    </w:p>
    <w:p>
      <w:pPr>
        <w:ind w:left="1300" w:right="580" w:hanging="644"/>
        <w:spacing w:after="0" w:line="277" w:lineRule="auto"/>
        <w:tabs>
          <w:tab w:leader="none" w:pos="12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70" w:lineRule="exact"/>
        <w:rPr>
          <w:rFonts w:ascii="Arial" w:cs="Arial" w:eastAsia="Arial" w:hAnsi="Arial"/>
          <w:sz w:val="18"/>
          <w:szCs w:val="18"/>
          <w:color w:val="auto"/>
        </w:rPr>
      </w:pPr>
    </w:p>
    <w:p>
      <w:pPr>
        <w:ind w:left="1300" w:hanging="644"/>
        <w:spacing w:after="0" w:line="308" w:lineRule="auto"/>
        <w:tabs>
          <w:tab w:leader="none" w:pos="1307" w:val="left"/>
        </w:tabs>
        <w:numPr>
          <w:ilvl w:val="1"/>
          <w:numId w:val="62"/>
        </w:numPr>
        <w:rPr>
          <w:rFonts w:ascii="Arial" w:cs="Arial" w:eastAsia="Arial" w:hAnsi="Arial"/>
          <w:sz w:val="17"/>
          <w:szCs w:val="17"/>
          <w:color w:val="auto"/>
        </w:rPr>
      </w:pPr>
      <w:r>
        <w:rPr>
          <w:rFonts w:ascii="Arial" w:cs="Arial" w:eastAsia="Arial" w:hAnsi="Arial"/>
          <w:sz w:val="17"/>
          <w:szCs w:val="17"/>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4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170" w:lineRule="exact"/>
        <w:rPr>
          <w:sz w:val="20"/>
          <w:szCs w:val="20"/>
          <w:color w:val="auto"/>
        </w:rPr>
      </w:pPr>
    </w:p>
    <w:p>
      <w:pPr>
        <w:jc w:val="both"/>
        <w:ind w:left="660" w:right="140" w:hanging="652"/>
        <w:spacing w:after="0" w:line="286" w:lineRule="auto"/>
        <w:tabs>
          <w:tab w:leader="none" w:pos="667"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one or more judgments (to the extent not covered by insurance) for the payment of money in an aggregate amount in excess of $100.0 million shall be rendered against the Parent Guarantor, any Significant Subsidiary of the Parent Guarantor or any combination thereof and the same shall remain undischarged for a period of 60 consecutive days during which execution shall not be effectively stayed;</w:t>
      </w:r>
    </w:p>
    <w:p>
      <w:pPr>
        <w:spacing w:after="0" w:line="165" w:lineRule="exact"/>
        <w:rPr>
          <w:rFonts w:ascii="Arial" w:cs="Arial" w:eastAsia="Arial" w:hAnsi="Arial"/>
          <w:sz w:val="17"/>
          <w:szCs w:val="17"/>
          <w:color w:val="auto"/>
        </w:rPr>
      </w:pPr>
    </w:p>
    <w:p>
      <w:pPr>
        <w:jc w:val="both"/>
        <w:ind w:left="660" w:right="180" w:hanging="652"/>
        <w:spacing w:after="0" w:line="264" w:lineRule="auto"/>
        <w:tabs>
          <w:tab w:leader="none" w:pos="6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events of bankruptcy affecting the Parent Guarantor, the Issuer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181" w:lineRule="exact"/>
        <w:rPr>
          <w:rFonts w:ascii="Arial" w:cs="Arial" w:eastAsia="Arial" w:hAnsi="Arial"/>
          <w:sz w:val="18"/>
          <w:szCs w:val="18"/>
          <w:color w:val="auto"/>
        </w:rPr>
      </w:pPr>
    </w:p>
    <w:p>
      <w:pPr>
        <w:jc w:val="both"/>
        <w:ind w:left="660" w:right="180" w:hanging="652"/>
        <w:spacing w:after="0" w:line="312" w:lineRule="auto"/>
        <w:tabs>
          <w:tab w:leader="none" w:pos="66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If an Event of Default (other than an Event of Default specified in clause (7) above with respect to the Parent Guarantor or the Issuer), shall have occurred and be continuing, the Trustee, by written notice to the Issuer, or the Holders of at least 25.0% in aggregate principal amount of the Notes then outstanding by written notice to the Issuer and the Trustee, may declare (an “acceleration declaration”) all amounts owing under the Notes to be due and payable. Upon such an acceleration declaration, the aggregate principal of and accrued and unpaid interest on the outstanding Notes shall become due and payable immediately;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such an acceleration declaration, but before a judgment or decree based on acceleration, the Holders of a majority in aggregate 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w:t>
      </w:r>
    </w:p>
    <w:p>
      <w:pPr>
        <w:spacing w:after="0" w:line="3" w:lineRule="exact"/>
        <w:rPr>
          <w:sz w:val="20"/>
          <w:szCs w:val="20"/>
          <w:color w:val="auto"/>
        </w:rPr>
      </w:pPr>
    </w:p>
    <w:p>
      <w:pPr>
        <w:ind w:right="200" w:firstLine="8"/>
        <w:spacing w:after="0" w:line="26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occurs with respect to the Parent Guarantor or the Issuer, all outstanding Notes shall become immediately due and payable without any further action or notice to the extent permitted by applicable law.</w:t>
      </w:r>
    </w:p>
    <w:p>
      <w:pPr>
        <w:spacing w:after="0" w:line="18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The Trustee may withhold from Holders of the Notes notice of any Default or Event of Default (except an Event of Default relating to the payment of principal or interest) if it determines that withholding notice is in their interest.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Holders of a majority in aggregate principal amount of the then outstanding Notes will have the right to direct the time, method and place of conducting any proceeding for exercising any remedy available to the Trustee. However, the Trustee may refuse to follow any direction that conflicts with law or the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such Holders of Notes. A Holder of Notes may not pursue any remedy with respect to the Indenture or Notes unless:</w:t>
      </w:r>
    </w:p>
    <w:p>
      <w:pPr>
        <w:spacing w:after="0" w:line="17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25" w:lineRule="exact"/>
        <w:rPr>
          <w:rFonts w:ascii="Arial" w:cs="Arial" w:eastAsia="Arial" w:hAnsi="Arial"/>
          <w:sz w:val="18"/>
          <w:szCs w:val="18"/>
          <w:color w:val="auto"/>
        </w:rPr>
      </w:pPr>
    </w:p>
    <w:p>
      <w:pPr>
        <w:ind w:left="660" w:right="500" w:hanging="652"/>
        <w:spacing w:after="0" w:line="277" w:lineRule="auto"/>
        <w:tabs>
          <w:tab w:leader="none" w:pos="66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make a written request to the Trustee to pursue the remedy;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or Holders offer the Trustee security or indemnity satisfactory to the Trustee against any costs, liability or expense;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security or indemnity;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affected thereby.</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Issuer may, at its option and at any time, elect to have its obligations discharged with respect to the outstanding Notes and all obligations of any Guarantors discharged with respect to their Guarantees of such Notes (“Legal Defeasance”). Legal Defeasance means that the Issuer and the Guarantors shall be deemed to have paid and discharged the entire obligations represented by the Notes and the Guarantees, and the Indenture shall cease to be of further effect as to all outstanding Notes and the Guarantees, except as to:</w:t>
      </w:r>
    </w:p>
    <w:p>
      <w:pPr>
        <w:spacing w:after="0" w:line="187" w:lineRule="exact"/>
        <w:rPr>
          <w:sz w:val="20"/>
          <w:szCs w:val="20"/>
          <w:color w:val="auto"/>
        </w:rPr>
      </w:pPr>
    </w:p>
    <w:p>
      <w:pPr>
        <w:ind w:left="660" w:right="140" w:hanging="652"/>
        <w:spacing w:after="0" w:line="277" w:lineRule="auto"/>
        <w:tabs>
          <w:tab w:leader="none" w:pos="6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rights of Holders of outstanding Notes to receive payments in respect of the principal of and interest and premium, if any, on such Notes when such payments are due from the trust funds referred to below;</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Issuer’s obligations concerning issuing temporary Notes, registration of Notes, mutilated, destroyed, lost or stolen Notes, and the maintenance of an office or agency for payment and money for security payments held in trust;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rights, powers, trust, duties, and immunities of the Trustee, and the obligations of the Issuer and the Guarantors in connection therewith; and</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the Issuer may, at its option and at any time, elect to have its obligations and the obligations of the Guarantors released with respect to the provisions of the Indenture described above under “—Change of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The Issuer may exercise its Legal Defeasance option regardless of whether it previously exercised Covenant Defeasance.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660" w:right="20" w:hanging="652"/>
        <w:spacing w:after="0" w:line="257"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88" w:lineRule="exact"/>
        <w:rPr>
          <w:rFonts w:ascii="Arial" w:cs="Arial" w:eastAsia="Arial" w:hAnsi="Arial"/>
          <w:sz w:val="18"/>
          <w:szCs w:val="18"/>
          <w:color w:val="auto"/>
        </w:rPr>
      </w:pPr>
    </w:p>
    <w:p>
      <w:pPr>
        <w:ind w:left="660" w:right="200" w:hanging="652"/>
        <w:spacing w:after="0" w:line="277"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(“IRS”), a ruling; or</w:t>
      </w:r>
    </w:p>
    <w:p>
      <w:pPr>
        <w:spacing w:after="0" w:line="225" w:lineRule="exact"/>
        <w:rPr>
          <w:rFonts w:ascii="Arial" w:cs="Arial" w:eastAsia="Arial" w:hAnsi="Arial"/>
          <w:sz w:val="18"/>
          <w:szCs w:val="18"/>
          <w:color w:val="auto"/>
        </w:rPr>
      </w:pPr>
    </w:p>
    <w:p>
      <w:pPr>
        <w:ind w:left="1300" w:right="20" w:hanging="644"/>
        <w:spacing w:after="0" w:line="302" w:lineRule="auto"/>
        <w:tabs>
          <w:tab w:leader="none" w:pos="1307" w:val="left"/>
        </w:tabs>
        <w:numPr>
          <w:ilvl w:val="1"/>
          <w:numId w:val="67"/>
        </w:numPr>
        <w:rPr>
          <w:rFonts w:ascii="Arial" w:cs="Arial" w:eastAsia="Arial" w:hAnsi="Arial"/>
          <w:sz w:val="16"/>
          <w:szCs w:val="16"/>
          <w:color w:val="auto"/>
        </w:rPr>
      </w:pPr>
      <w:r>
        <w:rPr>
          <w:rFonts w:ascii="Arial" w:cs="Arial" w:eastAsia="Arial" w:hAnsi="Arial"/>
          <w:sz w:val="16"/>
          <w:szCs w:val="16"/>
          <w:color w:val="auto"/>
        </w:rPr>
        <w:t>since the date of the Indenture, there has been a change in the applicable U.S. federal income tax law, in either case to the effect that, and based thereon this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54" w:lineRule="exact"/>
        <w:rPr>
          <w:rFonts w:ascii="Arial" w:cs="Arial" w:eastAsia="Arial" w:hAnsi="Arial"/>
          <w:sz w:val="16"/>
          <w:szCs w:val="16"/>
          <w:color w:val="auto"/>
        </w:rPr>
      </w:pPr>
    </w:p>
    <w:p>
      <w:pPr>
        <w:jc w:val="both"/>
        <w:ind w:left="660" w:right="60" w:hanging="652"/>
        <w:spacing w:after="0" w:line="259"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86" w:lineRule="exact"/>
        <w:rPr>
          <w:rFonts w:ascii="Arial" w:cs="Arial" w:eastAsia="Arial" w:hAnsi="Arial"/>
          <w:sz w:val="18"/>
          <w:szCs w:val="18"/>
          <w:color w:val="auto"/>
        </w:rPr>
      </w:pPr>
    </w:p>
    <w:p>
      <w:pPr>
        <w:ind w:left="660" w:right="520" w:hanging="652"/>
        <w:spacing w:after="0" w:line="277"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auto"/>
        </w:rPr>
      </w:pPr>
    </w:p>
    <w:p>
      <w:pPr>
        <w:ind w:left="660" w:right="120" w:hanging="652"/>
        <w:spacing w:after="0" w:line="312" w:lineRule="auto"/>
        <w:tabs>
          <w:tab w:leader="none" w:pos="66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6" w:lineRule="exact"/>
        <w:rPr>
          <w:rFonts w:ascii="Arial" w:cs="Arial" w:eastAsia="Arial" w:hAnsi="Arial"/>
          <w:sz w:val="16"/>
          <w:szCs w:val="16"/>
          <w:color w:val="auto"/>
        </w:rPr>
      </w:pPr>
    </w:p>
    <w:p>
      <w:pPr>
        <w:jc w:val="both"/>
        <w:ind w:left="660" w:right="380" w:hanging="652"/>
        <w:spacing w:after="0" w:line="264"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of the Notes over any other of its creditors or with the intent of defeating, hindering, delaying or defrauding any other of its creditors or others; and</w:t>
      </w:r>
    </w:p>
    <w:p>
      <w:pPr>
        <w:spacing w:after="0" w:line="181" w:lineRule="exact"/>
        <w:rPr>
          <w:rFonts w:ascii="Arial" w:cs="Arial" w:eastAsia="Arial" w:hAnsi="Arial"/>
          <w:sz w:val="18"/>
          <w:szCs w:val="18"/>
          <w:color w:val="auto"/>
        </w:rPr>
      </w:pPr>
    </w:p>
    <w:p>
      <w:pPr>
        <w:ind w:left="660" w:right="140" w:hanging="652"/>
        <w:spacing w:after="0" w:line="277" w:lineRule="auto"/>
        <w:tabs>
          <w:tab w:leader="none" w:pos="6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the funds deposited with the Trustee to effect Covenant Defeasance are insufficient to pay the principal of and interest on the Notes when due, then the Issuer’s obligations and the obligations of the Guarantors under the Indenture will be revived and no such defeasance will be deemed to have occurred.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Indenture will be discharged and will cease to be of further effect (except as to rights of registration of transfer or exchange of Notes which shall survive until all Notes have been canceled and the rights, protections and immunities of the Trustee) as to all outstanding Notes when either:</w:t>
      </w:r>
    </w:p>
    <w:p>
      <w:pPr>
        <w:spacing w:after="0" w:line="147" w:lineRule="exact"/>
        <w:rPr>
          <w:sz w:val="20"/>
          <w:szCs w:val="20"/>
          <w:color w:val="auto"/>
        </w:rPr>
      </w:pPr>
    </w:p>
    <w:p>
      <w:pPr>
        <w:ind w:left="660" w:right="80" w:hanging="652"/>
        <w:spacing w:after="0" w:line="264" w:lineRule="auto"/>
        <w:tabs>
          <w:tab w:leader="none" w:pos="6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181" w:lineRule="exact"/>
        <w:rPr>
          <w:rFonts w:ascii="Arial" w:cs="Arial" w:eastAsia="Arial" w:hAnsi="Arial"/>
          <w:sz w:val="18"/>
          <w:szCs w:val="18"/>
          <w:color w:val="auto"/>
        </w:rPr>
      </w:pPr>
    </w:p>
    <w:p>
      <w:pPr>
        <w:ind w:left="660" w:hanging="652"/>
        <w:spacing w:after="0" w:line="291" w:lineRule="auto"/>
        <w:tabs>
          <w:tab w:leader="none" w:pos="66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all Notes not delivered to the Trustee for cancellation otherwise (i) have become due and payable, (ii) will become due and payable at their Stated Maturity, or are to be called for redemption under arrangements specified in the Indenture, within one year or (iii) have been called for redemption pursuant to the provisions described under “—Optional Redemption,” and, in any case, the Issuer or 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67" w:lineRule="exact"/>
        <w:rPr>
          <w:rFonts w:ascii="Arial" w:cs="Arial" w:eastAsia="Arial" w:hAnsi="Arial"/>
          <w:sz w:val="16"/>
          <w:szCs w:val="16"/>
          <w:color w:val="auto"/>
        </w:rPr>
      </w:pPr>
    </w:p>
    <w:p>
      <w:pPr>
        <w:ind w:left="1320" w:hanging="664"/>
        <w:spacing w:after="0"/>
        <w:tabs>
          <w:tab w:leader="none" w:pos="1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Issuer has paid all other sums payable by it under the Indenture,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1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date of redemption, as the case may be.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each stating that all conditions precedent to satisfaction and discharge of the Indenture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or exchange of a Note between a record date and the next succeeding interest payment date.</w:t>
      </w:r>
    </w:p>
    <w:p>
      <w:pPr>
        <w:spacing w:after="0" w:line="17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Notes will be issued in registered form and the Holder will be treated as the owner of such Note for all purposes (except as required by applicable tax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Except as otherwise provided in the next two succeeding paragraphs, the Indenture, the Guarantees or the Notes may be amended with the consent (which may include consents obtained in connection with a tender offer or exchange offer for the Notes) of the Holders of a majority in aggregate principal amount of the then outstanding Notes affected thereby (voting as a separate series), and any existing Default or Event of Default under, or compliance with any provision of, the Indenture may be waived with the consent (which may include consents obtained in connection with a tender offer or exchange offer for Notes) of the Holders of a majority in aggregate principal amount of the Notes then outstanding.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Without the consent of each Holder affected thereby, an amendment or waiver may not (with respect to any Notes held by a non-consenting Holder):</w:t>
      </w:r>
    </w:p>
    <w:p>
      <w:pPr>
        <w:spacing w:after="0" w:line="24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225" w:lineRule="exact"/>
        <w:rPr>
          <w:rFonts w:ascii="Arial" w:cs="Arial" w:eastAsia="Arial" w:hAnsi="Arial"/>
          <w:sz w:val="18"/>
          <w:szCs w:val="18"/>
          <w:color w:val="auto"/>
        </w:rPr>
      </w:pPr>
    </w:p>
    <w:p>
      <w:pPr>
        <w:ind w:left="5620" w:right="5460" w:hanging="5612"/>
        <w:spacing w:after="0" w:line="624"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reduce the rate of or extend the time for payment of interest on any Note;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59" w:lineRule="auto"/>
        <w:tabs>
          <w:tab w:leader="none" w:pos="6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225" w:lineRule="exact"/>
        <w:rPr>
          <w:rFonts w:ascii="Arial" w:cs="Arial" w:eastAsia="Arial" w:hAnsi="Arial"/>
          <w:sz w:val="18"/>
          <w:szCs w:val="18"/>
          <w:color w:val="auto"/>
        </w:rPr>
      </w:pPr>
    </w:p>
    <w:p>
      <w:pPr>
        <w:ind w:left="660" w:right="540" w:hanging="652"/>
        <w:spacing w:after="0" w:line="277" w:lineRule="auto"/>
        <w:tabs>
          <w:tab w:leader="none" w:pos="6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percentage of Holders necessary to consent to an amendment or waiver to the Indenture, the Guarantees or the Notes;</w:t>
      </w:r>
    </w:p>
    <w:p>
      <w:pPr>
        <w:spacing w:after="0" w:line="225" w:lineRule="exact"/>
        <w:rPr>
          <w:rFonts w:ascii="Arial" w:cs="Arial" w:eastAsia="Arial" w:hAnsi="Arial"/>
          <w:sz w:val="18"/>
          <w:szCs w:val="18"/>
          <w:color w:val="auto"/>
        </w:rPr>
      </w:pPr>
    </w:p>
    <w:p>
      <w:pPr>
        <w:ind w:left="660" w:right="200" w:hanging="652"/>
        <w:spacing w:after="0" w:line="277" w:lineRule="auto"/>
        <w:tabs>
          <w:tab w:leader="none" w:pos="6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70" w:lineRule="exact"/>
        <w:rPr>
          <w:rFonts w:ascii="Arial" w:cs="Arial" w:eastAsia="Arial" w:hAnsi="Arial"/>
          <w:sz w:val="18"/>
          <w:szCs w:val="18"/>
          <w:color w:val="auto"/>
        </w:rPr>
      </w:pPr>
    </w:p>
    <w:p>
      <w:pPr>
        <w:ind w:left="660" w:right="340" w:hanging="652"/>
        <w:spacing w:after="0" w:line="277" w:lineRule="auto"/>
        <w:tabs>
          <w:tab w:leader="none" w:pos="6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Notwithstanding the foregoing, the Issuer, the Guarantors and the Trustee may amend the Indenture, the Guarantees or the Notes without the consent of any Holder:</w:t>
      </w:r>
    </w:p>
    <w:p>
      <w:pPr>
        <w:spacing w:after="0" w:line="170"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123" w:lineRule="exact"/>
        <w:rPr>
          <w:rFonts w:ascii="Arial" w:cs="Arial" w:eastAsia="Arial" w:hAnsi="Arial"/>
          <w:sz w:val="16"/>
          <w:szCs w:val="16"/>
          <w:color w:val="auto"/>
        </w:rPr>
      </w:pPr>
    </w:p>
    <w:p>
      <w:pPr>
        <w:ind w:left="660" w:right="200" w:hanging="652"/>
        <w:spacing w:after="0" w:line="277" w:lineRule="auto"/>
        <w:tabs>
          <w:tab w:leader="none" w:pos="6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170" w:lineRule="exact"/>
        <w:rPr>
          <w:rFonts w:ascii="Arial" w:cs="Arial" w:eastAsia="Arial" w:hAnsi="Arial"/>
          <w:sz w:val="18"/>
          <w:szCs w:val="18"/>
          <w:color w:val="auto"/>
        </w:rPr>
      </w:pPr>
    </w:p>
    <w:p>
      <w:pPr>
        <w:ind w:left="660" w:right="500" w:hanging="652"/>
        <w:spacing w:after="0" w:line="277" w:lineRule="auto"/>
        <w:tabs>
          <w:tab w:leader="none" w:pos="6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225" w:lineRule="exact"/>
        <w:rPr>
          <w:rFonts w:ascii="Arial" w:cs="Arial" w:eastAsia="Arial" w:hAnsi="Arial"/>
          <w:sz w:val="18"/>
          <w:szCs w:val="18"/>
          <w:color w:val="auto"/>
        </w:rPr>
      </w:pPr>
    </w:p>
    <w:p>
      <w:pPr>
        <w:ind w:left="660" w:right="260" w:hanging="652"/>
        <w:spacing w:after="0" w:line="342" w:lineRule="auto"/>
        <w:tabs>
          <w:tab w:leader="none" w:pos="66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conform the text of the Indenture or the Notes to any provision of this “Description of New Notes” to the extent that such provision in this “Description of New Notes” was intended to be a substantially verbatim recitation of a provision of the Indenture, the Guarantees or the Notes; or</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After an amendment under the Indenture becomes effective requiring the consent of the Holders of Notes, the Issuer is required to deliver to Holders of Notes a notice briefly describing such amendment. However, the failure to give such notice to all Holders of the Notes, or any defect therein, will not impair or affect the validity of the amendment.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will have any liability for any indebtedness, obligations or liabilities of the Issuer under the Notes or the Indenture or of any 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Deutsche Bank Trust Company Americas is the Trustee. A successor trustee may be appointed in accordance with the terms of the Indenture. The Parent Guarantor and its subsidiaries maintain banking relationships with the Trustee and its affiliates in the ordinary course of business.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Indenture contains certain limitations on the rights of the Trustee, should it become a creditor of the Issuer or any Guarantor, to obtain payment of claims in certain cases, or to realize on certain assets received in respect of any such claim as security or otherwise. The Trustee is permitted to engage in other transactions; however, if it acquires any conflicting interest (as defined in the Trust Indenture Act), it must eliminate such conflict within 90 days, apply to the SEC for permission to continue or resign.</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Indenture contains provisions for the indemnification of the Trustee, the Paying Agent and the Registrar, and for their relief from responsibility. The obligations of the Trustee, the Paying Agent and the Registrar to a holder of a Note are subject to such immunities and rights as set forth in the Indenture. Deustche Bank Trust Company Americas in each of its capacities, including as Trustee, assumes no responsibility for the accuracy or completeness of the information contained in this document or the related documents or for any failure by the Issuer or any other party to disclose events that may have occurred and may affect the significance or accuracy of such information.</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 The Trustee shall not be deemed to have notice of any Default or Event of Default unless a responsible officer of the Trustee has actual knowledge thereof.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Indenture, the Notes and the Guarantees are governed by, and will be construed in accordance with, the laws of the State of New York.</w:t>
      </w:r>
    </w:p>
    <w:p>
      <w:pPr>
        <w:spacing w:after="0" w:line="2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Indenture provides that the Issuer and the Guarantors will submit to the non-exclusive jurisdiction of the competent federal courts in the City and State of New York with respect to disputes or claims made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notes will be initially issued in the form of one or more global notes (collectively, the “Global Notes”). The Global Notes will be deposited upon issuance with the Trustee as custodian for DTC, in New York, New York, and registered in the name of Cede &amp; Co., as nominee of DTC, for credit to an account of a direct or indirect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participant in DTC that has exchanged old notes for new notes in the exchange offer, as described below. Beneficial interests in the Global Notes may be held only through Euroclear Bank NV/SA, as operator of the Euroclear System (“Euroclear”) and Clearstream Banking, S.A. (“Clearstream”) (as indirect participants in DTC).</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 See “—Exchange of Global Notes for Certificated Notes.” Except in the limited circumstances described below, owners of beneficial interests in the Global Notes will not be entitled to receive Certificated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29"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DTC has advised the Issuer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also advised the Issuer that, pursuant to procedures established by it:</w:t>
      </w:r>
    </w:p>
    <w:p>
      <w:pPr>
        <w:spacing w:after="0" w:line="225" w:lineRule="exact"/>
        <w:rPr>
          <w:sz w:val="20"/>
          <w:szCs w:val="20"/>
          <w:color w:val="auto"/>
        </w:rPr>
      </w:pPr>
    </w:p>
    <w:p>
      <w:pPr>
        <w:ind w:left="660" w:right="240" w:hanging="652"/>
        <w:spacing w:after="0" w:line="277" w:lineRule="auto"/>
        <w:tabs>
          <w:tab w:leader="none" w:pos="6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exchange agent with portions of the principal amount of the Global Notes; and</w:t>
      </w:r>
    </w:p>
    <w:p>
      <w:pPr>
        <w:spacing w:after="0" w:line="170" w:lineRule="exact"/>
        <w:rPr>
          <w:rFonts w:ascii="Arial" w:cs="Arial" w:eastAsia="Arial" w:hAnsi="Arial"/>
          <w:sz w:val="18"/>
          <w:szCs w:val="18"/>
          <w:color w:val="auto"/>
        </w:rPr>
      </w:pPr>
    </w:p>
    <w:p>
      <w:pPr>
        <w:jc w:val="both"/>
        <w:ind w:left="660" w:right="380" w:hanging="652"/>
        <w:spacing w:after="0" w:line="264" w:lineRule="auto"/>
        <w:tabs>
          <w:tab w:leader="none" w:pos="6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Euroclear and Clearstream may hold interests in the Global Notes on behalf of their Participants through customers’ securities accounts in their respective names on the books of their respective depositaries in the DTC system.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jurisdictions may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4" w:lineRule="exact"/>
        <w:rPr>
          <w:sz w:val="20"/>
          <w:szCs w:val="20"/>
          <w:color w:val="auto"/>
        </w:rPr>
      </w:pPr>
    </w:p>
    <w:p>
      <w:pPr>
        <w:jc w:val="both"/>
        <w:ind w:right="300" w:firstLine="648"/>
        <w:spacing w:after="0" w:line="347"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payments in respect of a Global Note registered in the name of DTC or its nominee will be made to DTC in its capacity as the registered Holder under the Indenture. Under the terms of the Indenture, the Issuer and the Trustee will treat the Persons in whose names the Notes, including the Global Notes, are registered as the owners of the Notes for the purpose of receiving payments and for all other purposes. Consequently, neither the Issuer, the Trustee nor any agent of the Issuer or the Trustee has or will have any responsibility or liability for:</w:t>
      </w:r>
    </w:p>
    <w:p>
      <w:pPr>
        <w:spacing w:after="0" w:line="187" w:lineRule="exact"/>
        <w:rPr>
          <w:sz w:val="20"/>
          <w:szCs w:val="20"/>
          <w:color w:val="auto"/>
        </w:rPr>
      </w:pPr>
    </w:p>
    <w:p>
      <w:pPr>
        <w:jc w:val="both"/>
        <w:ind w:left="660" w:right="160" w:hanging="652"/>
        <w:spacing w:after="0" w:line="264" w:lineRule="auto"/>
        <w:tabs>
          <w:tab w:leader="none" w:pos="6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Neither the Issuer nor the Trustee will be liable for any delay by DTC or any of the Participants or the Indirect Participants in identifying the beneficial owners of the Notes, and the Issuer and the Trustee may conclusively rely on and will be protected in relying on instructions from DTC or its nominee for all purposes.</w:t>
      </w:r>
    </w:p>
    <w:p>
      <w:pPr>
        <w:spacing w:after="0" w:line="179"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19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DTC has advised the Issuer that it will take any action permitted to be taken by a Holder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80" w:hanging="652"/>
        <w:spacing w:after="0" w:line="308" w:lineRule="auto"/>
        <w:tabs>
          <w:tab w:leader="none" w:pos="667" w:val="left"/>
        </w:tabs>
        <w:numPr>
          <w:ilvl w:val="0"/>
          <w:numId w:val="74"/>
        </w:numPr>
        <w:rPr>
          <w:rFonts w:ascii="Arial" w:cs="Arial" w:eastAsia="Arial" w:hAnsi="Arial"/>
          <w:sz w:val="17"/>
          <w:szCs w:val="17"/>
          <w:color w:val="auto"/>
        </w:rPr>
      </w:pPr>
      <w:r>
        <w:rPr>
          <w:rFonts w:ascii="Arial" w:cs="Arial" w:eastAsia="Arial" w:hAnsi="Arial"/>
          <w:sz w:val="17"/>
          <w:szCs w:val="17"/>
          <w:color w:val="auto"/>
        </w:rPr>
        <w:t>DTC (a) notifies the Issuer that it is unwilling or unable to continue as depositary for the Global Notes or (b) has ceased to be a clearing agency registered under the Exchange Act and, in either case, the Issuer fails to appoint a successor depositary within 90 days;</w:t>
      </w:r>
    </w:p>
    <w:p>
      <w:pPr>
        <w:spacing w:after="0" w:line="146" w:lineRule="exact"/>
        <w:rPr>
          <w:rFonts w:ascii="Arial" w:cs="Arial" w:eastAsia="Arial" w:hAnsi="Arial"/>
          <w:sz w:val="17"/>
          <w:szCs w:val="17"/>
          <w:color w:val="auto"/>
        </w:rPr>
      </w:pPr>
    </w:p>
    <w:p>
      <w:pPr>
        <w:ind w:left="660" w:hanging="652"/>
        <w:spacing w:after="0" w:line="277" w:lineRule="auto"/>
        <w:tabs>
          <w:tab w:leader="none" w:pos="6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at its option but subject to DTC’s requirements, notifies the Trustee in writing that it elects to cause the issuance of the Certificated Notes; or</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has occurred and is continuing an Event of Default, and DTC notifies the Trustee of its decision to exchange such Global Note for Certificated Notes.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229"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 See “Transfer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full definition of all such terms.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364-Day Credit Agreement</w:t>
      </w:r>
      <w:r>
        <w:rPr>
          <w:rFonts w:ascii="Arial" w:cs="Arial" w:eastAsia="Arial" w:hAnsi="Arial"/>
          <w:sz w:val="17"/>
          <w:szCs w:val="17"/>
          <w:color w:val="auto"/>
        </w:rPr>
        <w:t>” means the 364-Day Revolving Credit Agreement dated as of August 16, 2018, among Weatherford Bermuda,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8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225" w:lineRule="exact"/>
        <w:rPr>
          <w:sz w:val="20"/>
          <w:szCs w:val="20"/>
          <w:color w:val="auto"/>
        </w:rPr>
      </w:pPr>
    </w:p>
    <w:p>
      <w:pPr>
        <w:ind w:left="660" w:right="100" w:hanging="652"/>
        <w:spacing w:after="0" w:line="342" w:lineRule="auto"/>
        <w:tabs>
          <w:tab w:leader="none" w:pos="6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23" w:lineRule="exact"/>
        <w:rPr>
          <w:rFonts w:ascii="Arial" w:cs="Arial" w:eastAsia="Arial" w:hAnsi="Arial"/>
          <w:sz w:val="16"/>
          <w:szCs w:val="16"/>
          <w:color w:val="auto"/>
        </w:rPr>
      </w:pPr>
    </w:p>
    <w:p>
      <w:pPr>
        <w:ind w:left="660" w:right="60" w:hanging="652"/>
        <w:spacing w:after="0" w:line="264" w:lineRule="auto"/>
        <w:tabs>
          <w:tab w:leader="none" w:pos="6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70"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660" w:hanging="652"/>
        <w:spacing w:after="0" w:line="264" w:lineRule="auto"/>
        <w:tabs>
          <w:tab w:leader="none" w:pos="6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81"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170" w:lineRule="exact"/>
        <w:rPr>
          <w:rFonts w:ascii="Arial" w:cs="Arial" w:eastAsia="Arial" w:hAnsi="Arial"/>
          <w:sz w:val="18"/>
          <w:szCs w:val="18"/>
          <w:color w:val="auto"/>
        </w:rPr>
      </w:pPr>
    </w:p>
    <w:p>
      <w:pPr>
        <w:jc w:val="both"/>
        <w:ind w:left="660" w:hanging="652"/>
        <w:spacing w:after="0" w:line="312" w:lineRule="auto"/>
        <w:tabs>
          <w:tab w:leader="none" w:pos="66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146" w:lineRule="exact"/>
        <w:rPr>
          <w:rFonts w:ascii="Arial" w:cs="Arial" w:eastAsia="Arial" w:hAnsi="Arial"/>
          <w:sz w:val="16"/>
          <w:szCs w:val="16"/>
          <w:color w:val="auto"/>
        </w:rPr>
      </w:pPr>
    </w:p>
    <w:p>
      <w:pPr>
        <w:ind w:left="660" w:right="180" w:hanging="652"/>
        <w:spacing w:after="0" w:line="277" w:lineRule="auto"/>
        <w:tabs>
          <w:tab w:leader="none" w:pos="6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hanging="652"/>
        <w:spacing w:after="0" w:line="277" w:lineRule="auto"/>
        <w:tabs>
          <w:tab w:leader="none" w:pos="6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170" w:lineRule="exact"/>
        <w:rPr>
          <w:rFonts w:ascii="Arial" w:cs="Arial" w:eastAsia="Arial" w:hAnsi="Arial"/>
          <w:sz w:val="18"/>
          <w:szCs w:val="18"/>
          <w:color w:val="auto"/>
        </w:rPr>
      </w:pPr>
    </w:p>
    <w:p>
      <w:pPr>
        <w:ind w:left="660" w:right="160" w:hanging="652"/>
        <w:spacing w:after="0" w:line="264" w:lineRule="auto"/>
        <w:tabs>
          <w:tab w:leader="none" w:pos="66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81" w:lineRule="exact"/>
        <w:rPr>
          <w:sz w:val="20"/>
          <w:szCs w:val="20"/>
          <w:color w:val="auto"/>
        </w:rPr>
      </w:pPr>
    </w:p>
    <w:p>
      <w:pPr>
        <w:ind w:right="3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w:t>
      </w:r>
    </w:p>
    <w:p>
      <w:pPr>
        <w:spacing w:after="0" w:line="2" w:lineRule="exact"/>
        <w:rPr>
          <w:sz w:val="20"/>
          <w:szCs w:val="20"/>
          <w:color w:val="auto"/>
        </w:rPr>
      </w:pPr>
    </w:p>
    <w:p>
      <w:pPr>
        <w:ind w:right="60" w:firstLine="8"/>
        <w:spacing w:after="0" w:line="253"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170"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1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70" w:lineRule="exact"/>
        <w:rPr>
          <w:rFonts w:ascii="Arial" w:cs="Arial" w:eastAsia="Arial" w:hAnsi="Arial"/>
          <w:sz w:val="18"/>
          <w:szCs w:val="18"/>
          <w:color w:val="auto"/>
        </w:rPr>
      </w:pPr>
    </w:p>
    <w:p>
      <w:pPr>
        <w:ind w:left="660" w:hanging="652"/>
        <w:spacing w:after="0" w:line="264" w:lineRule="auto"/>
        <w:tabs>
          <w:tab w:leader="none" w:pos="6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81" w:lineRule="exact"/>
        <w:rPr>
          <w:rFonts w:ascii="Arial" w:cs="Arial" w:eastAsia="Arial" w:hAnsi="Arial"/>
          <w:sz w:val="18"/>
          <w:szCs w:val="18"/>
          <w:color w:val="auto"/>
        </w:rPr>
      </w:pPr>
    </w:p>
    <w:p>
      <w:pPr>
        <w:ind w:left="660" w:right="480" w:hanging="652"/>
        <w:spacing w:after="0" w:line="312" w:lineRule="auto"/>
        <w:tabs>
          <w:tab w:leader="none" w:pos="6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58" w:lineRule="exact"/>
        <w:rPr>
          <w:sz w:val="20"/>
          <w:szCs w:val="20"/>
          <w:color w:val="auto"/>
        </w:rPr>
      </w:pPr>
    </w:p>
    <w:p>
      <w:pPr>
        <w:ind w:left="660" w:right="20" w:hanging="652"/>
        <w:spacing w:after="0" w:line="255" w:lineRule="auto"/>
        <w:tabs>
          <w:tab w:leader="none" w:pos="6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89" w:lineRule="exact"/>
        <w:rPr>
          <w:rFonts w:ascii="Arial" w:cs="Arial" w:eastAsia="Arial" w:hAnsi="Arial"/>
          <w:sz w:val="18"/>
          <w:szCs w:val="18"/>
          <w:color w:val="auto"/>
        </w:rPr>
      </w:pPr>
    </w:p>
    <w:p>
      <w:pPr>
        <w:ind w:left="660" w:hanging="652"/>
        <w:spacing w:after="0" w:line="290" w:lineRule="auto"/>
        <w:tabs>
          <w:tab w:leader="none" w:pos="6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6"/>
          <w:szCs w:val="16"/>
          <w:i w:val="1"/>
          <w:iCs w:val="1"/>
          <w:color w:val="auto"/>
        </w:rPr>
        <w:t>provided</w:t>
      </w:r>
      <w:r>
        <w:rPr>
          <w:rFonts w:ascii="Arial" w:cs="Arial" w:eastAsia="Arial" w:hAnsi="Arial"/>
          <w:sz w:val="16"/>
          <w:szCs w:val="16"/>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170" w:lineRule="exact"/>
        <w:rPr>
          <w:sz w:val="20"/>
          <w:szCs w:val="20"/>
          <w:color w:val="auto"/>
        </w:rPr>
      </w:pPr>
    </w:p>
    <w:p>
      <w:pPr>
        <w:ind w:left="660" w:right="280" w:hanging="652"/>
        <w:spacing w:after="0" w:line="264"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1" w:lineRule="exact"/>
        <w:rPr>
          <w:rFonts w:ascii="Arial" w:cs="Arial" w:eastAsia="Arial" w:hAnsi="Arial"/>
          <w:sz w:val="18"/>
          <w:szCs w:val="18"/>
          <w:color w:val="auto"/>
        </w:rPr>
      </w:pPr>
    </w:p>
    <w:p>
      <w:pPr>
        <w:ind w:left="660" w:right="200" w:hanging="652"/>
        <w:spacing w:after="0" w:line="264"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81" w:lineRule="exact"/>
        <w:rPr>
          <w:rFonts w:ascii="Arial" w:cs="Arial" w:eastAsia="Arial" w:hAnsi="Arial"/>
          <w:sz w:val="18"/>
          <w:szCs w:val="18"/>
          <w:color w:val="auto"/>
        </w:rPr>
      </w:pPr>
    </w:p>
    <w:p>
      <w:pPr>
        <w:ind w:left="660" w:right="360" w:hanging="652"/>
        <w:spacing w:after="0" w:line="264" w:lineRule="auto"/>
        <w:tabs>
          <w:tab w:leader="none" w:pos="6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for any period means the sum, without duplication, of the total interest expense of the relevant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211" w:lineRule="exact"/>
        <w:rPr>
          <w:sz w:val="20"/>
          <w:szCs w:val="20"/>
          <w:color w:val="auto"/>
        </w:rPr>
      </w:pPr>
    </w:p>
    <w:p>
      <w:pPr>
        <w:ind w:left="5620" w:right="4900" w:hanging="5612"/>
        <w:spacing w:after="0" w:line="624"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imputed interest on Capitalized Lease Obligations and Attributable Indebtedness;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rFonts w:ascii="Arial" w:cs="Arial" w:eastAsia="Arial" w:hAnsi="Arial"/>
          <w:sz w:val="18"/>
          <w:szCs w:val="18"/>
          <w:color w:val="auto"/>
        </w:rPr>
      </w:pPr>
    </w:p>
    <w:p>
      <w:pPr>
        <w:ind w:left="660" w:right="340" w:hanging="652"/>
        <w:spacing w:after="0" w:line="264" w:lineRule="auto"/>
        <w:tabs>
          <w:tab w:leader="none" w:pos="6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181" w:lineRule="exact"/>
        <w:rPr>
          <w:sz w:val="20"/>
          <w:szCs w:val="20"/>
          <w:color w:val="auto"/>
        </w:rPr>
      </w:pPr>
    </w:p>
    <w:p>
      <w:pPr>
        <w:ind w:left="660" w:right="20" w:hanging="652"/>
        <w:spacing w:after="0" w:line="264" w:lineRule="auto"/>
        <w:tabs>
          <w:tab w:leader="none" w:pos="6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81" w:lineRule="exact"/>
        <w:rPr>
          <w:rFonts w:ascii="Arial" w:cs="Arial" w:eastAsia="Arial" w:hAnsi="Arial"/>
          <w:sz w:val="18"/>
          <w:szCs w:val="18"/>
          <w:color w:val="auto"/>
        </w:rPr>
      </w:pPr>
    </w:p>
    <w:p>
      <w:pPr>
        <w:ind w:left="660" w:hanging="652"/>
        <w:spacing w:after="0" w:line="259" w:lineRule="auto"/>
        <w:tabs>
          <w:tab w:leader="none" w:pos="6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86" w:lineRule="exact"/>
        <w:rPr>
          <w:rFonts w:ascii="Arial" w:cs="Arial" w:eastAsia="Arial" w:hAnsi="Arial"/>
          <w:sz w:val="18"/>
          <w:szCs w:val="18"/>
          <w:color w:val="auto"/>
        </w:rPr>
      </w:pPr>
    </w:p>
    <w:p>
      <w:pPr>
        <w:ind w:left="660" w:hanging="652"/>
        <w:spacing w:after="0" w:line="279" w:lineRule="auto"/>
        <w:tabs>
          <w:tab w:leader="none" w:pos="66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225" w:lineRule="exact"/>
        <w:rPr>
          <w:rFonts w:ascii="Arial" w:cs="Arial" w:eastAsia="Arial" w:hAnsi="Arial"/>
          <w:sz w:val="18"/>
          <w:szCs w:val="18"/>
          <w:color w:val="auto"/>
        </w:rPr>
      </w:pPr>
    </w:p>
    <w:p>
      <w:pPr>
        <w:jc w:val="both"/>
        <w:ind w:left="660" w:right="60" w:hanging="652"/>
        <w:spacing w:after="0" w:line="264" w:lineRule="auto"/>
        <w:tabs>
          <w:tab w:leader="none" w:pos="6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Directors</w:t>
      </w:r>
      <w:r>
        <w:rPr>
          <w:rFonts w:ascii="Arial" w:cs="Arial" w:eastAsia="Arial" w:hAnsi="Arial"/>
          <w:sz w:val="17"/>
          <w:szCs w:val="17"/>
          <w:color w:val="auto"/>
        </w:rPr>
        <w:t>” means, as of any date of determination, any member of the Board of Directors of the Weatherford Parent Company who</w:t>
      </w:r>
    </w:p>
    <w:p>
      <w:pPr>
        <w:spacing w:after="0" w:line="35" w:lineRule="exact"/>
        <w:rPr>
          <w:sz w:val="20"/>
          <w:szCs w:val="20"/>
          <w:color w:val="auto"/>
        </w:rPr>
      </w:pPr>
    </w:p>
    <w:p>
      <w:pPr>
        <w:ind w:right="60" w:firstLine="8"/>
        <w:spacing w:after="0" w:line="254"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9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the covenant described under “—Certain Covenants— Limitation on Additional Indebtedness.”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or indentures (which may be outstanding at the same time and including, without limitation, the Revolving Credit Agreement, the Term Loan Agreement and the 364-Day Credit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to the extent such increase is permitted under the Indenture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Equity Interests</w:t>
      </w:r>
      <w:r>
        <w:rPr>
          <w:rFonts w:ascii="Arial" w:cs="Arial" w:eastAsia="Arial" w:hAnsi="Arial"/>
          <w:sz w:val="18"/>
          <w:szCs w:val="18"/>
          <w:color w:val="auto"/>
        </w:rPr>
        <w:t>”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in 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Repurchase Event,” and such Equity Interests specifically provide that the Issuer will not repurchase or redeem any such Equity Interests pursuant to such provisions prior to the Issuer’s purchase of the Notes as required pursuant to the provisions described under “—Change of Control Repurchase Event.”</w:t>
      </w:r>
    </w:p>
    <w:p>
      <w:pPr>
        <w:spacing w:after="0" w:line="17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Guarantee</w:t>
      </w:r>
      <w:r>
        <w:rPr>
          <w:rFonts w:ascii="Arial" w:cs="Arial" w:eastAsia="Arial" w:hAnsi="Arial"/>
          <w:sz w:val="18"/>
          <w:szCs w:val="18"/>
          <w:color w:val="auto"/>
        </w:rPr>
        <w:t>” means each Guarantee of the obligations with respect to the Exchange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for such term in the registration rights agreement.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225" w:lineRule="exact"/>
        <w:rPr>
          <w:sz w:val="20"/>
          <w:szCs w:val="20"/>
          <w:color w:val="auto"/>
        </w:rPr>
      </w:pPr>
    </w:p>
    <w:p>
      <w:pPr>
        <w:ind w:left="660" w:right="140" w:hanging="652"/>
        <w:spacing w:after="0" w:line="277" w:lineRule="auto"/>
        <w:tabs>
          <w:tab w:leader="none" w:pos="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non-contingent reimbursement obligations of such Person in respect of letters of credit, letters of guaranty and similar credit transactions;</w:t>
      </w:r>
    </w:p>
    <w:p>
      <w:pPr>
        <w:spacing w:after="0" w:line="236" w:lineRule="exact"/>
        <w:rPr>
          <w:rFonts w:ascii="Arial" w:cs="Arial" w:eastAsia="Arial" w:hAnsi="Arial"/>
          <w:sz w:val="17"/>
          <w:szCs w:val="17"/>
          <w:color w:val="auto"/>
        </w:rPr>
      </w:pPr>
    </w:p>
    <w:p>
      <w:pPr>
        <w:ind w:left="660" w:right="60" w:hanging="652"/>
        <w:spacing w:after="0" w:line="264" w:lineRule="auto"/>
        <w:tabs>
          <w:tab w:leader="none" w:pos="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81" w:lineRule="exact"/>
        <w:rPr>
          <w:rFonts w:ascii="Arial" w:cs="Arial" w:eastAsia="Arial" w:hAnsi="Arial"/>
          <w:sz w:val="18"/>
          <w:szCs w:val="18"/>
          <w:color w:val="auto"/>
        </w:rPr>
      </w:pPr>
    </w:p>
    <w:p>
      <w:pPr>
        <w:ind w:left="660" w:right="400" w:hanging="652"/>
        <w:spacing w:after="0" w:line="277" w:lineRule="auto"/>
        <w:tabs>
          <w:tab w:leader="none" w:pos="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170" w:lineRule="exact"/>
        <w:rPr>
          <w:rFonts w:ascii="Arial" w:cs="Arial" w:eastAsia="Arial" w:hAnsi="Arial"/>
          <w:sz w:val="18"/>
          <w:szCs w:val="18"/>
          <w:color w:val="auto"/>
        </w:rPr>
      </w:pPr>
    </w:p>
    <w:p>
      <w:pPr>
        <w:ind w:left="660" w:hanging="652"/>
        <w:spacing w:after="0" w:line="277" w:lineRule="auto"/>
        <w:tabs>
          <w:tab w:leader="none" w:pos="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Indebtedness of others secured by a Lien on any asset of such Person, whether or not such Indebtedness is assumed by such Person;</w:t>
      </w:r>
    </w:p>
    <w:p>
      <w:pPr>
        <w:spacing w:after="0" w:line="236" w:lineRule="exact"/>
        <w:rPr>
          <w:rFonts w:ascii="Arial" w:cs="Arial" w:eastAsia="Arial" w:hAnsi="Arial"/>
          <w:sz w:val="17"/>
          <w:szCs w:val="17"/>
          <w:color w:val="auto"/>
        </w:rPr>
      </w:pPr>
    </w:p>
    <w:p>
      <w:pPr>
        <w:ind w:left="660" w:right="140" w:hanging="652"/>
        <w:spacing w:after="0" w:line="264" w:lineRule="auto"/>
        <w:tabs>
          <w:tab w:leader="none" w:pos="6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181" w:lineRule="exact"/>
        <w:rPr>
          <w:rFonts w:ascii="Arial" w:cs="Arial" w:eastAsia="Arial" w:hAnsi="Arial"/>
          <w:sz w:val="18"/>
          <w:szCs w:val="18"/>
          <w:color w:val="auto"/>
        </w:rPr>
      </w:pPr>
    </w:p>
    <w:p>
      <w:pPr>
        <w:ind w:left="660" w:right="480" w:hanging="652"/>
        <w:spacing w:after="0" w:line="308" w:lineRule="auto"/>
        <w:tabs>
          <w:tab w:leader="none" w:pos="667"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225" w:lineRule="exact"/>
        <w:rPr>
          <w:sz w:val="20"/>
          <w:szCs w:val="20"/>
          <w:color w:val="auto"/>
        </w:rPr>
      </w:pPr>
    </w:p>
    <w:p>
      <w:pPr>
        <w:ind w:left="660" w:right="120" w:hanging="652"/>
        <w:spacing w:after="0" w:line="342" w:lineRule="auto"/>
        <w:tabs>
          <w:tab w:leader="none" w:pos="66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23" w:lineRule="exact"/>
        <w:rPr>
          <w:rFonts w:ascii="Arial" w:cs="Arial" w:eastAsia="Arial" w:hAnsi="Arial"/>
          <w:sz w:val="16"/>
          <w:szCs w:val="16"/>
          <w:color w:val="auto"/>
        </w:rPr>
      </w:pPr>
    </w:p>
    <w:p>
      <w:pPr>
        <w:ind w:left="660" w:right="80" w:hanging="652"/>
        <w:spacing w:after="0" w:line="308" w:lineRule="auto"/>
        <w:tabs>
          <w:tab w:leader="none" w:pos="667"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other items that would be classified as investments in another Person on a balance sheet of such Person prepared in accordance with GAAP; and</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February 28, 2018.</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Weatherford International, LLC, a Delaware limited liability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any mortgage, pledge, security interest, charge, lien or other encumbrance of any kind, whether or not filed, recorded or perfected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 shall not include or cover setoff rights and other standard arrangements for netting payment obligations in the settlement of obligations arising under (i) ISDA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225" w:lineRule="exact"/>
        <w:rPr>
          <w:sz w:val="20"/>
          <w:szCs w:val="20"/>
          <w:color w:val="auto"/>
        </w:rPr>
      </w:pPr>
    </w:p>
    <w:p>
      <w:pPr>
        <w:ind w:left="660" w:hanging="652"/>
        <w:spacing w:after="0" w:line="264" w:lineRule="auto"/>
        <w:tabs>
          <w:tab w:leader="none" w:pos="6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81" w:lineRule="exact"/>
        <w:rPr>
          <w:rFonts w:ascii="Arial" w:cs="Arial" w:eastAsia="Arial" w:hAnsi="Arial"/>
          <w:sz w:val="18"/>
          <w:szCs w:val="18"/>
          <w:color w:val="auto"/>
        </w:rPr>
      </w:pPr>
    </w:p>
    <w:p>
      <w:pPr>
        <w:ind w:left="660" w:right="480" w:hanging="652"/>
        <w:spacing w:after="0" w:line="312" w:lineRule="auto"/>
        <w:tabs>
          <w:tab w:leader="none" w:pos="667"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Officer’s Certificate</w:t>
      </w:r>
      <w:r>
        <w:rPr>
          <w:rFonts w:ascii="Arial" w:cs="Arial" w:eastAsia="Arial" w:hAnsi="Arial"/>
          <w:sz w:val="17"/>
          <w:szCs w:val="17"/>
          <w:color w:val="auto"/>
        </w:rPr>
        <w:t>” means a certificate signed by an Officer of the Issuer or a Guarantor, as appropriate, and delivered to the Trustee.</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the covenant described under “—Certain Covenants—Limitation on Additional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ind w:left="660" w:right="200" w:hanging="652"/>
        <w:spacing w:after="0" w:line="312" w:lineRule="auto"/>
        <w:tabs>
          <w:tab w:leader="none" w:pos="66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loans and advances to directors, employees and officers of the Parent Guarantor and its Restricted Subsidiaries in the ordinary course of business;</w:t>
      </w:r>
    </w:p>
    <w:p>
      <w:pPr>
        <w:spacing w:after="0" w:line="248" w:lineRule="exact"/>
        <w:rPr>
          <w:rFonts w:ascii="Arial" w:cs="Arial" w:eastAsia="Arial" w:hAnsi="Arial"/>
          <w:sz w:val="16"/>
          <w:szCs w:val="16"/>
          <w:color w:val="auto"/>
        </w:rPr>
      </w:pPr>
    </w:p>
    <w:p>
      <w:pPr>
        <w:ind w:left="660" w:right="560" w:hanging="652"/>
        <w:spacing w:after="0" w:line="277"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jc w:val="both"/>
        <w:ind w:left="660" w:right="60" w:hanging="652"/>
        <w:spacing w:after="0" w:line="264"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trade terms may include such concessionary trade terms as the Parent Guarantor or any such Restricted Subsidiary deems reasonable under the circumstances;</w:t>
      </w:r>
    </w:p>
    <w:p>
      <w:pPr>
        <w:spacing w:after="0" w:line="181" w:lineRule="exact"/>
        <w:rPr>
          <w:rFonts w:ascii="Arial" w:cs="Arial" w:eastAsia="Arial" w:hAnsi="Arial"/>
          <w:sz w:val="18"/>
          <w:szCs w:val="18"/>
          <w:color w:val="auto"/>
        </w:rPr>
      </w:pPr>
    </w:p>
    <w:p>
      <w:pPr>
        <w:ind w:left="660" w:right="60" w:hanging="652"/>
        <w:spacing w:after="0" w:line="264"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1" w:lineRule="exact"/>
        <w:rPr>
          <w:rFonts w:ascii="Arial" w:cs="Arial" w:eastAsia="Arial" w:hAnsi="Arial"/>
          <w:sz w:val="18"/>
          <w:szCs w:val="18"/>
          <w:color w:val="auto"/>
        </w:rPr>
      </w:pPr>
    </w:p>
    <w:p>
      <w:pPr>
        <w:ind w:left="660" w:right="460" w:hanging="652"/>
        <w:spacing w:after="0" w:line="277" w:lineRule="auto"/>
        <w:tabs>
          <w:tab w:leader="none" w:pos="6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660" w:right="260" w:hanging="652"/>
        <w:spacing w:after="0" w:line="277" w:lineRule="auto"/>
        <w:tabs>
          <w:tab w:leader="none" w:pos="656"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225" w:lineRule="exact"/>
        <w:rPr>
          <w:rFonts w:ascii="Arial" w:cs="Arial" w:eastAsia="Arial" w:hAnsi="Arial"/>
          <w:sz w:val="18"/>
          <w:szCs w:val="18"/>
          <w:color w:val="auto"/>
        </w:rPr>
      </w:pPr>
    </w:p>
    <w:p>
      <w:pPr>
        <w:ind w:left="660" w:right="480" w:hanging="652"/>
        <w:spacing w:after="0" w:line="277" w:lineRule="auto"/>
        <w:tabs>
          <w:tab w:leader="none" w:pos="6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guarantees of Indebtedness of the Parent Guarantor or any of its Restricted Subsidiaries permitted in accordance with “—Certain Covenants— Limitation on Additional Indebtedness”;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225" w:lineRule="exact"/>
        <w:rPr>
          <w:rFonts w:ascii="Arial" w:cs="Arial" w:eastAsia="Arial" w:hAnsi="Arial"/>
          <w:sz w:val="18"/>
          <w:szCs w:val="18"/>
          <w:color w:val="auto"/>
        </w:rPr>
      </w:pPr>
    </w:p>
    <w:p>
      <w:pPr>
        <w:ind w:left="660" w:hanging="652"/>
        <w:spacing w:after="0" w:line="259" w:lineRule="auto"/>
        <w:tabs>
          <w:tab w:leader="none" w:pos="6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225" w:lineRule="exact"/>
        <w:rPr>
          <w:rFonts w:ascii="Arial" w:cs="Arial" w:eastAsia="Arial" w:hAnsi="Arial"/>
          <w:sz w:val="18"/>
          <w:szCs w:val="18"/>
          <w:color w:val="auto"/>
        </w:rPr>
      </w:pPr>
    </w:p>
    <w:p>
      <w:pPr>
        <w:ind w:left="660" w:right="540" w:hanging="652"/>
        <w:spacing w:after="0" w:line="342" w:lineRule="auto"/>
        <w:tabs>
          <w:tab w:leader="none" w:pos="66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(exclusive of Disqualified Equity Interests) of the Parent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Equity Interests will not increase the amount available for Restricted Payments under the Restricted Payments Basket;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Investments consisting of the licensing or contribution of intellectual property pursuant to joint marketing arrangements with other Persons;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312" w:lineRule="auto"/>
        <w:tabs>
          <w:tab w:leader="none" w:pos="663" w:val="left"/>
        </w:tabs>
        <w:numPr>
          <w:ilvl w:val="0"/>
          <w:numId w:val="91"/>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146" w:lineRule="exact"/>
        <w:rPr>
          <w:rFonts w:ascii="Arial" w:cs="Arial" w:eastAsia="Arial" w:hAnsi="Arial"/>
          <w:sz w:val="16"/>
          <w:szCs w:val="16"/>
          <w:color w:val="auto"/>
        </w:rPr>
      </w:pPr>
    </w:p>
    <w:p>
      <w:pPr>
        <w:ind w:left="660" w:right="500" w:hanging="652"/>
        <w:spacing w:after="0" w:line="277" w:lineRule="auto"/>
        <w:tabs>
          <w:tab w:leader="none" w:pos="6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Covenants—Limitation on Restricted Payments.”</w:t>
      </w:r>
    </w:p>
    <w:p>
      <w:pPr>
        <w:spacing w:after="0" w:line="181" w:lineRule="exact"/>
        <w:rPr>
          <w:sz w:val="20"/>
          <w:szCs w:val="20"/>
          <w:color w:val="auto"/>
        </w:rPr>
      </w:pPr>
    </w:p>
    <w:p>
      <w:pPr>
        <w:ind w:right="40"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w:t>
      </w:r>
    </w:p>
    <w:p>
      <w:pPr>
        <w:spacing w:after="0" w:line="13" w:lineRule="exact"/>
        <w:rPr>
          <w:sz w:val="20"/>
          <w:szCs w:val="20"/>
          <w:color w:val="auto"/>
        </w:rPr>
      </w:pPr>
    </w:p>
    <w:p>
      <w:pPr>
        <w:ind w:right="120" w:firstLine="8"/>
        <w:spacing w:after="0" w:line="302" w:lineRule="auto"/>
        <w:tabs>
          <w:tab w:leader="none" w:pos="3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5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4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6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4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of the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6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6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3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the covenant described under “—Certain Covenants—Limitation on Designation of Unrestricted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212" w:lineRule="exact"/>
        <w:rPr>
          <w:sz w:val="20"/>
          <w:szCs w:val="20"/>
          <w:color w:val="auto"/>
        </w:rPr>
      </w:pPr>
    </w:p>
    <w:p>
      <w:pPr>
        <w:ind w:left="660" w:right="40" w:hanging="652"/>
        <w:spacing w:after="0" w:line="297" w:lineRule="auto"/>
        <w:tabs>
          <w:tab w:leader="none" w:pos="667"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44" w:lineRule="exact"/>
        <w:rPr>
          <w:rFonts w:ascii="Arial" w:cs="Arial" w:eastAsia="Arial" w:hAnsi="Arial"/>
          <w:sz w:val="16"/>
          <w:szCs w:val="16"/>
          <w:color w:val="auto"/>
        </w:rPr>
      </w:pPr>
    </w:p>
    <w:p>
      <w:pPr>
        <w:jc w:val="both"/>
        <w:ind w:left="660" w:right="100" w:hanging="652"/>
        <w:spacing w:after="0" w:line="264" w:lineRule="auto"/>
        <w:tabs>
          <w:tab w:leader="none" w:pos="6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60" w:right="160" w:hanging="652"/>
        <w:spacing w:after="0" w:line="277" w:lineRule="auto"/>
        <w:tabs>
          <w:tab w:leader="none" w:pos="66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“New Parent”),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as a result thereof:</w:t>
      </w:r>
    </w:p>
    <w:p>
      <w:pPr>
        <w:spacing w:after="0" w:line="225" w:lineRule="exact"/>
        <w:rPr>
          <w:rFonts w:ascii="Arial" w:cs="Arial" w:eastAsia="Arial" w:hAnsi="Arial"/>
          <w:sz w:val="18"/>
          <w:szCs w:val="18"/>
          <w:color w:val="auto"/>
        </w:rPr>
      </w:pPr>
    </w:p>
    <w:p>
      <w:pPr>
        <w:ind w:left="1300" w:right="360" w:hanging="644"/>
        <w:spacing w:after="0" w:line="264" w:lineRule="auto"/>
        <w:tabs>
          <w:tab w:leader="none" w:pos="13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300" w:hanging="644"/>
        <w:spacing w:after="0" w:line="272" w:lineRule="auto"/>
        <w:tabs>
          <w:tab w:leader="none" w:pos="1310" w:val="left"/>
        </w:tabs>
        <w:numPr>
          <w:ilvl w:val="1"/>
          <w:numId w:val="94"/>
        </w:numPr>
        <w:rPr>
          <w:rFonts w:ascii="Arial" w:cs="Arial" w:eastAsia="Arial" w:hAnsi="Arial"/>
          <w:sz w:val="17"/>
          <w:szCs w:val="17"/>
          <w:color w:val="auto"/>
        </w:rPr>
      </w:pPr>
      <w:r>
        <w:rPr>
          <w:rFonts w:ascii="Arial" w:cs="Arial" w:eastAsia="Arial" w:hAnsi="Arial"/>
          <w:sz w:val="17"/>
          <w:szCs w:val="17"/>
          <w:color w:val="auto"/>
        </w:rPr>
        <w:t>in the case of any action specified in clause (c), the New Parent (in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1" w:lineRule="exact"/>
        <w:rPr>
          <w:sz w:val="20"/>
          <w:szCs w:val="20"/>
          <w:color w:val="auto"/>
        </w:rPr>
      </w:pPr>
    </w:p>
    <w:p>
      <w:pPr>
        <w:ind w:left="660" w:right="340" w:hanging="652"/>
        <w:spacing w:after="0" w:line="302" w:lineRule="auto"/>
        <w:tabs>
          <w:tab w:leader="none" w:pos="66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54" w:lineRule="exact"/>
        <w:rPr>
          <w:rFonts w:ascii="Arial" w:cs="Arial" w:eastAsia="Arial" w:hAnsi="Arial"/>
          <w:sz w:val="16"/>
          <w:szCs w:val="16"/>
          <w:color w:val="auto"/>
        </w:rPr>
      </w:pPr>
    </w:p>
    <w:p>
      <w:pPr>
        <w:ind w:left="660" w:right="40" w:hanging="652"/>
        <w:spacing w:after="0" w:line="264" w:lineRule="auto"/>
        <w:tabs>
          <w:tab w:leader="none" w:pos="6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181" w:lineRule="exact"/>
        <w:rPr>
          <w:rFonts w:ascii="Arial" w:cs="Arial" w:eastAsia="Arial" w:hAnsi="Arial"/>
          <w:sz w:val="18"/>
          <w:szCs w:val="18"/>
          <w:color w:val="auto"/>
        </w:rPr>
      </w:pPr>
    </w:p>
    <w:p>
      <w:pPr>
        <w:ind w:left="660" w:right="280" w:hanging="652"/>
        <w:spacing w:after="0" w:line="264" w:lineRule="auto"/>
        <w:tabs>
          <w:tab w:leader="none" w:pos="6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1" w:lineRule="exact"/>
        <w:rPr>
          <w:rFonts w:ascii="Arial" w:cs="Arial" w:eastAsia="Arial" w:hAnsi="Arial"/>
          <w:sz w:val="18"/>
          <w:szCs w:val="18"/>
          <w:color w:val="auto"/>
        </w:rPr>
      </w:pPr>
    </w:p>
    <w:p>
      <w:pPr>
        <w:ind w:left="660" w:right="120" w:hanging="652"/>
        <w:spacing w:after="0" w:line="277" w:lineRule="auto"/>
        <w:tabs>
          <w:tab w:leader="none" w:pos="6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170" w:lineRule="exact"/>
        <w:rPr>
          <w:rFonts w:ascii="Arial" w:cs="Arial" w:eastAsia="Arial" w:hAnsi="Arial"/>
          <w:sz w:val="18"/>
          <w:szCs w:val="18"/>
          <w:color w:val="auto"/>
        </w:rPr>
      </w:pPr>
    </w:p>
    <w:p>
      <w:pPr>
        <w:ind w:left="660" w:right="100" w:hanging="652"/>
        <w:spacing w:after="0" w:line="286" w:lineRule="auto"/>
        <w:tabs>
          <w:tab w:leader="none" w:pos="66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that certain registration rights agreement dated as of February 28, 2018, by and among the Issuer, the Guarantors and Deutsche Bank Securities Inc. as representative of the several initial purchasers named therein and, with respect to any Additional Notes, one or more substantially similar registration rights agreements among the Issuer and the other parties thereto, as any such agreement may be amended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225" w:lineRule="exact"/>
        <w:rPr>
          <w:sz w:val="20"/>
          <w:szCs w:val="20"/>
          <w:color w:val="auto"/>
        </w:rPr>
      </w:pPr>
    </w:p>
    <w:p>
      <w:pPr>
        <w:ind w:left="660" w:right="520" w:hanging="652"/>
        <w:spacing w:after="0" w:line="291" w:lineRule="auto"/>
        <w:tabs>
          <w:tab w:leader="none" w:pos="667"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w:t>
      </w:r>
    </w:p>
    <w:p>
      <w:pPr>
        <w:ind w:left="660" w:right="280"/>
        <w:spacing w:after="0" w:line="261" w:lineRule="auto"/>
        <w:rPr>
          <w:rFonts w:ascii="Arial" w:cs="Arial" w:eastAsia="Arial" w:hAnsi="Arial"/>
          <w:sz w:val="16"/>
          <w:szCs w:val="16"/>
          <w:color w:val="auto"/>
        </w:rPr>
      </w:pPr>
      <w:r>
        <w:rPr>
          <w:rFonts w:ascii="Arial" w:cs="Arial" w:eastAsia="Arial" w:hAnsi="Arial"/>
          <w:sz w:val="18"/>
          <w:szCs w:val="18"/>
          <w:color w:val="auto"/>
        </w:rPr>
        <w:t>(y) withholding imposed on payments made by any Successor Parent), required to be paid (provided such taxes are in fact paid) by any Successor Parent by virtue of its:</w:t>
      </w:r>
    </w:p>
    <w:p>
      <w:pPr>
        <w:spacing w:after="0" w:line="184" w:lineRule="exact"/>
        <w:rPr>
          <w:sz w:val="20"/>
          <w:szCs w:val="20"/>
          <w:color w:val="auto"/>
        </w:rPr>
      </w:pPr>
    </w:p>
    <w:p>
      <w:pPr>
        <w:ind w:left="1300" w:right="300" w:hanging="644"/>
        <w:spacing w:after="0" w:line="308" w:lineRule="auto"/>
        <w:tabs>
          <w:tab w:leader="none" w:pos="1297" w:val="left"/>
        </w:tabs>
        <w:numPr>
          <w:ilvl w:val="1"/>
          <w:numId w:val="97"/>
        </w:numPr>
        <w:rPr>
          <w:rFonts w:ascii="Arial" w:cs="Arial" w:eastAsia="Arial" w:hAnsi="Arial"/>
          <w:sz w:val="17"/>
          <w:szCs w:val="17"/>
          <w:color w:val="auto"/>
        </w:rPr>
      </w:pPr>
      <w:r>
        <w:rPr>
          <w:rFonts w:ascii="Arial" w:cs="Arial" w:eastAsia="Arial" w:hAnsi="Arial"/>
          <w:sz w:val="17"/>
          <w:szCs w:val="17"/>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being a holding company parent, directly or indirectly, of the Parent Guarantor or any of the Parent Guarantor’s Subsidiaries;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1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170" w:lineRule="exact"/>
        <w:rPr>
          <w:rFonts w:ascii="Arial" w:cs="Arial" w:eastAsia="Arial" w:hAnsi="Arial"/>
          <w:sz w:val="18"/>
          <w:szCs w:val="18"/>
          <w:color w:val="auto"/>
        </w:rPr>
      </w:pPr>
    </w:p>
    <w:p>
      <w:pPr>
        <w:ind w:left="1300" w:right="340" w:hanging="644"/>
        <w:spacing w:after="0" w:line="342" w:lineRule="auto"/>
        <w:tabs>
          <w:tab w:leader="none" w:pos="1307" w:val="left"/>
        </w:tabs>
        <w:numPr>
          <w:ilvl w:val="1"/>
          <w:numId w:val="97"/>
        </w:numPr>
        <w:rPr>
          <w:rFonts w:ascii="Arial" w:cs="Arial" w:eastAsia="Arial" w:hAnsi="Arial"/>
          <w:sz w:val="16"/>
          <w:szCs w:val="16"/>
          <w:color w:val="auto"/>
        </w:rPr>
      </w:pPr>
      <w:r>
        <w:rPr>
          <w:rFonts w:ascii="Arial" w:cs="Arial" w:eastAsia="Arial" w:hAnsi="Arial"/>
          <w:sz w:val="16"/>
          <w:szCs w:val="16"/>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123" w:lineRule="exact"/>
        <w:rPr>
          <w:rFonts w:ascii="Arial" w:cs="Arial" w:eastAsia="Arial" w:hAnsi="Arial"/>
          <w:sz w:val="16"/>
          <w:szCs w:val="16"/>
          <w:color w:val="auto"/>
        </w:rPr>
      </w:pPr>
    </w:p>
    <w:p>
      <w:pPr>
        <w:ind w:left="660" w:hanging="652"/>
        <w:spacing w:after="0" w:line="276" w:lineRule="auto"/>
        <w:tabs>
          <w:tab w:leader="none" w:pos="667"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right="100" w:hanging="652"/>
        <w:spacing w:after="0" w:line="272" w:lineRule="auto"/>
        <w:tabs>
          <w:tab w:leader="none" w:pos="6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77" w:lineRule="exact"/>
        <w:rPr>
          <w:rFonts w:ascii="Arial" w:cs="Arial" w:eastAsia="Arial" w:hAnsi="Arial"/>
          <w:sz w:val="17"/>
          <w:szCs w:val="17"/>
          <w:color w:val="auto"/>
        </w:rPr>
      </w:pPr>
    </w:p>
    <w:p>
      <w:pPr>
        <w:ind w:left="660" w:right="160" w:hanging="652"/>
        <w:spacing w:after="0" w:line="286" w:lineRule="auto"/>
        <w:tabs>
          <w:tab w:leader="none" w:pos="66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652"/>
        <w:spacing w:after="0" w:line="257" w:lineRule="auto"/>
        <w:tabs>
          <w:tab w:leader="none" w:pos="6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the covenant described under “—Certain Covenants— Limitation on Restricted 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Credit Agreement</w:t>
      </w:r>
      <w:r>
        <w:rPr>
          <w:rFonts w:ascii="Arial" w:cs="Arial" w:eastAsia="Arial" w:hAnsi="Arial"/>
          <w:sz w:val="17"/>
          <w:szCs w:val="17"/>
          <w:color w:val="auto"/>
        </w:rPr>
        <w:t>” means the Amended and Restated Credit Agreement dated as of May 4, 2016, among Weatherford Bermuda,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and its successors.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hanging="652"/>
        <w:spacing w:after="0" w:line="277" w:lineRule="auto"/>
        <w:tabs>
          <w:tab w:leader="none" w:pos="66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Weatherford Bermuda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Loan Agreement</w:t>
      </w:r>
      <w:r>
        <w:rPr>
          <w:rFonts w:ascii="Arial" w:cs="Arial" w:eastAsia="Arial" w:hAnsi="Arial"/>
          <w:sz w:val="17"/>
          <w:szCs w:val="17"/>
          <w:color w:val="auto"/>
        </w:rPr>
        <w:t>” means the Term Loan Agreement dated as of May 4, 2016, among Weatherford Bermuda,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to the extent such increase is permitted under the Indenture or adding or removing Subsidiaries as borrowers or guarantors thereunder) all or any portion of the Indebtedness under such agreement or facility or any successor or replacement agreement or facility.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following discussion summarizes the material U.S. federal income tax consequences of the exchange of the old notes for the new notes pursuant to the exchange offer, but does not purport to be a complete analysis of all potential tax effects relating thereto. The effects of other U.S. federal tax laws, such as estate and gift tax laws, and any applicable state, local or foreign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notes. We have not sought and will not seek any rulings from the IRS regarding the matters discussed below. There can be no assurance the IRS or a court will not take a contrary position to that discussed below regarding the tax consequences of the exchange of the old notes for the new notes pursuant to the exchange offer.</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discussion does not address all U.S. federal income tax consequences relevant to a holder’s particular circumstances. In addition, it does not address consequences relevant to holders subject to special rules, including, without limitation:</w:t>
      </w:r>
    </w:p>
    <w:p>
      <w:pPr>
        <w:spacing w:after="0" w:line="170" w:lineRule="exact"/>
        <w:rPr>
          <w:sz w:val="20"/>
          <w:szCs w:val="20"/>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United States persons (as defined in the Code) whose functional currency is not the U.S. dollar;</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2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holding the notes as part of a hedge, straddle or other risk reduction strategy or as part of a conversion transaction or other integrated investment;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2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individual retirement and other tax-deferred accounts;</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notes being taken into account in an applicable financial statement;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persons deemed to sell the notes under the constructive sale provisions of the Code.</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EXCHANGE OF THE OLD NOTES FOR THE NEW NOTES ARISING UNDER OTHER U.S. FEDERAL TAX LAWS (INCLUDING ESTATE AND GIFT TAX LAWS), UNDER THE LAWS OF ANY STATE, LOCAL OR NON-U.S. TAXING JURISDICTION OR UNDER ANY APPLICABLE TAX TREATY.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Pursuant to the Exchange Offer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exchange of old notes for new notes pursuant to the exchange offer should not be treated as an “exchange” for U.S. federal income tax purposes, because the new notes should not be considered to differ materially in kind or extent from the old notes. Accordingly, the exchange of old notes for new notes should not be a taxable event to holders for U.S. federal income tax purposes. Moreover, the new notes should have the same tax attributes as the old notes exchanged therefor and the same tax consequences to holders as the old notes have to holders, including without limitation, the same issue price, tax basis and holding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IRISH TAX CONSIDERATIONS</w:t>
      </w:r>
    </w:p>
    <w:p>
      <w:pPr>
        <w:spacing w:after="0" w:line="22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withholding tax</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Payments under the notes can be paid by Weatherford Delaware and any paying agent acting on behalf of Weatherford Delaware without any withholding or deduction for or on account of Irish income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encashment tax</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BERMUDA TAX CONSIDERATIONS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Weatherford Bermuda or by holders of the notes guaranteed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is a summary of certain Swiss tax consequences to non-Swiss holders under present law of the purchase, ownership, exchange, disposition and redemption of the notes. The summary does not purport to be a comprehensive description of all of the Swiss tax considerations that may be relevant to a decision to purchase, own, exchange, dispose or redeem such notes.</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PROSPECTIVE NOTE HOLDERS ARE URGED TO CONSULT THEIR TAX ADVISORS ABOUT THE APPLICATION OF THE SWISS TAX RULES TO THEIR PARTICULAR CIRCUMSTANCES AS WELL AS THE SWISS FEDERAL AND CANTONAL/COMMUNAL TAX CONSEQUENCES TO THEM OF THE PURCHASE, OWNERSHIP, EXCHANGE, DISPOSITION AND REDEMPTION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Exchange, Disposition and Redemption of Notes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Income Tax on Interest Payments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non-Swiss holder will not be subject to Swiss income taxes on interest income (annual interest payments and any other payments that are treated like interest payments for Swiss tax purposes) in respect of the notes, unless the notes are attributable to a permanent establishment, a fixed place of business maintained in Switzerland or another taxable presence in Switzerland of such non-Swiss holder.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Wealth Tax</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Income Tax on Capital Gains upon Disposal, Exchange or Other Disposition of the Notes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unless the holder’s notes are attributable to a permanent establishment, a fixed place of business maintained in Switzerland or another taxable presence in Switzerland of such non-Swiss holder.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Income Tax upon Redemption of the Notes</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Withholding Tax on Interest Payments on the Notes</w:t>
      </w:r>
    </w:p>
    <w:p>
      <w:pPr>
        <w:spacing w:after="0" w:line="225"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Exchange of Information in Tax Matters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November 19, 2014, Switzerland signed the Multilateral Competent Authority Agreement (the “MCAA”). The MCAA is based on article 6 of the Organisation for Economic Co-operation and Development/ Council of Europe administrative assistance convention and is intended to ensure the uniform implementation of Automatic Exchange of Information (the “AEOI”). The Federal Act on the International Automatic Exchange of Information in Tax Matters (the “AEOI Act”) entered into force on January 1, 2017. The AEOI Act is the legal basis for the implementation of the AEOI standard in Switzerland.</w:t>
      </w:r>
    </w:p>
    <w:p>
      <w:pPr>
        <w:spacing w:after="0" w:line="15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speciality (i.e. the information exchanged may only be used to assess and levy taxes (and for criminal tax proceedings)) and adequate data protection.</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Switzerland has concluded a multilateral AEOI agreement with the European Union (“EU”) (replacing the EU savings tax agreement) and has concluded bilateral AEOI agreements with several non-EU countries.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will begin to collect data in respect of financial assets held in, and income derived thereon and credited to, accounts or deposits with a paying agent in Switzerland for the benefit of individuals or certain type of entities resident in a EU member state or in a treaty state from, depending on the effectiveness date of the agreement, 2017 or 2018, as the case may be, and begin to exchange it from 2018 or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Swiss Federal Stamp Duties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EACH PROSPECTIVE NOTE HOLDER SHOULD CONSULT HIS OR HER TAX ADVISOR AS TO THE PARTICULAR CONSEQUENCES THAT MAY APPLY TO SUCH NOTE 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Based on interpretations by the staff of the SEC in no-action letters issued to third parties, we believe that you may transfer new notes issued in the exchange offer in exchange for the old notes if:</w:t>
      </w:r>
    </w:p>
    <w:p>
      <w:pPr>
        <w:spacing w:after="0" w:line="170" w:lineRule="exact"/>
        <w:rPr>
          <w:sz w:val="20"/>
          <w:szCs w:val="20"/>
          <w:color w:val="auto"/>
        </w:rPr>
      </w:pPr>
    </w:p>
    <w:p>
      <w:pPr>
        <w:ind w:left="1260" w:hanging="604"/>
        <w:spacing w:after="0"/>
        <w:tabs>
          <w:tab w:leader="none" w:pos="1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 acquire the new notes in the ordinary course of your business; and</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2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 are not engaged in, and do not intend to engage in, and have no arrangement or understanding with any person to participate in, a distribution of such new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participate in the exchange offer if you are:</w:t>
      </w:r>
    </w:p>
    <w:p>
      <w:pPr>
        <w:spacing w:after="0" w:line="229" w:lineRule="exact"/>
        <w:rPr>
          <w:sz w:val="20"/>
          <w:szCs w:val="20"/>
          <w:color w:val="auto"/>
        </w:rPr>
      </w:pPr>
    </w:p>
    <w:p>
      <w:pPr>
        <w:ind w:left="1260" w:hanging="604"/>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“affiliate” of ours within the meaning of Rule 405 under the Securities Act;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broker-dealer that acquired old notes directly from us.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this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old notes, with the prospectus contained in the registration statement relating to the exchange offer. On this basis,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exchange date (as such period may be extended), we will make this prospectus, as amended or supplemented, available to any broker-dealer for use in connection with any such resale. In addition, until such date, all dealers effecting transactions in new notes may be required to deliver this prospectus.</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you wish to exchange new notes for your old notes in the exchange offer, you will be required to make representations to us as described in “Exchange Offer—Procedures for Tendering—Your Representations to Us” in this prospectus. As indicated in the letter of transmittal, you will be deemed to have made these representations by tendering your old notes in the exchange offer. In addition, if you are a broker-dealer who receives new notes for your own account in exchange for old notes that were acquired by you as a result of market-making activities or other trading activities, you will be required to acknowledge, in the same manner, that you will deliver this prospectus in connection with any resale by you of such new notes.</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170" w:lineRule="exact"/>
        <w:rPr>
          <w:sz w:val="20"/>
          <w:szCs w:val="20"/>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through the writing of options on the new notes;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combination of such methods of resale;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such resale may be made directly to purchasers or to or through brokers or dealers who may receive compensation in the form of commissions or concessions from any such broker-dealer or the purchasers of any such new notes. Any broker-dealer that resells new notes of any series that were received by it for its own account pursuant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exchange offer and any broker or dealer that participates in a distribution of such new notes may be deemed to be an “underwriter” within the meaning of the Securities Act.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a period of up to 180 days after the exchange date (as such period may be extended), we will promptly send additional copies of this prospectus and any amendment or supplement to this prospectus to any broker-dealer that requests such documents in the manner indicated in the letter of transmittal. We have agreed to pay all reasonable expenses incidental to the exchange offer (including the expenses of one counsel for the holders of the old notes) other than commissions or concessions of any broker-dealers and will indemnify the holders of the old notes (including any broker-dealers) against certain liabilities, including liabilities under the Securities Act.</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Certain U.S. legal matters in connection with the validity of the new notes offered in this exchange offer will be passed upon for us by Latham &amp; Watkins LLP, Houston, Texas. Certain Bermuda legal matters in connection with the new notes offered in this exchange offer will be passed upon for us by our special Bermuda counsel, Conyers Dill &amp; Pearman Limited. Certain Irish legal matters in connection with the new notes offered in this exchange offer will be passed upon for us by our special Irish counsel, Matheson.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financial statements of Weatherford International plc as of December 31, 2017 and 2016, and for each of the years in the three-year period ended December 31, 2017, and management’s assessment of the effectiveness of internal control over financial reporting as of December 31, 2017 have been incorporated by reference herein in reliance upon the reports of KPMG LLP, independent registered public accounting firm, incorporated by reference herein, and upon the authority of said firm as experts in accounting and auditing.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in connection with the exchange offer will be passed upon for Weatherford Bermuda by its special Bermuda counsel, Conyers Dill &amp; Pearman Limited. An employee of that firm’s affiliated company, Conyers Corporate Services (Bermuda) Limited, is Weatherford Bermuda’s secretary.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 INCORPORATION BY REFERENCE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NYSE at 11 Wall Street, New York, New York 10005. Our ordinary shares trade on the NYSE under the ticker symbol “WFT”.</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188" w:lineRule="exact"/>
        <w:rPr>
          <w:sz w:val="20"/>
          <w:szCs w:val="20"/>
          <w:color w:val="auto"/>
        </w:rPr>
      </w:pPr>
    </w:p>
    <w:p>
      <w:pPr>
        <w:ind w:left="1300" w:right="280" w:hanging="644"/>
        <w:spacing w:after="0" w:line="277" w:lineRule="auto"/>
        <w:tabs>
          <w:tab w:leader="none" w:pos="12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Weatherford Ireland’s Annual Report on Form 10-K for the fiscal year ended December 31, 2017, as filed with the SEC on February 14, 2018;</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2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Weatherford Ireland’s Quarterly Report on Form 10-Q for the quarters ended March 31, June 30, 2018, and September 30, 2018 each as filed with the SEC on May 2, 2018, August 9, 2018 and November 2, 2018, respectively;</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March 13, 2018; and</w:t>
      </w:r>
    </w:p>
    <w:p>
      <w:pPr>
        <w:spacing w:after="0" w:line="225" w:lineRule="exact"/>
        <w:rPr>
          <w:rFonts w:ascii="Arial" w:cs="Arial" w:eastAsia="Arial" w:hAnsi="Arial"/>
          <w:sz w:val="18"/>
          <w:szCs w:val="18"/>
          <w:color w:val="auto"/>
        </w:rPr>
      </w:pPr>
    </w:p>
    <w:p>
      <w:pPr>
        <w:ind w:left="1300" w:hanging="644"/>
        <w:spacing w:after="0" w:line="308" w:lineRule="auto"/>
        <w:tabs>
          <w:tab w:leader="none" w:pos="12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Weatherford Ireland’s Current Reports on Form 8-K, as filed with the SEC on February 23, 2018, March 5, 2018, March 9, 2018, March 12, 2018, April 30, 2018, July 11, 2018, August 20, 2018, October 22, 2018, December 7, 2018 and December 17, 2018.</w:t>
      </w:r>
    </w:p>
    <w:p>
      <w:pPr>
        <w:spacing w:after="0" w:line="14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all documents that we subsequently file with the SEC under Sections 13(a), 13(c), 14 or 15(d) of the Exchange Act (other than information furnished rather than filed and corresponding information furnished under Item 9.01 of Form 8-K or included as an exhibit thereto), shall be deemed to be incorporated by reference into this prospectus.</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are also incorporating by reference all additional documents Weatherford Ireland may file with the SEC under Sections 13(a), 13(c), 14 or 15(d) of the Exchange Act, after the date hereof and prior to the effectiveness of the registration statement of which this prospectus forms a part.</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the following address or calling the following number: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836-4000</w:t>
      </w:r>
    </w:p>
    <w:p>
      <w:pPr>
        <w:spacing w:after="0" w:line="21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OF TRANSMITTAL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TENDER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9.875% SENIOR NOTES DUE 2025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NOS. 94707J AA5 and U9432J AA2)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EXCHANGE OFFER AND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DECEMBER 27, 2018</w:t>
      </w:r>
    </w:p>
    <w:p>
      <w:pPr>
        <w:spacing w:after="0" w:line="225" w:lineRule="exact"/>
        <w:rPr>
          <w:sz w:val="20"/>
          <w:szCs w:val="20"/>
          <w:color w:val="auto"/>
        </w:rPr>
      </w:pPr>
    </w:p>
    <w:p>
      <w:pPr>
        <w:jc w:val="center"/>
        <w:ind w:left="280" w:right="1420"/>
        <w:spacing w:after="0" w:line="266" w:lineRule="auto"/>
        <w:rPr>
          <w:sz w:val="20"/>
          <w:szCs w:val="20"/>
          <w:color w:val="auto"/>
        </w:rPr>
      </w:pPr>
      <w:r>
        <w:rPr>
          <w:rFonts w:ascii="Arial" w:cs="Arial" w:eastAsia="Arial" w:hAnsi="Arial"/>
          <w:sz w:val="18"/>
          <w:szCs w:val="18"/>
          <w:b w:val="1"/>
          <w:bCs w:val="1"/>
          <w:color w:val="auto"/>
        </w:rPr>
        <w:t>THE EXCHANGE OFFER AND WITHDRAWAL RIGHTS WILL EXPIRE AT 5:00 P.M., NEW YORK CITY TIME, ON JANUARY 28, 2019 (THE “EXPIRATION DATE”), UNLESS THE EXCHANGE OFFER IS EXTENDED BY THE ISSUER.</w:t>
      </w:r>
    </w:p>
    <w:p>
      <w:pPr>
        <w:spacing w:after="0" w:line="180"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The Exchange Agent for the Exchange Offer is:</w:t>
            </w:r>
          </w:p>
        </w:tc>
        <w:tc>
          <w:tcPr>
            <w:tcW w:w="28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Deutsche Bank Trust Company Americas</w:t>
            </w:r>
          </w:p>
        </w:tc>
        <w:tc>
          <w:tcPr>
            <w:tcW w:w="2800" w:type="dxa"/>
            <w:vAlign w:val="bottom"/>
          </w:tcPr>
          <w:p>
            <w:pPr>
              <w:spacing w:after="0"/>
              <w:rPr>
                <w:sz w:val="24"/>
                <w:szCs w:val="24"/>
                <w:color w:val="auto"/>
              </w:rPr>
            </w:pPr>
          </w:p>
        </w:tc>
      </w:tr>
      <w:tr>
        <w:trPr>
          <w:trHeight w:val="418"/>
        </w:trPr>
        <w:tc>
          <w:tcPr>
            <w:tcW w:w="2940" w:type="dxa"/>
            <w:vAlign w:val="bottom"/>
          </w:tcPr>
          <w:p>
            <w:pPr>
              <w:jc w:val="center"/>
              <w:ind w:right="370"/>
              <w:spacing w:after="0"/>
              <w:rPr>
                <w:sz w:val="20"/>
                <w:szCs w:val="20"/>
                <w:color w:val="auto"/>
              </w:rPr>
            </w:pPr>
            <w:r>
              <w:rPr>
                <w:rFonts w:ascii="Arial" w:cs="Arial" w:eastAsia="Arial" w:hAnsi="Arial"/>
                <w:sz w:val="18"/>
                <w:szCs w:val="18"/>
                <w:b w:val="1"/>
                <w:bCs w:val="1"/>
                <w:color w:val="auto"/>
                <w:w w:val="94"/>
              </w:rPr>
              <w:t>By Registered &amp; Certified Mail:</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5"/>
              </w:rPr>
              <w:t>By Regular Mail or Courier:</w:t>
            </w:r>
          </w:p>
        </w:tc>
        <w:tc>
          <w:tcPr>
            <w:tcW w:w="28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In Person by Hand Only:</w:t>
            </w:r>
          </w:p>
        </w:tc>
      </w:tr>
      <w:tr>
        <w:trPr>
          <w:trHeight w:val="216"/>
        </w:trPr>
        <w:tc>
          <w:tcPr>
            <w:tcW w:w="2940" w:type="dxa"/>
            <w:vAlign w:val="bottom"/>
          </w:tcPr>
          <w:p>
            <w:pPr>
              <w:jc w:val="center"/>
              <w:ind w:right="390"/>
              <w:spacing w:after="0"/>
              <w:rPr>
                <w:sz w:val="20"/>
                <w:szCs w:val="20"/>
                <w:color w:val="auto"/>
              </w:rPr>
            </w:pPr>
            <w:r>
              <w:rPr>
                <w:rFonts w:ascii="Arial" w:cs="Arial" w:eastAsia="Arial" w:hAnsi="Arial"/>
                <w:sz w:val="18"/>
                <w:szCs w:val="18"/>
                <w:color w:val="auto"/>
                <w:w w:val="90"/>
              </w:rPr>
              <w:t>Deutsche Bank Trust Company</w:t>
            </w: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Deutsche Bank Trust Company</w:t>
            </w:r>
          </w:p>
        </w:tc>
        <w:tc>
          <w:tcPr>
            <w:tcW w:w="2800" w:type="dxa"/>
            <w:vAlign w:val="bottom"/>
          </w:tcPr>
          <w:p>
            <w:pPr>
              <w:jc w:val="center"/>
              <w:ind w:left="410"/>
              <w:spacing w:after="0"/>
              <w:rPr>
                <w:sz w:val="20"/>
                <w:szCs w:val="20"/>
                <w:color w:val="auto"/>
              </w:rPr>
            </w:pPr>
            <w:r>
              <w:rPr>
                <w:rFonts w:ascii="Arial" w:cs="Arial" w:eastAsia="Arial" w:hAnsi="Arial"/>
                <w:sz w:val="18"/>
                <w:szCs w:val="18"/>
                <w:color w:val="auto"/>
                <w:w w:val="90"/>
              </w:rPr>
              <w:t>Deutsche Bank Trust Company</w:t>
            </w:r>
          </w:p>
        </w:tc>
      </w:tr>
      <w:tr>
        <w:trPr>
          <w:trHeight w:val="216"/>
        </w:trPr>
        <w:tc>
          <w:tcPr>
            <w:tcW w:w="2940" w:type="dxa"/>
            <w:vAlign w:val="bottom"/>
          </w:tcPr>
          <w:p>
            <w:pPr>
              <w:jc w:val="center"/>
              <w:ind w:right="370"/>
              <w:spacing w:after="0"/>
              <w:rPr>
                <w:sz w:val="20"/>
                <w:szCs w:val="20"/>
                <w:color w:val="auto"/>
              </w:rPr>
            </w:pPr>
            <w:r>
              <w:rPr>
                <w:rFonts w:ascii="Arial" w:cs="Arial" w:eastAsia="Arial" w:hAnsi="Arial"/>
                <w:sz w:val="18"/>
                <w:szCs w:val="18"/>
                <w:color w:val="auto"/>
                <w:w w:val="90"/>
              </w:rPr>
              <w:t>Americas</w:t>
            </w: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Americas</w:t>
            </w:r>
          </w:p>
        </w:tc>
        <w:tc>
          <w:tcPr>
            <w:tcW w:w="2800" w:type="dxa"/>
            <w:vAlign w:val="bottom"/>
          </w:tcPr>
          <w:p>
            <w:pPr>
              <w:jc w:val="center"/>
              <w:ind w:left="430"/>
              <w:spacing w:after="0"/>
              <w:rPr>
                <w:sz w:val="20"/>
                <w:szCs w:val="20"/>
                <w:color w:val="auto"/>
              </w:rPr>
            </w:pPr>
            <w:r>
              <w:rPr>
                <w:rFonts w:ascii="Arial" w:cs="Arial" w:eastAsia="Arial" w:hAnsi="Arial"/>
                <w:sz w:val="18"/>
                <w:szCs w:val="18"/>
                <w:color w:val="auto"/>
                <w:w w:val="90"/>
              </w:rPr>
              <w:t>Americas</w:t>
            </w:r>
          </w:p>
        </w:tc>
      </w:tr>
      <w:tr>
        <w:trPr>
          <w:trHeight w:val="216"/>
        </w:trPr>
        <w:tc>
          <w:tcPr>
            <w:tcW w:w="2940" w:type="dxa"/>
            <w:vAlign w:val="bottom"/>
          </w:tcPr>
          <w:p>
            <w:pPr>
              <w:jc w:val="center"/>
              <w:ind w:right="370"/>
              <w:spacing w:after="0"/>
              <w:rPr>
                <w:sz w:val="20"/>
                <w:szCs w:val="20"/>
                <w:color w:val="auto"/>
              </w:rPr>
            </w:pPr>
            <w:r>
              <w:rPr>
                <w:rFonts w:ascii="Arial" w:cs="Arial" w:eastAsia="Arial" w:hAnsi="Arial"/>
                <w:sz w:val="18"/>
                <w:szCs w:val="18"/>
                <w:color w:val="auto"/>
                <w:w w:val="92"/>
              </w:rPr>
              <w:t>c/o DB Services Americas, Inc.</w:t>
            </w: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c/o DB Services Americas, Inc.</w:t>
            </w:r>
          </w:p>
        </w:tc>
        <w:tc>
          <w:tcPr>
            <w:tcW w:w="2800" w:type="dxa"/>
            <w:vAlign w:val="bottom"/>
          </w:tcPr>
          <w:p>
            <w:pPr>
              <w:jc w:val="center"/>
              <w:ind w:left="430"/>
              <w:spacing w:after="0"/>
              <w:rPr>
                <w:sz w:val="20"/>
                <w:szCs w:val="20"/>
                <w:color w:val="auto"/>
              </w:rPr>
            </w:pPr>
            <w:r>
              <w:rPr>
                <w:rFonts w:ascii="Arial" w:cs="Arial" w:eastAsia="Arial" w:hAnsi="Arial"/>
                <w:sz w:val="18"/>
                <w:szCs w:val="18"/>
                <w:color w:val="auto"/>
                <w:w w:val="92"/>
              </w:rPr>
              <w:t>c/o DB Services Americas, Inc.</w:t>
            </w:r>
          </w:p>
        </w:tc>
      </w:tr>
      <w:tr>
        <w:trPr>
          <w:trHeight w:val="216"/>
        </w:trPr>
        <w:tc>
          <w:tcPr>
            <w:tcW w:w="2940" w:type="dxa"/>
            <w:vAlign w:val="bottom"/>
          </w:tcPr>
          <w:p>
            <w:pPr>
              <w:jc w:val="center"/>
              <w:ind w:right="370"/>
              <w:spacing w:after="0"/>
              <w:rPr>
                <w:sz w:val="20"/>
                <w:szCs w:val="20"/>
                <w:color w:val="auto"/>
              </w:rPr>
            </w:pPr>
            <w:r>
              <w:rPr>
                <w:rFonts w:ascii="Arial" w:cs="Arial" w:eastAsia="Arial" w:hAnsi="Arial"/>
                <w:sz w:val="18"/>
                <w:szCs w:val="18"/>
                <w:color w:val="auto"/>
                <w:w w:val="93"/>
              </w:rPr>
              <w:t>MS: JCK01-0218</w:t>
            </w: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MS: JCK01-0218</w:t>
            </w:r>
          </w:p>
        </w:tc>
        <w:tc>
          <w:tcPr>
            <w:tcW w:w="2800" w:type="dxa"/>
            <w:vAlign w:val="bottom"/>
          </w:tcPr>
          <w:p>
            <w:pPr>
              <w:jc w:val="center"/>
              <w:ind w:left="430"/>
              <w:spacing w:after="0"/>
              <w:rPr>
                <w:sz w:val="20"/>
                <w:szCs w:val="20"/>
                <w:color w:val="auto"/>
              </w:rPr>
            </w:pPr>
            <w:r>
              <w:rPr>
                <w:rFonts w:ascii="Arial" w:cs="Arial" w:eastAsia="Arial" w:hAnsi="Arial"/>
                <w:sz w:val="18"/>
                <w:szCs w:val="18"/>
                <w:color w:val="auto"/>
                <w:w w:val="93"/>
              </w:rPr>
              <w:t>MS: JCK01-0218</w:t>
            </w:r>
          </w:p>
        </w:tc>
      </w:tr>
      <w:tr>
        <w:trPr>
          <w:trHeight w:val="216"/>
        </w:trPr>
        <w:tc>
          <w:tcPr>
            <w:tcW w:w="2940" w:type="dxa"/>
            <w:vAlign w:val="bottom"/>
          </w:tcPr>
          <w:p>
            <w:pPr>
              <w:jc w:val="center"/>
              <w:ind w:right="370"/>
              <w:spacing w:after="0"/>
              <w:rPr>
                <w:sz w:val="20"/>
                <w:szCs w:val="20"/>
                <w:color w:val="auto"/>
              </w:rPr>
            </w:pPr>
            <w:r>
              <w:rPr>
                <w:rFonts w:ascii="Arial" w:cs="Arial" w:eastAsia="Arial" w:hAnsi="Arial"/>
                <w:sz w:val="18"/>
                <w:szCs w:val="18"/>
                <w:color w:val="auto"/>
                <w:w w:val="92"/>
              </w:rPr>
              <w:t>Attention: Reorg. Department</w:t>
            </w: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Attention: Reorg. Department</w:t>
            </w:r>
          </w:p>
        </w:tc>
        <w:tc>
          <w:tcPr>
            <w:tcW w:w="2800" w:type="dxa"/>
            <w:vAlign w:val="bottom"/>
          </w:tcPr>
          <w:p>
            <w:pPr>
              <w:jc w:val="center"/>
              <w:ind w:left="430"/>
              <w:spacing w:after="0"/>
              <w:rPr>
                <w:sz w:val="20"/>
                <w:szCs w:val="20"/>
                <w:color w:val="auto"/>
              </w:rPr>
            </w:pPr>
            <w:r>
              <w:rPr>
                <w:rFonts w:ascii="Arial" w:cs="Arial" w:eastAsia="Arial" w:hAnsi="Arial"/>
                <w:sz w:val="18"/>
                <w:szCs w:val="18"/>
                <w:color w:val="auto"/>
                <w:w w:val="92"/>
              </w:rPr>
              <w:t>Attention: Reorg. Department</w:t>
            </w:r>
          </w:p>
        </w:tc>
      </w:tr>
      <w:tr>
        <w:trPr>
          <w:trHeight w:val="216"/>
        </w:trPr>
        <w:tc>
          <w:tcPr>
            <w:tcW w:w="2940" w:type="dxa"/>
            <w:vAlign w:val="bottom"/>
          </w:tcPr>
          <w:p>
            <w:pPr>
              <w:jc w:val="center"/>
              <w:ind w:right="390"/>
              <w:spacing w:after="0"/>
              <w:rPr>
                <w:sz w:val="20"/>
                <w:szCs w:val="20"/>
                <w:color w:val="auto"/>
              </w:rPr>
            </w:pPr>
            <w:r>
              <w:rPr>
                <w:rFonts w:ascii="Arial" w:cs="Arial" w:eastAsia="Arial" w:hAnsi="Arial"/>
                <w:sz w:val="18"/>
                <w:szCs w:val="18"/>
                <w:color w:val="auto"/>
                <w:w w:val="89"/>
              </w:rPr>
              <w:t>5022 Gate Parkway, Suite 200</w:t>
            </w: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5022 Gate Parkway, Suite 200</w:t>
            </w:r>
          </w:p>
        </w:tc>
        <w:tc>
          <w:tcPr>
            <w:tcW w:w="2800" w:type="dxa"/>
            <w:vAlign w:val="bottom"/>
          </w:tcPr>
          <w:p>
            <w:pPr>
              <w:jc w:val="center"/>
              <w:ind w:left="410"/>
              <w:spacing w:after="0"/>
              <w:rPr>
                <w:sz w:val="20"/>
                <w:szCs w:val="20"/>
                <w:color w:val="auto"/>
              </w:rPr>
            </w:pPr>
            <w:r>
              <w:rPr>
                <w:rFonts w:ascii="Arial" w:cs="Arial" w:eastAsia="Arial" w:hAnsi="Arial"/>
                <w:sz w:val="18"/>
                <w:szCs w:val="18"/>
                <w:color w:val="auto"/>
                <w:w w:val="89"/>
              </w:rPr>
              <w:t>5022 Gate Parkway, Suite 200</w:t>
            </w:r>
          </w:p>
        </w:tc>
      </w:tr>
      <w:tr>
        <w:trPr>
          <w:trHeight w:val="230"/>
        </w:trPr>
        <w:tc>
          <w:tcPr>
            <w:tcW w:w="2940" w:type="dxa"/>
            <w:vAlign w:val="bottom"/>
          </w:tcPr>
          <w:p>
            <w:pPr>
              <w:jc w:val="center"/>
              <w:ind w:right="370"/>
              <w:spacing w:after="0"/>
              <w:rPr>
                <w:sz w:val="20"/>
                <w:szCs w:val="20"/>
                <w:color w:val="auto"/>
              </w:rPr>
            </w:pPr>
            <w:r>
              <w:rPr>
                <w:rFonts w:ascii="Arial" w:cs="Arial" w:eastAsia="Arial" w:hAnsi="Arial"/>
                <w:sz w:val="18"/>
                <w:szCs w:val="18"/>
                <w:color w:val="auto"/>
                <w:w w:val="91"/>
              </w:rPr>
              <w:t>Jacksonville, FL 32256</w:t>
            </w: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Jacksonville, FL 32256</w:t>
            </w:r>
          </w:p>
        </w:tc>
        <w:tc>
          <w:tcPr>
            <w:tcW w:w="2800" w:type="dxa"/>
            <w:vAlign w:val="bottom"/>
          </w:tcPr>
          <w:p>
            <w:pPr>
              <w:jc w:val="center"/>
              <w:ind w:left="430"/>
              <w:spacing w:after="0"/>
              <w:rPr>
                <w:sz w:val="20"/>
                <w:szCs w:val="20"/>
                <w:color w:val="auto"/>
              </w:rPr>
            </w:pPr>
            <w:r>
              <w:rPr>
                <w:rFonts w:ascii="Arial" w:cs="Arial" w:eastAsia="Arial" w:hAnsi="Arial"/>
                <w:sz w:val="18"/>
                <w:szCs w:val="18"/>
                <w:color w:val="auto"/>
                <w:w w:val="91"/>
              </w:rPr>
              <w:t>Jacksonville, FL 32256</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 Facsimile Transmission (eligible institutions only)</w:t>
      </w:r>
      <w:r>
        <w:rPr>
          <w:rFonts w:ascii="Arial" w:cs="Arial" w:eastAsia="Arial" w:hAnsi="Arial"/>
          <w:sz w:val="18"/>
          <w:szCs w:val="18"/>
          <w:b w:val="1"/>
          <w:bCs w:val="1"/>
          <w:color w:val="auto"/>
        </w:rPr>
        <w:t>:</w:t>
      </w:r>
    </w:p>
    <w:p>
      <w:pPr>
        <w:spacing w:after="0" w:line="27" w:lineRule="exact"/>
        <w:rPr>
          <w:sz w:val="20"/>
          <w:szCs w:val="20"/>
          <w:color w:val="auto"/>
        </w:rPr>
      </w:pPr>
    </w:p>
    <w:p>
      <w:pPr>
        <w:ind w:left="5580" w:hanging="428"/>
        <w:spacing w:after="0"/>
        <w:tabs>
          <w:tab w:leader="none" w:pos="5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866-3889</w:t>
      </w:r>
    </w:p>
    <w:p>
      <w:pPr>
        <w:spacing w:after="0" w:line="9"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Attn: Reorg. Department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additional questions please call: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(877) 843-9767</w:t>
      </w:r>
    </w:p>
    <w:p>
      <w:pPr>
        <w:spacing w:after="0" w:line="207" w:lineRule="exact"/>
        <w:rPr>
          <w:sz w:val="20"/>
          <w:szCs w:val="20"/>
          <w:color w:val="auto"/>
        </w:rPr>
      </w:pPr>
    </w:p>
    <w:p>
      <w:pPr>
        <w:ind w:right="200" w:firstLine="648"/>
        <w:spacing w:after="0" w:line="303" w:lineRule="auto"/>
        <w:rPr>
          <w:sz w:val="20"/>
          <w:szCs w:val="20"/>
          <w:color w:val="auto"/>
        </w:rPr>
      </w:pPr>
      <w:r>
        <w:rPr>
          <w:rFonts w:ascii="Arial" w:cs="Arial" w:eastAsia="Arial" w:hAnsi="Arial"/>
          <w:sz w:val="16"/>
          <w:szCs w:val="16"/>
          <w:color w:val="auto"/>
        </w:rPr>
        <w:t>If you wish to exchange your issued and outstanding 9.875% Senior Notes due 2025 (the “</w:t>
      </w:r>
      <w:r>
        <w:rPr>
          <w:rFonts w:ascii="Arial" w:cs="Arial" w:eastAsia="Arial" w:hAnsi="Arial"/>
          <w:sz w:val="16"/>
          <w:szCs w:val="16"/>
          <w:b w:val="1"/>
          <w:bCs w:val="1"/>
          <w:color w:val="auto"/>
        </w:rPr>
        <w:t>Old Notes</w:t>
      </w:r>
      <w:r>
        <w:rPr>
          <w:rFonts w:ascii="Arial" w:cs="Arial" w:eastAsia="Arial" w:hAnsi="Arial"/>
          <w:sz w:val="16"/>
          <w:szCs w:val="16"/>
          <w:color w:val="auto"/>
        </w:rPr>
        <w:t>”) for an equal aggregate principal amount of newly issued 9.875% Senior Notes due 2025 with materially identical terms that have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the exchange offer (the “</w:t>
      </w:r>
      <w:r>
        <w:rPr>
          <w:rFonts w:ascii="Arial" w:cs="Arial" w:eastAsia="Arial" w:hAnsi="Arial"/>
          <w:sz w:val="16"/>
          <w:szCs w:val="16"/>
          <w:b w:val="1"/>
          <w:bCs w:val="1"/>
          <w:color w:val="auto"/>
        </w:rPr>
        <w:t>New Notes</w:t>
      </w:r>
      <w:r>
        <w:rPr>
          <w:rFonts w:ascii="Arial" w:cs="Arial" w:eastAsia="Arial" w:hAnsi="Arial"/>
          <w:sz w:val="16"/>
          <w:szCs w:val="16"/>
          <w:color w:val="auto"/>
        </w:rPr>
        <w:t>”), you must validly tender (and not withdraw) your Old Notes to the Exchange Agent prior to the Expiration Date by causing an agent’s message (as defined below) to be received by the Exchange Agent prior to such time.</w:t>
      </w:r>
    </w:p>
    <w:p>
      <w:pPr>
        <w:spacing w:after="0" w:line="151"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We refer you to the Prospectus, dated December 27, 2018 (the “</w:t>
      </w:r>
      <w:r>
        <w:rPr>
          <w:rFonts w:ascii="Arial" w:cs="Arial" w:eastAsia="Arial" w:hAnsi="Arial"/>
          <w:sz w:val="16"/>
          <w:szCs w:val="16"/>
          <w:b w:val="1"/>
          <w:bCs w:val="1"/>
          <w:color w:val="auto"/>
        </w:rPr>
        <w:t>Prospectus</w:t>
      </w:r>
      <w:r>
        <w:rPr>
          <w:rFonts w:ascii="Arial" w:cs="Arial" w:eastAsia="Arial" w:hAnsi="Arial"/>
          <w:sz w:val="16"/>
          <w:szCs w:val="16"/>
          <w:color w:val="auto"/>
        </w:rPr>
        <w:t>”) of Weatherford International, LLC (the “</w:t>
      </w:r>
      <w:r>
        <w:rPr>
          <w:rFonts w:ascii="Arial" w:cs="Arial" w:eastAsia="Arial" w:hAnsi="Arial"/>
          <w:sz w:val="16"/>
          <w:szCs w:val="16"/>
          <w:b w:val="1"/>
          <w:bCs w:val="1"/>
          <w:color w:val="auto"/>
        </w:rPr>
        <w:t>Issuer</w:t>
      </w:r>
      <w:r>
        <w:rPr>
          <w:rFonts w:ascii="Arial" w:cs="Arial" w:eastAsia="Arial" w:hAnsi="Arial"/>
          <w:sz w:val="16"/>
          <w:szCs w:val="16"/>
          <w:color w:val="auto"/>
        </w:rPr>
        <w:t>”), and this Letter of Transmittal (the “</w:t>
      </w:r>
      <w:r>
        <w:rPr>
          <w:rFonts w:ascii="Arial" w:cs="Arial" w:eastAsia="Arial" w:hAnsi="Arial"/>
          <w:sz w:val="16"/>
          <w:szCs w:val="16"/>
          <w:b w:val="1"/>
          <w:bCs w:val="1"/>
          <w:color w:val="auto"/>
        </w:rPr>
        <w:t>Letter of Transmittal</w:t>
      </w:r>
      <w:r>
        <w:rPr>
          <w:rFonts w:ascii="Arial" w:cs="Arial" w:eastAsia="Arial" w:hAnsi="Arial"/>
          <w:sz w:val="16"/>
          <w:szCs w:val="16"/>
          <w:color w:val="auto"/>
        </w:rPr>
        <w:t>”), which together describe the Issuer’s offer to exchange its Old Notes for a like aggregate principal amount of New Notes (the “</w:t>
      </w:r>
      <w:r>
        <w:rPr>
          <w:rFonts w:ascii="Arial" w:cs="Arial" w:eastAsia="Arial" w:hAnsi="Arial"/>
          <w:sz w:val="16"/>
          <w:szCs w:val="16"/>
          <w:b w:val="1"/>
          <w:bCs w:val="1"/>
          <w:color w:val="auto"/>
        </w:rPr>
        <w:t>Exchange Offer</w:t>
      </w:r>
      <w:r>
        <w:rPr>
          <w:rFonts w:ascii="Arial" w:cs="Arial" w:eastAsia="Arial" w:hAnsi="Arial"/>
          <w:sz w:val="16"/>
          <w:szCs w:val="16"/>
          <w:color w:val="auto"/>
        </w:rPr>
        <w:t>”). Capitalized terms used but not defined herein have the respective meanings given to them in the Prospectus.</w:t>
      </w:r>
    </w:p>
    <w:p>
      <w:pPr>
        <w:spacing w:after="0" w:line="14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The Issuer reserves the right, at any time or from time to time, to extend the Exchange Offer at its discretion, in which event the term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mean the latest date to which the Exchange Offer is extended. The Issuer shall notify the Exchange Agent and each registered holder of Old Notes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extension by oral (promptly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followed in writing) or written notice prior to 9:00 a.m., New York City time, on the next business day after the previously scheduled Expiration Date.</w:t>
      </w:r>
    </w:p>
    <w:p>
      <w:pPr>
        <w:spacing w:after="0" w:line="23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This Letter of Transmittal is to be used by holders of the Old Notes. Tender of Old Notes is to be made according to the Automated Tender Offer Program (“</w:t>
      </w:r>
      <w:r>
        <w:rPr>
          <w:rFonts w:ascii="Arial" w:cs="Arial" w:eastAsia="Arial" w:hAnsi="Arial"/>
          <w:sz w:val="17"/>
          <w:szCs w:val="17"/>
          <w:b w:val="1"/>
          <w:bCs w:val="1"/>
          <w:color w:val="auto"/>
        </w:rPr>
        <w:t>ATOP</w:t>
      </w:r>
      <w:r>
        <w:rPr>
          <w:rFonts w:ascii="Arial" w:cs="Arial" w:eastAsia="Arial" w:hAnsi="Arial"/>
          <w:sz w:val="17"/>
          <w:szCs w:val="17"/>
          <w:color w:val="auto"/>
        </w:rPr>
        <w:t>”)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pursuant to the procedures set forth in the Prospectus under the caption “Exchange Offer— Procedures for Tendering.” DTC participants that are accepting the Exchange Offer must transmit their acceptance to DTC, which will verify the acceptance and execute a book-entry delivery to the Exchange Agent’s DTC account. DTC will then send a computer generated message known as an “agent’s message” to the Exchange Agent for its acceptance. For you to validly tender your Old Notes in the Exchange Offer, the Exchange Agent must receive, prior to the Expiration Date, an agent’s message under the ATOP procedures that confirms that:</w:t>
      </w:r>
    </w:p>
    <w:p>
      <w:pPr>
        <w:spacing w:after="0" w:line="178" w:lineRule="exact"/>
        <w:rPr>
          <w:sz w:val="20"/>
          <w:szCs w:val="20"/>
          <w:color w:val="auto"/>
        </w:rPr>
      </w:pPr>
    </w:p>
    <w:p>
      <w:pPr>
        <w:ind w:left="1260" w:hanging="604"/>
        <w:spacing w:after="0"/>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DTC has received your instructions to tender your Old Notes;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agree to be bound by the terms of this Letter of Transmittal.</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tendering Old Notes in the Exchange Offer, you acknowledge receipt of the Prospectus and this Letter of Transmittal.</w:t>
      </w:r>
    </w:p>
    <w:p>
      <w:pPr>
        <w:spacing w:after="0" w:line="225" w:lineRule="exact"/>
        <w:rPr>
          <w:rFonts w:ascii="Arial" w:cs="Arial" w:eastAsia="Arial" w:hAnsi="Arial"/>
          <w:sz w:val="18"/>
          <w:szCs w:val="18"/>
          <w:color w:val="auto"/>
        </w:rPr>
      </w:pPr>
    </w:p>
    <w:p>
      <w:pPr>
        <w:ind w:left="660" w:right="180" w:hanging="652"/>
        <w:spacing w:after="0" w:line="264" w:lineRule="auto"/>
        <w:tabs>
          <w:tab w:leader="none" w:pos="6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tendering Old Notes in the Exchange Offer, you represent and warrant that you have full authority to tender the Old Notes described above and will, upon request, execute and deliver any additional documents deemed by the Issuer to be necessary or desirable to complete the tender of Old Notes.</w:t>
      </w:r>
    </w:p>
    <w:p>
      <w:pPr>
        <w:spacing w:after="0" w:line="181" w:lineRule="exact"/>
        <w:rPr>
          <w:rFonts w:ascii="Arial" w:cs="Arial" w:eastAsia="Arial" w:hAnsi="Arial"/>
          <w:sz w:val="18"/>
          <w:szCs w:val="18"/>
          <w:color w:val="auto"/>
        </w:rPr>
      </w:pPr>
    </w:p>
    <w:p>
      <w:pPr>
        <w:ind w:left="660" w:right="280" w:hanging="652"/>
        <w:spacing w:after="0" w:line="277" w:lineRule="auto"/>
        <w:tabs>
          <w:tab w:leader="none" w:pos="6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understand that the tender of the Old Notes pursuant to all of the procedures set forth in the Prospectus will constitute an agreement between you and the Issuer as to the terms and conditions set forth in the Prospectus.</w:t>
      </w:r>
    </w:p>
    <w:p>
      <w:pPr>
        <w:spacing w:after="0" w:line="170" w:lineRule="exact"/>
        <w:rPr>
          <w:rFonts w:ascii="Arial" w:cs="Arial" w:eastAsia="Arial" w:hAnsi="Arial"/>
          <w:sz w:val="18"/>
          <w:szCs w:val="18"/>
          <w:color w:val="auto"/>
        </w:rPr>
      </w:pPr>
    </w:p>
    <w:p>
      <w:pPr>
        <w:ind w:left="660" w:hanging="652"/>
        <w:spacing w:after="0" w:line="270" w:lineRule="auto"/>
        <w:tabs>
          <w:tab w:leader="none" w:pos="66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tendering Old Notes in the Exchange Offer, you acknowledge that the Exchange Offer is being made in reliance upon interpretations contained in no-action letters issued to third parties by the staff of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including Exxon Capital Holdings Corp., SEC No-Action Letter (May 13, 1988), Morgan Stanley &amp; Co., Inc., SEC No-Action Letter (June 5, 1991) and Shearman &amp; Sterling, SEC No-Action Letter (July 2, 1993), that the New Notes issued in exchange for the Old Notes pursuant to the Exchange Offer may be offered for resale, resold and otherwise transferred by holders thereof without compliance with the registration and prospectus delivery provisions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(other than a broker-dealer who purchased Old Notes exchanged for such New Notes directly from the Issuer to resell pursuant to Rule 144A or any other available exemption under the Securities Act and any such holder that is an “affiliate” of the Issuer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tendering Old Notes in the Exchange Offer, you hereby represent and warrant that:</w:t>
      </w:r>
    </w:p>
    <w:p>
      <w:pPr>
        <w:spacing w:after="0" w:line="225" w:lineRule="exact"/>
        <w:rPr>
          <w:sz w:val="20"/>
          <w:szCs w:val="20"/>
          <w:color w:val="auto"/>
        </w:rPr>
      </w:pPr>
    </w:p>
    <w:p>
      <w:pPr>
        <w:ind w:left="1300" w:right="120" w:hanging="644"/>
        <w:spacing w:after="0" w:line="277" w:lineRule="auto"/>
        <w:tabs>
          <w:tab w:leader="none" w:pos="129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your business, whether or not you are the holder;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80" w:hanging="644"/>
        <w:spacing w:after="0" w:line="277"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you are not engaging, do not intend to engage and have no arrangement or understanding with any person to participate in the distribution of Old Notes or New Notes within the meaning of the Securities Act;</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you are not an “affiliate,” as such term is defined under Rule 405 promulgated under the Securities Act, of the Issuer or the Guarantors (as defined below);</w:t>
      </w:r>
    </w:p>
    <w:p>
      <w:pPr>
        <w:spacing w:after="0" w:line="170" w:lineRule="exact"/>
        <w:rPr>
          <w:rFonts w:ascii="Arial" w:cs="Arial" w:eastAsia="Arial" w:hAnsi="Arial"/>
          <w:sz w:val="18"/>
          <w:szCs w:val="18"/>
          <w:color w:val="auto"/>
        </w:rPr>
      </w:pPr>
    </w:p>
    <w:p>
      <w:pPr>
        <w:ind w:left="1300" w:right="60" w:hanging="644"/>
        <w:spacing w:after="0" w:line="259" w:lineRule="auto"/>
        <w:tabs>
          <w:tab w:leader="none" w:pos="130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you are a broker-dealer, that you will receive the New Notes for your own account in exchange for Old Notes that were acquired as a result of market-making activities or other trading activities and that you acknowledge that you will deliver a prospectus (or, to the extent permitted by law, make available a prospectus) in connection with any resale of such New Notes and that you cannot rely on the position of the staff of the SEC set forth in certain no-action letters; and</w:t>
      </w:r>
    </w:p>
    <w:p>
      <w:pPr>
        <w:spacing w:after="0" w:line="186" w:lineRule="exact"/>
        <w:rPr>
          <w:rFonts w:ascii="Arial" w:cs="Arial" w:eastAsia="Arial" w:hAnsi="Arial"/>
          <w:sz w:val="18"/>
          <w:szCs w:val="18"/>
          <w:color w:val="auto"/>
        </w:rPr>
      </w:pPr>
    </w:p>
    <w:p>
      <w:pPr>
        <w:ind w:left="1300" w:right="220" w:hanging="644"/>
        <w:spacing w:after="0" w:line="256" w:lineRule="auto"/>
        <w:tabs>
          <w:tab w:leader="none" w:pos="13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you understand that a secondary resale transaction described in clause 5(d) above and any resales of the New Notes obtained in exchange for the Old Notes originally acquired from the Issuer should be covered by an effective registration statement containing the selling noteholder information required by Item 507 or Item 508, as applicable, of Regulation</w:t>
      </w:r>
    </w:p>
    <w:p>
      <w:pPr>
        <w:ind w:left="1300"/>
        <w:spacing w:after="0"/>
        <w:rPr>
          <w:rFonts w:ascii="Arial" w:cs="Arial" w:eastAsia="Arial" w:hAnsi="Arial"/>
          <w:sz w:val="18"/>
          <w:szCs w:val="18"/>
          <w:color w:val="auto"/>
        </w:rPr>
      </w:pPr>
      <w:r>
        <w:rPr>
          <w:rFonts w:ascii="Arial" w:cs="Arial" w:eastAsia="Arial" w:hAnsi="Arial"/>
          <w:sz w:val="18"/>
          <w:szCs w:val="18"/>
          <w:color w:val="auto"/>
        </w:rPr>
        <w:t>S-K.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if you are unable to make all of the representations and warranties contained in Item 5 above and as otherwise permitted in the Registration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Rights Agreement (as defined below), elect to have your Old Notes registered in a shelf registration statement as described in that certain registration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rights agreement, dated February 28, 2018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by and among the Issuer, the Guarantors named therein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Deutsche Bank Securities Inc. as representative of the several initial purchasers named therein (the “</w:t>
      </w:r>
      <w:r>
        <w:rPr>
          <w:rFonts w:ascii="Arial" w:cs="Arial" w:eastAsia="Arial" w:hAnsi="Arial"/>
          <w:sz w:val="16"/>
          <w:szCs w:val="16"/>
          <w:b w:val="1"/>
          <w:bCs w:val="1"/>
          <w:color w:val="auto"/>
        </w:rPr>
        <w:t>Initial Purchasers</w:t>
      </w:r>
      <w:r>
        <w:rPr>
          <w:rFonts w:ascii="Arial" w:cs="Arial" w:eastAsia="Arial" w:hAnsi="Arial"/>
          <w:sz w:val="16"/>
          <w:szCs w:val="16"/>
          <w:color w:val="auto"/>
        </w:rPr>
        <w:t>”). Such</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election may be made by notifying the Issuer in writing at Weatherford International, LLC, 2000 St. James Place, Houston, Texas 77056, Attention: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Investor Relations. By making such election, you agree, as a holder of Old Notes participating in a shelf registration, to indemnify and hold harmless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the Guarantors and the respective directors and officers of the Issuer and the Guarantors who sign such registration statement, and any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person controlling (within the meaning of Section 15 of the Securities Act or Section 20 of the Securities Exchange Act of 1934, as amended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the Issuer or any of the Guarantors, and the respective officers, directors, partners, employees, representatives and agents of each</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such person, from and against any and all losses, claims, damages, liabilities, judgments, actions and expenses (including, without limitation, and as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incurred, reimbursement of all reasonable costs of investigating, preparing, pursuing, settling, compromising, paying or defending any claim or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action, or any investigation or proceeding by any governmental agency or body, commenced or threatened, including the reasonable fees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expenses of counsel to any such indemnified holder of Old Notes), joint or several, directly or indirectly caused by, related to, based upon, arising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out of or in connection with any untrue statement or alleged untrue statement of a material fact contained in any registration statement or prospectus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(or any amendment or supplement thereto), or any omission or alleged omission to state therein a material fact required to be stated therein or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necessary to make the statements therein not misleading, but only with respect to claims and actions based on information relating to you furnished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writing by you expressly for use in any registration statement or prospectus. Any such indemnification shall be governed by the terms and subject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conditions set forth in the Registration Rights Agreement, including, without limitation, the provisions regarding notice, retention of counsel,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contribution and payment of expenses set forth therein. The above summary of the indemnification provision of the Registration Rights Agreement is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intended to be exhaustive and is qualified in its entirety by the full text of the Registration Rights Agreement.</w:t>
      </w:r>
    </w:p>
    <w:p>
      <w:pPr>
        <w:spacing w:after="0" w:line="211" w:lineRule="exact"/>
        <w:rPr>
          <w:sz w:val="20"/>
          <w:szCs w:val="20"/>
          <w:color w:val="auto"/>
        </w:rPr>
      </w:pPr>
    </w:p>
    <w:p>
      <w:pPr>
        <w:ind w:left="660" w:right="80" w:hanging="652"/>
        <w:spacing w:after="0" w:line="279" w:lineRule="auto"/>
        <w:tabs>
          <w:tab w:leader="none" w:pos="66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you are a broker-dealer that will receive New Notes for your own account in exchange for Old Notes that were acquired as a result of market-making activities or other trading activities, you acknowledge by tendering Old Notes in any Exchange Offer that you will deliver a prospectus meeting the requirements of the Securities Act in connection with any resale of such New Notes; however, by so acknowledging and by delivering a prospectus, you will not be deemed to admit that you are an “underwriter” within the meaning of the Securities Act.</w:t>
      </w:r>
    </w:p>
    <w:p>
      <w:pPr>
        <w:spacing w:after="0" w:line="171" w:lineRule="exact"/>
        <w:rPr>
          <w:rFonts w:ascii="Arial" w:cs="Arial" w:eastAsia="Arial" w:hAnsi="Arial"/>
          <w:sz w:val="17"/>
          <w:szCs w:val="17"/>
          <w:color w:val="auto"/>
        </w:rPr>
      </w:pPr>
    </w:p>
    <w:p>
      <w:pPr>
        <w:ind w:left="660" w:right="180" w:hanging="652"/>
        <w:spacing w:after="0" w:line="277" w:lineRule="auto"/>
        <w:tabs>
          <w:tab w:leader="none" w:pos="66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you are a broker-dealer and Old Notes held for your own account were not acquired as a result of market-making or other trading activities, such Old Notes cannot be exchanged pursuant to any Exchange Offer.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00" w:hanging="652"/>
        <w:spacing w:after="0" w:line="277" w:lineRule="auto"/>
        <w:tabs>
          <w:tab w:leader="none" w:pos="66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of your obligations hereunder shall be binding upon your successors, assigns, executors, administrators, trustees in bankruptcy and legal and personal representatives.</w:t>
      </w:r>
    </w:p>
    <w:p>
      <w:pPr>
        <w:spacing w:after="0" w:line="16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INSTRUCTIONS FORMING PART OF THE TERMS AND CONDITIONS OF 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Book-Entry Confirmations.</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Any confirmation of a book-entry transfer to the Exchange Agent’s account at DTC of Old Notes tendered by book-entry transfer (a “</w:t>
      </w:r>
      <w:r>
        <w:rPr>
          <w:rFonts w:ascii="Arial" w:cs="Arial" w:eastAsia="Arial" w:hAnsi="Arial"/>
          <w:sz w:val="18"/>
          <w:szCs w:val="18"/>
          <w:b w:val="1"/>
          <w:bCs w:val="1"/>
          <w:color w:val="auto"/>
        </w:rPr>
        <w:t>Book-Entry</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 as well as Agent’s Message and any other documents required by this Letter of Transmittal, must be received by the Exchange Agent at its</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set forth herein prior to 5:00 p.m., New York City time, on the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Partial Tenders.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Tenders of Old Notes will be accepted only in minimum denominations of $2,000 and integral multiples of $1,000 in excess thereof. The entire principal amount of Old Notes delivered to the Exchange Agent will be deemed to have been tendered unless otherwise communicated to the Exchange Agent. If the entire principal amount of all Old Notes is not tendered, then Old Notes for the principal amount of Old Notes not tendered and New Notes issued in exchange for any Old Notes accepted will be delivered to the holder via the facilities of DTC promptly after the Old Notes are accepted for exchange.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Validity of Tenders.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questions as to the validity, form, eligibility (including time of receipt), acceptance, and withdrawal of tendered Old Notes will be determined by the Issuer, in its sole discretion, which determination will be final and binding. The Issuer reserves the absolute right to reject any or all tenders not in proper form or the acceptance for exchange of which may, in the opinion of counsel for the Issuer, be unlawful. The Issuer also reserves the absolute right to waive any of the conditions of the Exchange Offer or any defect or irregularity in the tender of any Old Notes. The Issuer’s interpretation of the terms and conditions of the Exchange Offer (including the instructions on the Letter of Transmittal) will be final and binding on all parties. Unless waived, any defects or irregularities in connection with tenders of Old Notes must be cured within such time as the Issuer shall determine. Although the Issuer intends to notify holders of defects or irregularities with respect to tenders of Old Notes, none of the Issuer, the Exchange Agent, or any other person shall be under any duty to give notification of any defects or irregularities in tenders or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holders, unless otherwise provided in the Letter of Transmittal, promptly following the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Waiver of Conditions.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Issuer reserves the absolute right to waive, in whole or part, up to the expiration of the Exchange Offer, any of the conditions to the Exchange Offer set forth in the Prospectus or in this Letter of Transmittal.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Conditional Tender.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alternative, conditional, irregular or contingent tender of Old Notes will be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Request for Assistance or Additional Copies.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Withdrawal.</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Tenders may be withdrawn only pursuant to the limited withdrawal rights set forth in the Prospectus under the caption “Exchange Offer—Withdrawal of Tenders.”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Guarantee of Late Delivery.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is no procedure for guarantee of late delivery in the Exchange Offer.</w:t>
      </w:r>
    </w:p>
    <w:p>
      <w:pPr>
        <w:spacing w:after="0" w:line="221"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IMPORTANT: BY USING THE ATOP PROCEDURES TO TENDER OLD NOTES, YOU WILL NOT BE REQUIRED TO DELIVER THIS LETTER OF TRANSMITTAL TO THE EXCHANGE AGENT. HOWEVER, YOU WILL BE BOUND BY ITS TERMS, AND YOU WILL BE DEEMED TO HAVE MADE THE ACKNOWLEDGMENTS AND THE REPRESENTATIONS AND WARRANTIES IT CONTAINS, JUST AS IF YOU HAD SIGNED IT.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321310</wp:posOffset>
            </wp:positionV>
            <wp:extent cx="857885" cy="394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885" cy="3943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Offer to Exchange</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up to</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$600,000,000 of 9.875% Senior Notes due 2025</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that have been registered under the Securities Act of 1933</w:t>
      </w: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$600,000,000 of 9.875% Senior Notes due 2025</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that have not been registered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lvl w:ilvl="1">
      <w:lvlJc w:val="left"/>
      <w:lvlText w:val="%2."/>
      <w:numFmt w:val="decimal"/>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decimal"/>
      <w:start w:val="2"/>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2"/>
    </w:lvl>
    <w:lvl w:ilvl="1">
      <w:lvlJc w:val="left"/>
      <w:lvlText w:val="(%2)"/>
      <w:numFmt w:val="lowerLetter"/>
      <w:start w:val="4"/>
    </w:lvl>
  </w:abstractNum>
  <w:abstractNum w:abstractNumId="35">
    <w:nsid w:val="7BD3EE7B"/>
    <w:multiLevelType w:val="hybridMultilevel"/>
    <w:lvl w:ilvl="0">
      <w:lvlJc w:val="left"/>
      <w:lvlText w:val="%1"/>
      <w:numFmt w:val="decimal"/>
      <w:start w:val="1"/>
    </w:lvl>
    <w:lvl w:ilvl="1">
      <w:lvlJc w:val="left"/>
      <w:lvlText w:val="(%2)"/>
      <w:numFmt w:val="lowerLetter"/>
      <w:start w:val="35"/>
    </w:lvl>
  </w:abstractNum>
  <w:abstractNum w:abstractNumId="36">
    <w:nsid w:val="51D9C564"/>
    <w:multiLevelType w:val="hybridMultilevel"/>
    <w:lvl w:ilvl="0">
      <w:lvlJc w:val="left"/>
      <w:lvlText w:val="(%1)"/>
      <w:numFmt w:val="decimal"/>
      <w:start w:val="7"/>
    </w:lvl>
    <w:lvl w:ilvl="1">
      <w:lvlJc w:val="left"/>
      <w:lvlText w:val="%2"/>
      <w:numFmt w:val="lowerLetter"/>
      <w:start w:val="1"/>
    </w:lvl>
  </w:abstractNum>
  <w:abstractNum w:abstractNumId="37">
    <w:nsid w:val="613EFDC5"/>
    <w:multiLevelType w:val="hybridMultilevel"/>
    <w:lvl w:ilvl="0">
      <w:lvlJc w:val="left"/>
      <w:lvlText w:val="(%1)"/>
      <w:numFmt w:val="decimal"/>
      <w:start w:val="13"/>
    </w:lvl>
  </w:abstractNum>
  <w:abstractNum w:abstractNumId="38">
    <w:nsid w:val="BF72B14"/>
    <w:multiLevelType w:val="hybridMultilevel"/>
    <w:lvl w:ilvl="0">
      <w:lvlJc w:val="left"/>
      <w:lvlText w:val="(%1)"/>
      <w:numFmt w:val="decimal"/>
      <w:start w:val="1"/>
    </w:lvl>
    <w:lvl w:ilvl="1">
      <w:lvlJc w:val="left"/>
      <w:lvlText w:val="(%2)"/>
      <w:numFmt w:val="lowerLetter"/>
      <w:start w:val="1"/>
    </w:lvl>
  </w:abstractNum>
  <w:abstractNum w:abstractNumId="39">
    <w:nsid w:val="11447B73"/>
    <w:multiLevelType w:val="hybridMultilevel"/>
    <w:lvl w:ilvl="0">
      <w:lvlJc w:val="left"/>
      <w:lvlText w:val="(%1)"/>
      <w:numFmt w:val="lowerLetter"/>
      <w:start w:val="4"/>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7"/>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3"/>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2"/>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2"/>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2"/>
    </w:lvl>
  </w:abstractNum>
  <w:abstractNum w:abstractNumId="51">
    <w:nsid w:val="1A27709E"/>
    <w:multiLevelType w:val="hybridMultilevel"/>
    <w:lvl w:ilvl="0">
      <w:lvlJc w:val="left"/>
      <w:lvlText w:val="(%1)"/>
      <w:numFmt w:val="lowerLetter"/>
      <w:start w:val="2"/>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1)"/>
      <w:numFmt w:val="decimal"/>
      <w:start w:val="3"/>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lvl w:ilvl="1">
      <w:lvlJc w:val="left"/>
      <w:lvlText w:val="(%2)"/>
      <w:numFmt w:val="lowerLetter"/>
      <w:start w:val="2"/>
    </w:lvl>
  </w:abstractNum>
  <w:abstractNum w:abstractNumId="61">
    <w:nsid w:val="1716703B"/>
    <w:multiLevelType w:val="hybridMultilevel"/>
    <w:lvl w:ilvl="0">
      <w:lvlJc w:val="left"/>
      <w:lvlText w:val="(%1)"/>
      <w:numFmt w:val="decimal"/>
      <w:start w:val="5"/>
    </w:lvl>
    <w:lvl w:ilvl="1">
      <w:lvlJc w:val="left"/>
      <w:lvlText w:val="(%2)"/>
      <w:numFmt w:val="lowerLetter"/>
      <w:start w:val="1"/>
    </w:lvl>
  </w:abstractNum>
  <w:abstractNum w:abstractNumId="62">
    <w:nsid w:val="14E17E33"/>
    <w:multiLevelType w:val="hybridMultilevel"/>
    <w:lvl w:ilvl="0">
      <w:lvlJc w:val="left"/>
      <w:lvlText w:val="(%1)"/>
      <w:numFmt w:val="decimal"/>
      <w:start w:val="6"/>
    </w:lvl>
  </w:abstractNum>
  <w:abstractNum w:abstractNumId="63">
    <w:nsid w:val="3222E7CD"/>
    <w:multiLevelType w:val="hybridMultilevel"/>
    <w:lvl w:ilvl="0">
      <w:lvlJc w:val="left"/>
      <w:lvlText w:val="(%1)"/>
      <w:numFmt w:val="decimal"/>
      <w:start w:val="7"/>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decimal"/>
      <w:start w:val="1"/>
    </w:lvl>
    <w:lvl w:ilvl="1">
      <w:lvlJc w:val="left"/>
      <w:lvlText w:val="(%2)"/>
      <w:numFmt w:val="lowerLetter"/>
      <w:start w:val="1"/>
    </w:lvl>
  </w:abstractNum>
  <w:abstractNum w:abstractNumId="67">
    <w:nsid w:val="46B7D447"/>
    <w:multiLevelType w:val="hybridMultilevel"/>
    <w:lvl w:ilvl="0">
      <w:lvlJc w:val="left"/>
      <w:lvlText w:val="(%1)"/>
      <w:numFmt w:val="decimal"/>
      <w:start w:val="1"/>
    </w:lvl>
    <w:lvl w:ilvl="1">
      <w:lvlJc w:val="left"/>
      <w:lvlText w:val="(%2)"/>
      <w:numFmt w:val="lowerLetter"/>
      <w:start w:val="2"/>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3"/>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5"/>
    </w:lvl>
  </w:abstractNum>
  <w:abstractNum w:abstractNumId="77">
    <w:nsid w:val="7055A5F5"/>
    <w:multiLevelType w:val="hybridMultilevel"/>
    <w:lvl w:ilvl="0">
      <w:lvlJc w:val="left"/>
      <w:lvlText w:val="(%1)"/>
      <w:numFmt w:val="lowerLetter"/>
      <w:start w:val="2"/>
    </w:lvl>
  </w:abstractNum>
  <w:abstractNum w:abstractNumId="78">
    <w:nsid w:val="5FB8370B"/>
    <w:multiLevelType w:val="hybridMultilevel"/>
    <w:lvl w:ilvl="0">
      <w:lvlJc w:val="left"/>
      <w:lvlText w:val="(%1)"/>
      <w:numFmt w:val="decimal"/>
      <w:start w:val="1"/>
    </w:lvl>
    <w:lvl w:ilvl="1">
      <w:lvlJc w:val="left"/>
      <w:lvlText w:val="(%2)"/>
      <w:numFmt w:val="lowerLetter"/>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2"/>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decimal"/>
      <w:start w:val="1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1)"/>
      <w:numFmt w:val="decimal"/>
      <w:start w:val="19"/>
    </w:lvl>
  </w:abstractNum>
  <w:abstractNum w:abstractNumId="91">
    <w:nsid w:val="3FA62ACA"/>
    <w:multiLevelType w:val="hybridMultilevel"/>
    <w:lvl w:ilvl="0">
      <w:lvlJc w:val="left"/>
      <w:lvlText w:val="(%1)"/>
      <w:numFmt w:val="lowerRoman"/>
      <w:start w:val="1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3"/>
    </w:lvl>
    <w:lvl w:ilvl="1">
      <w:lvlJc w:val="left"/>
      <w:lvlText w:val="(%2)"/>
      <w:numFmt w:val="lowerLetter"/>
      <w:start w:val="24"/>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1"/>
    </w:lvl>
    <w:lvl w:ilvl="1">
      <w:lvlJc w:val="left"/>
      <w:lvlText w:val="(%2)"/>
      <w:numFmt w:val="lowerLetter"/>
      <w:start w:val="1"/>
    </w:lvl>
  </w:abstractNum>
  <w:abstractNum w:abstractNumId="97">
    <w:nsid w:val="1FBFE8E0"/>
    <w:multiLevelType w:val="hybridMultilevel"/>
    <w:lvl w:ilvl="0">
      <w:lvlJc w:val="left"/>
      <w:lvlText w:val="(%1)"/>
      <w:numFmt w:val="decimal"/>
      <w:start w:val="2"/>
    </w:lvl>
    <w:lvl w:ilvl="1">
      <w:lvlJc w:val="left"/>
      <w:lvlText w:val="%2"/>
      <w:numFmt w:val="lowerLetter"/>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4"/>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1)"/>
      <w:numFmt w:val="decimal"/>
      <w:start w:val="713"/>
    </w:lvl>
  </w:abstractNum>
  <w:abstractNum w:abstractNumId="107">
    <w:nsid w:val="53584BCB"/>
    <w:multiLevelType w:val="hybridMultilevel"/>
    <w:lvl w:ilvl="0">
      <w:lvlJc w:val="left"/>
      <w:lvlText w:val="(%1)"/>
      <w:numFmt w:val="decimal"/>
      <w:start w:val="615"/>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1)"/>
      <w:numFmt w:val="decimal"/>
      <w:start w:val="1"/>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2"/>
    </w:lvl>
  </w:abstractNum>
  <w:abstractNum w:abstractNumId="112">
    <w:nsid w:val="5C10FE21"/>
    <w:multiLevelType w:val="hybridMultilevel"/>
    <w:lvl w:ilvl="0">
      <w:lvlJc w:val="left"/>
      <w:lvlText w:val="(%1)"/>
      <w:numFmt w:val="decimal"/>
      <w:start w:val="6"/>
    </w:lvl>
  </w:abstractNum>
  <w:abstractNum w:abstractNumId="113">
    <w:nsid w:val="E7FFA2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2019-12-16T22:04:17Z</dcterms:created>
  <dcterms:modified xsi:type="dcterms:W3CDTF">2019-12-16T22:04:17Z</dcterms:modified>
</cp:coreProperties>
</file>