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-224155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6, 2018</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80" w:type="dxa"/>
        <w:tblCellMar>
          <w:top w:w="0" w:type="dxa"/>
          <w:left w:w="0" w:type="dxa"/>
          <w:bottom w:w="0" w:type="dxa"/>
          <w:right w:w="0" w:type="dxa"/>
        </w:tblCellMar>
      </w:tblPr>
      <w:tr>
        <w:trPr>
          <w:trHeight w:val="234"/>
        </w:trPr>
        <w:tc>
          <w:tcPr>
            <w:tcW w:w="3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Ireland</w:t>
            </w:r>
          </w:p>
        </w:tc>
        <w:tc>
          <w:tcPr>
            <w:tcW w:w="362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001-36504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37"/>
        </w:trPr>
        <w:tc>
          <w:tcPr>
            <w:tcW w:w="38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38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05"/>
        </w:trPr>
        <w:tc>
          <w:tcPr>
            <w:tcW w:w="76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460" w:type="dxa"/>
            <w:vAlign w:val="bottom"/>
            <w:tcBorders>
              <w:bottom w:val="single" w:sz="8" w:color="auto"/>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37"/>
        </w:trPr>
        <w:tc>
          <w:tcPr>
            <w:tcW w:w="768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51435</wp:posOffset>
            </wp:positionV>
            <wp:extent cx="6380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8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00"/>
          </w:cols>
          <w:pgMar w:left="240" w:top="949" w:right="259" w:bottom="1440" w:gutter="0" w:footer="0" w:header="0"/>
        </w:sectPr>
      </w:pPr>
    </w:p>
    <w:bookmarkStart w:id="1" w:name="page2"/>
    <w:bookmarkEnd w:id="1"/>
    <w:p>
      <w:pPr>
        <w:ind w:left="8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00" w:lineRule="exact"/>
        <w:rPr>
          <w:sz w:val="20"/>
          <w:szCs w:val="20"/>
          <w:color w:val="auto"/>
        </w:rPr>
      </w:pPr>
    </w:p>
    <w:p>
      <w:pPr>
        <w:spacing w:after="0" w:line="232"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 xml:space="preserve">On June 6, 2018 at 8:45 a.m., Central Time, Weatherford International plc will present to certain investors at the Morgan Stanley Leveraged Finance Conference held in New Orleans, Louisiana. The presentation materials will be available on Weatherford's website at </w:t>
      </w:r>
      <w:r>
        <w:rPr>
          <w:rFonts w:ascii="Arial" w:cs="Arial" w:eastAsia="Arial" w:hAnsi="Arial"/>
          <w:sz w:val="18"/>
          <w:szCs w:val="18"/>
          <w:u w:val="single" w:color="auto"/>
          <w:color w:val="0000FF"/>
        </w:rPr>
        <w:t>https://www.weatherford.com/en/investor-relations/</w:t>
      </w:r>
      <w:r>
        <w:rPr>
          <w:rFonts w:ascii="Arial" w:cs="Arial" w:eastAsia="Arial" w:hAnsi="Arial"/>
          <w:sz w:val="18"/>
          <w:szCs w:val="18"/>
          <w:color w:val="0000FF"/>
        </w:rPr>
        <w:t xml:space="preserve"> </w:t>
      </w:r>
      <w:r>
        <w:rPr>
          <w:rFonts w:ascii="Arial" w:cs="Arial" w:eastAsia="Arial" w:hAnsi="Arial"/>
          <w:sz w:val="18"/>
          <w:szCs w:val="18"/>
          <w:color w:val="000000"/>
        </w:rPr>
        <w:t>in the Investor Presentations section on the date of the event.</w:t>
      </w:r>
    </w:p>
    <w:p>
      <w:pPr>
        <w:spacing w:after="0" w:line="27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ectPr>
          <w:pgSz w:w="11900" w:h="16838" w:orient="portrait"/>
          <w:cols w:equalWidth="0" w:num="1">
            <w:col w:w="11420"/>
          </w:cols>
          <w:pgMar w:left="240" w:top="918"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6, 2018</w:t>
      </w:r>
    </w:p>
    <w:p>
      <w:pPr>
        <w:spacing w:after="0" w:line="6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31750</wp:posOffset>
            </wp:positionV>
            <wp:extent cx="4485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Christina M. Ibrahim</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General Counsel, Chief Compliance Officer and Corporate Secretary</w:t>
      </w:r>
    </w:p>
    <w:sectPr>
      <w:pgSz w:w="11900" w:h="16838" w:orient="portrait"/>
      <w:cols w:equalWidth="0" w:num="1">
        <w:col w:w="11240"/>
      </w:cols>
      <w:pgMar w:left="240" w:top="60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2019-12-08T10:32:13Z</dcterms:created>
  <dcterms:modified xsi:type="dcterms:W3CDTF">2019-12-08T10:32:13Z</dcterms:modified>
</cp:coreProperties>
</file>