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-224155</wp:posOffset>
            </wp:positionV>
            <wp:extent cx="6835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4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4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November 15, 2016</w:t>
      </w:r>
    </w:p>
    <w:p>
      <w:pPr>
        <w:spacing w:after="0" w:line="348"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Weatherford International public limited company</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4"/>
              </w:rPr>
              <w:t>Ireland</w:t>
            </w:r>
          </w:p>
        </w:tc>
        <w:tc>
          <w:tcPr>
            <w:tcW w:w="2900" w:type="dxa"/>
            <w:vAlign w:val="bottom"/>
          </w:tcPr>
          <w:p>
            <w:pPr>
              <w:jc w:val="right"/>
              <w:ind w:right="910"/>
              <w:spacing w:after="0"/>
              <w:rPr>
                <w:sz w:val="20"/>
                <w:szCs w:val="20"/>
                <w:color w:val="auto"/>
              </w:rPr>
            </w:pPr>
            <w:r>
              <w:rPr>
                <w:rFonts w:ascii="Arial" w:cs="Arial" w:eastAsia="Arial" w:hAnsi="Arial"/>
                <w:sz w:val="18"/>
                <w:szCs w:val="18"/>
                <w:b w:val="1"/>
                <w:bCs w:val="1"/>
                <w:color w:val="auto"/>
              </w:rPr>
              <w:t>001-36504</w:t>
            </w:r>
          </w:p>
        </w:tc>
        <w:tc>
          <w:tcPr>
            <w:tcW w:w="32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98-0606750</w:t>
            </w:r>
          </w:p>
        </w:tc>
        <w:tc>
          <w:tcPr>
            <w:tcW w:w="20" w:type="dxa"/>
            <w:vAlign w:val="bottom"/>
          </w:tcPr>
          <w:p>
            <w:pPr>
              <w:spacing w:after="0"/>
              <w:rPr>
                <w:sz w:val="20"/>
                <w:szCs w:val="20"/>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310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2900" w:type="dxa"/>
            <w:vAlign w:val="bottom"/>
          </w:tcPr>
          <w:p>
            <w:pPr>
              <w:jc w:val="center"/>
              <w:ind w:left="30"/>
              <w:spacing w:after="0"/>
              <w:rPr>
                <w:sz w:val="20"/>
                <w:szCs w:val="20"/>
                <w:color w:val="auto"/>
              </w:rPr>
            </w:pPr>
            <w:r>
              <w:rPr>
                <w:rFonts w:ascii="Arial" w:cs="Arial" w:eastAsia="Arial" w:hAnsi="Arial"/>
                <w:sz w:val="18"/>
                <w:szCs w:val="18"/>
                <w:color w:val="auto"/>
                <w:w w:val="92"/>
              </w:rPr>
              <w:t>(Commission File Number)</w:t>
            </w:r>
          </w:p>
        </w:tc>
        <w:tc>
          <w:tcPr>
            <w:tcW w:w="324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10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29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21"/>
        </w:trPr>
        <w:tc>
          <w:tcPr>
            <w:tcW w:w="600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6000" w:type="dxa"/>
            <w:vAlign w:val="bottom"/>
            <w:tcBorders>
              <w:bottom w:val="single" w:sz="8" w:color="auto"/>
            </w:tcBorders>
            <w:gridSpan w:val="2"/>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(Address of principal executive offices)</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376"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7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374015</wp:posOffset>
            </wp:positionH>
            <wp:positionV relativeFrom="paragraph">
              <wp:posOffset>34290</wp:posOffset>
            </wp:positionV>
            <wp:extent cx="65176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6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1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003" w:right="359" w:bottom="1440" w:gutter="0" w:footer="0" w:header="0"/>
        </w:sectPr>
      </w:pPr>
    </w:p>
    <w:bookmarkStart w:id="1" w:name="page2"/>
    <w:bookmarkEnd w:id="1"/>
    <w:p>
      <w:pPr>
        <w:ind w:left="40"/>
        <w:spacing w:after="0"/>
        <w:tabs>
          <w:tab w:leader="none" w:pos="16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Weatherford International plc (NYSE: WFT) previously announced its revolving and term loan credit facility covenant calculations by press releases dated November 1, 2016 and November 7, 2016.</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announced today, Weatherford priced a $540 million senior notes offering (the “Offering”). The expected net proceeds of $528 million will be used to repay amounts outstanding under Weatherford’s revolving credit facility. Such amounts being repaid constitute specified debt under the revolving credit facility and the term loan facility. Pro forma to give effect to repayment of specified debt with the net proceeds from the Offering, the covenant calculations as of September 30, 2016 would have been:</w:t>
      </w:r>
    </w:p>
    <w:p>
      <w:pPr>
        <w:spacing w:after="0" w:line="18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Specified Senior Leverage Ratio of 0.92x (versus a maximum ratio of 3.0x);</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Specified Senior Leverage and Letters of Credit ratio 2.12x (versus a maximum ratio of 4.0x);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Specified Asset Coverage Ratio of 27.2x (versus a minimum ratio of 4.0x)</w:t>
      </w:r>
    </w:p>
    <w:p>
      <w:pPr>
        <w:spacing w:after="0" w:line="2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Form 8-K release contains forward-looking statements. These forward-looking statements include, among other things, the Company’s forecasts and expectations regarding business outlook and performance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also cautioned that forward-looking statements are only predictions and may differ materially from actual future events or results. Forward-looking statements are also affected by the risk factors described in the Company’s Annual Report on Form 10-K for the year ended December 31, 2015, the Company’s Quarterly Reports on Form 10-Q, and those set forth from time-to-time in the Company’s other filings with the Securities and Exchange Commission (“SEC”). We undertake no obligation to correct or update any forward-looking statement, whether as a result of new information, future events, or otherwise, except to the extent required under federal securities laws.</w:t>
      </w:r>
    </w:p>
    <w:p>
      <w:pPr>
        <w:sectPr>
          <w:pgSz w:w="11900" w:h="16838" w:orient="portrait"/>
          <w:cols w:equalWidth="0" w:num="1">
            <w:col w:w="11420"/>
          </w:cols>
          <w:pgMar w:left="240" w:top="958"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15, 2016</w:t>
      </w:r>
    </w:p>
    <w:p>
      <w:pPr>
        <w:spacing w:after="0" w:line="63"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3893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57"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Krishna Shivram</w:t>
      </w:r>
    </w:p>
    <w:p>
      <w:pPr>
        <w:spacing w:after="0" w:line="279"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Chief Executive Officer and</w:t>
      </w:r>
    </w:p>
    <w:p>
      <w:pPr>
        <w:spacing w:after="0" w:line="23"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20"/>
      </w:cols>
      <w:pgMar w:left="240" w:top="58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2019-12-09T01:02:14Z</dcterms:created>
  <dcterms:modified xsi:type="dcterms:W3CDTF">2019-12-09T01:02:14Z</dcterms:modified>
</cp:coreProperties>
</file>