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November 7, 2019</w:t>
      </w:r>
    </w:p>
    <w:p>
      <w:pPr>
        <w:spacing w:after="0" w:line="27" w:lineRule="exact"/>
        <w:rPr>
          <w:sz w:val="24"/>
          <w:szCs w:val="24"/>
          <w:color w:val="auto"/>
        </w:rPr>
      </w:pPr>
    </w:p>
    <w:p>
      <w:pPr>
        <w:ind w:left="7380"/>
        <w:spacing w:after="0"/>
        <w:rPr>
          <w:sz w:val="20"/>
          <w:szCs w:val="20"/>
          <w:color w:val="auto"/>
        </w:rPr>
      </w:pPr>
      <w:r>
        <w:rPr>
          <w:rFonts w:ascii="Arial" w:cs="Arial" w:eastAsia="Arial" w:hAnsi="Arial"/>
          <w:sz w:val="16"/>
          <w:szCs w:val="16"/>
          <w:b w:val="1"/>
          <w:bCs w:val="1"/>
          <w:color w:val="auto"/>
        </w:rPr>
        <w:t>Registration No. 333-48320, 333-134425, 333-167959,</w:t>
      </w:r>
    </w:p>
    <w:p>
      <w:pPr>
        <w:spacing w:after="0" w:line="32" w:lineRule="exact"/>
        <w:rPr>
          <w:sz w:val="24"/>
          <w:szCs w:val="24"/>
          <w:color w:val="auto"/>
        </w:rPr>
      </w:pPr>
    </w:p>
    <w:p>
      <w:pPr>
        <w:ind w:left="7380"/>
        <w:spacing w:after="0"/>
        <w:rPr>
          <w:sz w:val="20"/>
          <w:szCs w:val="20"/>
          <w:color w:val="auto"/>
        </w:rPr>
      </w:pPr>
      <w:r>
        <w:rPr>
          <w:rFonts w:ascii="Arial" w:cs="Arial" w:eastAsia="Arial" w:hAnsi="Arial"/>
          <w:sz w:val="16"/>
          <w:szCs w:val="16"/>
          <w:b w:val="1"/>
          <w:bCs w:val="1"/>
          <w:color w:val="auto"/>
        </w:rPr>
        <w:t>333-181664, 333-205025, 333-212094 and 333-219215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4 TO FORM S-8 REGISTRATION STATEMENT NO. 333-48320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3 TO FORM S-8 REGISTRATION STATEMENT NO. 333-134425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2 TO FORM S-8 REGISTRATION STATEMENT NO. 333-167959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2 TO FORM S-8 REGISTRATION STATEMENT NO. 333-181664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 FORM S-8 REGISTRATION STATEMENT NO. 333-205025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 FORM S-8 REGISTRATION STATEMENT NO. 333-212094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 FORM S-8 REGISTRATION STATEMENT NO. 333-219215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plc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40" w:type="dxa"/>
        <w:tblCellMar>
          <w:top w:w="0" w:type="dxa"/>
          <w:left w:w="0" w:type="dxa"/>
          <w:bottom w:w="0" w:type="dxa"/>
          <w:right w:w="0" w:type="dxa"/>
        </w:tblCellMar>
      </w:tblPr>
      <w:tr>
        <w:trPr>
          <w:trHeight w:val="220"/>
        </w:trPr>
        <w:tc>
          <w:tcPr>
            <w:tcW w:w="4700" w:type="dxa"/>
            <w:vAlign w:val="bottom"/>
          </w:tcPr>
          <w:p>
            <w:pPr>
              <w:jc w:val="center"/>
              <w:ind w:right="1670"/>
              <w:spacing w:after="0"/>
              <w:rPr>
                <w:sz w:val="20"/>
                <w:szCs w:val="20"/>
                <w:color w:val="auto"/>
              </w:rPr>
            </w:pPr>
            <w:r>
              <w:rPr>
                <w:rFonts w:ascii="Arial" w:cs="Arial" w:eastAsia="Arial" w:hAnsi="Arial"/>
                <w:sz w:val="18"/>
                <w:szCs w:val="18"/>
                <w:b w:val="1"/>
                <w:bCs w:val="1"/>
                <w:color w:val="auto"/>
                <w:w w:val="98"/>
              </w:rPr>
              <w:t>Ireland</w:t>
            </w:r>
          </w:p>
        </w:tc>
        <w:tc>
          <w:tcPr>
            <w:tcW w:w="3420" w:type="dxa"/>
            <w:vAlign w:val="bottom"/>
          </w:tcPr>
          <w:p>
            <w:pPr>
              <w:jc w:val="right"/>
              <w:ind w:right="310"/>
              <w:spacing w:after="0"/>
              <w:rPr>
                <w:sz w:val="20"/>
                <w:szCs w:val="20"/>
                <w:color w:val="auto"/>
              </w:rPr>
            </w:pPr>
            <w:r>
              <w:rPr>
                <w:rFonts w:ascii="Arial" w:cs="Arial" w:eastAsia="Arial" w:hAnsi="Arial"/>
                <w:sz w:val="18"/>
                <w:szCs w:val="18"/>
                <w:b w:val="1"/>
                <w:bCs w:val="1"/>
                <w:color w:val="auto"/>
              </w:rPr>
              <w:t>98-0606750</w:t>
            </w:r>
          </w:p>
        </w:tc>
      </w:tr>
      <w:tr>
        <w:trPr>
          <w:trHeight w:val="216"/>
        </w:trPr>
        <w:tc>
          <w:tcPr>
            <w:tcW w:w="4700" w:type="dxa"/>
            <w:vAlign w:val="bottom"/>
          </w:tcPr>
          <w:p>
            <w:pPr>
              <w:jc w:val="center"/>
              <w:ind w:right="1670"/>
              <w:spacing w:after="0"/>
              <w:rPr>
                <w:sz w:val="20"/>
                <w:szCs w:val="20"/>
                <w:color w:val="auto"/>
              </w:rPr>
            </w:pPr>
            <w:r>
              <w:rPr>
                <w:rFonts w:ascii="Arial" w:cs="Arial" w:eastAsia="Arial" w:hAnsi="Arial"/>
                <w:sz w:val="18"/>
                <w:szCs w:val="18"/>
                <w:color w:val="auto"/>
                <w:w w:val="93"/>
              </w:rPr>
              <w:t>(State or other jurisdiction of</w:t>
            </w:r>
          </w:p>
        </w:tc>
        <w:tc>
          <w:tcPr>
            <w:tcW w:w="3420" w:type="dxa"/>
            <w:vAlign w:val="bottom"/>
          </w:tcPr>
          <w:p>
            <w:pPr>
              <w:jc w:val="center"/>
              <w:ind w:left="1650"/>
              <w:spacing w:after="0"/>
              <w:rPr>
                <w:sz w:val="20"/>
                <w:szCs w:val="20"/>
                <w:color w:val="auto"/>
              </w:rPr>
            </w:pPr>
            <w:r>
              <w:rPr>
                <w:rFonts w:ascii="Arial" w:cs="Arial" w:eastAsia="Arial" w:hAnsi="Arial"/>
                <w:sz w:val="18"/>
                <w:szCs w:val="18"/>
                <w:color w:val="auto"/>
                <w:w w:val="93"/>
              </w:rPr>
              <w:t>(I.R.S. Employer</w:t>
            </w:r>
          </w:p>
        </w:tc>
      </w:tr>
      <w:tr>
        <w:trPr>
          <w:trHeight w:val="230"/>
        </w:trPr>
        <w:tc>
          <w:tcPr>
            <w:tcW w:w="4700" w:type="dxa"/>
            <w:vAlign w:val="bottom"/>
          </w:tcPr>
          <w:p>
            <w:pPr>
              <w:jc w:val="center"/>
              <w:ind w:right="1670"/>
              <w:spacing w:after="0"/>
              <w:rPr>
                <w:sz w:val="20"/>
                <w:szCs w:val="20"/>
                <w:color w:val="auto"/>
              </w:rPr>
            </w:pPr>
            <w:r>
              <w:rPr>
                <w:rFonts w:ascii="Arial" w:cs="Arial" w:eastAsia="Arial" w:hAnsi="Arial"/>
                <w:sz w:val="18"/>
                <w:szCs w:val="18"/>
                <w:color w:val="auto"/>
                <w:w w:val="93"/>
              </w:rPr>
              <w:t>incorporation or organization)</w:t>
            </w:r>
          </w:p>
        </w:tc>
        <w:tc>
          <w:tcPr>
            <w:tcW w:w="3420" w:type="dxa"/>
            <w:vAlign w:val="bottom"/>
          </w:tcPr>
          <w:p>
            <w:pPr>
              <w:jc w:val="center"/>
              <w:ind w:left="1670"/>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4700" w:type="dxa"/>
            <w:vAlign w:val="bottom"/>
          </w:tcPr>
          <w:p>
            <w:pPr>
              <w:jc w:val="center"/>
              <w:ind w:right="1670"/>
              <w:spacing w:after="0"/>
              <w:rPr>
                <w:sz w:val="20"/>
                <w:szCs w:val="20"/>
                <w:color w:val="auto"/>
              </w:rPr>
            </w:pPr>
            <w:r>
              <w:rPr>
                <w:rFonts w:ascii="Arial" w:cs="Arial" w:eastAsia="Arial" w:hAnsi="Arial"/>
                <w:sz w:val="18"/>
                <w:szCs w:val="18"/>
                <w:b w:val="1"/>
                <w:bCs w:val="1"/>
                <w:color w:val="auto"/>
                <w:w w:val="87"/>
              </w:rPr>
              <w:t>2000 St. James Place</w:t>
            </w:r>
          </w:p>
        </w:tc>
        <w:tc>
          <w:tcPr>
            <w:tcW w:w="3420" w:type="dxa"/>
            <w:vAlign w:val="bottom"/>
          </w:tcPr>
          <w:p>
            <w:pPr>
              <w:spacing w:after="0"/>
              <w:rPr>
                <w:sz w:val="24"/>
                <w:szCs w:val="24"/>
                <w:color w:val="auto"/>
              </w:rPr>
            </w:pPr>
          </w:p>
        </w:tc>
      </w:tr>
      <w:tr>
        <w:trPr>
          <w:trHeight w:val="220"/>
        </w:trPr>
        <w:tc>
          <w:tcPr>
            <w:tcW w:w="4700" w:type="dxa"/>
            <w:vAlign w:val="bottom"/>
          </w:tcPr>
          <w:p>
            <w:pPr>
              <w:jc w:val="center"/>
              <w:ind w:right="1670"/>
              <w:spacing w:after="0"/>
              <w:rPr>
                <w:sz w:val="20"/>
                <w:szCs w:val="20"/>
                <w:color w:val="auto"/>
              </w:rPr>
            </w:pPr>
            <w:r>
              <w:rPr>
                <w:rFonts w:ascii="Arial" w:cs="Arial" w:eastAsia="Arial" w:hAnsi="Arial"/>
                <w:sz w:val="18"/>
                <w:szCs w:val="18"/>
                <w:b w:val="1"/>
                <w:bCs w:val="1"/>
                <w:color w:val="auto"/>
                <w:w w:val="88"/>
              </w:rPr>
              <w:t>Houston, Texas</w:t>
            </w:r>
          </w:p>
        </w:tc>
        <w:tc>
          <w:tcPr>
            <w:tcW w:w="3420" w:type="dxa"/>
            <w:vAlign w:val="bottom"/>
          </w:tcPr>
          <w:p>
            <w:pPr>
              <w:jc w:val="right"/>
              <w:ind w:right="530"/>
              <w:spacing w:after="0"/>
              <w:rPr>
                <w:sz w:val="20"/>
                <w:szCs w:val="20"/>
                <w:color w:val="auto"/>
              </w:rPr>
            </w:pPr>
            <w:r>
              <w:rPr>
                <w:rFonts w:ascii="Arial" w:cs="Arial" w:eastAsia="Arial" w:hAnsi="Arial"/>
                <w:sz w:val="18"/>
                <w:szCs w:val="18"/>
                <w:b w:val="1"/>
                <w:bCs w:val="1"/>
                <w:color w:val="auto"/>
              </w:rPr>
              <w:t>77056</w:t>
            </w:r>
          </w:p>
        </w:tc>
      </w:tr>
      <w:tr>
        <w:trPr>
          <w:trHeight w:val="230"/>
        </w:trPr>
        <w:tc>
          <w:tcPr>
            <w:tcW w:w="4700" w:type="dxa"/>
            <w:vAlign w:val="bottom"/>
          </w:tcPr>
          <w:p>
            <w:pPr>
              <w:jc w:val="center"/>
              <w:ind w:right="1670"/>
              <w:spacing w:after="0"/>
              <w:rPr>
                <w:sz w:val="20"/>
                <w:szCs w:val="20"/>
                <w:color w:val="auto"/>
              </w:rPr>
            </w:pPr>
            <w:r>
              <w:rPr>
                <w:rFonts w:ascii="Arial" w:cs="Arial" w:eastAsia="Arial" w:hAnsi="Arial"/>
                <w:sz w:val="18"/>
                <w:szCs w:val="18"/>
                <w:color w:val="auto"/>
                <w:w w:val="92"/>
              </w:rPr>
              <w:t>(Address of Principal Executive Offices)</w:t>
            </w:r>
          </w:p>
        </w:tc>
        <w:tc>
          <w:tcPr>
            <w:tcW w:w="3420" w:type="dxa"/>
            <w:vAlign w:val="bottom"/>
          </w:tcPr>
          <w:p>
            <w:pPr>
              <w:jc w:val="center"/>
              <w:ind w:left="16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20"/>
        <w:spacing w:after="0" w:line="261" w:lineRule="auto"/>
        <w:rPr>
          <w:sz w:val="20"/>
          <w:szCs w:val="20"/>
          <w:color w:val="auto"/>
        </w:rPr>
      </w:pPr>
      <w:r>
        <w:rPr>
          <w:rFonts w:ascii="Arial" w:cs="Arial" w:eastAsia="Arial" w:hAnsi="Arial"/>
          <w:sz w:val="18"/>
          <w:szCs w:val="18"/>
          <w:b w:val="1"/>
          <w:bCs w:val="1"/>
          <w:color w:val="auto"/>
        </w:rPr>
        <w:t>Weatherford International Inc. 1998 Employee Stock Option Plan (As Amended) Weatherford International plc 2006 Omnibus Incentive Plan Weatherford International plc 2010 Omnibus Incentive Plan (As Amended and Restated) Weatherford International plc Employee Stock Purchase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194310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Christina M. Ibrahim</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General Counsel, Chief Compliance Officer and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2000 St. James Place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77056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836-4000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With a copy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Ryan J. Maierson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John M. Greer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Latham &amp; Watkins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811 Main Street, Suite 3700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(713) 546-5400</w:t>
      </w:r>
    </w:p>
    <w:p>
      <w:pPr>
        <w:spacing w:after="0" w:line="211"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20" w:type="dxa"/>
            <w:vAlign w:val="bottom"/>
          </w:tcPr>
          <w:p>
            <w:pPr>
              <w:ind w:left="240"/>
              <w:spacing w:after="0"/>
              <w:rPr>
                <w:sz w:val="20"/>
                <w:szCs w:val="20"/>
                <w:color w:val="auto"/>
              </w:rPr>
            </w:pPr>
            <w:r>
              <w:rPr>
                <w:rFonts w:ascii="Arial" w:cs="Arial" w:eastAsia="Arial" w:hAnsi="Arial"/>
                <w:sz w:val="18"/>
                <w:szCs w:val="18"/>
                <w:color w:val="auto"/>
              </w:rPr>
              <w:t>x</w:t>
            </w:r>
          </w:p>
        </w:tc>
        <w:tc>
          <w:tcPr>
            <w:tcW w:w="5360" w:type="dxa"/>
            <w:vAlign w:val="bottom"/>
          </w:tcPr>
          <w:p>
            <w:pPr>
              <w:ind w:left="2480"/>
              <w:spacing w:after="0"/>
              <w:rPr>
                <w:sz w:val="20"/>
                <w:szCs w:val="20"/>
                <w:color w:val="auto"/>
              </w:rPr>
            </w:pPr>
            <w:r>
              <w:rPr>
                <w:rFonts w:ascii="Arial" w:cs="Arial" w:eastAsia="Arial" w:hAnsi="Arial"/>
                <w:sz w:val="18"/>
                <w:szCs w:val="18"/>
                <w:color w:val="auto"/>
              </w:rPr>
              <w:t>Accelerated filer</w:t>
            </w:r>
          </w:p>
        </w:tc>
        <w:tc>
          <w:tcPr>
            <w:tcW w:w="1000" w:type="dxa"/>
            <w:vAlign w:val="bottom"/>
          </w:tcPr>
          <w:p>
            <w:pPr>
              <w:ind w:left="900"/>
              <w:spacing w:after="0"/>
              <w:rPr>
                <w:sz w:val="20"/>
                <w:szCs w:val="20"/>
                <w:color w:val="auto"/>
              </w:rPr>
            </w:pPr>
            <w:r>
              <w:rPr>
                <w:rFonts w:ascii="Arial" w:cs="Arial" w:eastAsia="Arial" w:hAnsi="Arial"/>
                <w:sz w:val="18"/>
                <w:szCs w:val="18"/>
                <w:color w:val="auto"/>
                <w:w w:val="79"/>
              </w:rPr>
              <w:t>o</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2820" w:type="dxa"/>
            <w:vAlign w:val="bottom"/>
          </w:tcPr>
          <w:p>
            <w:pPr>
              <w:ind w:left="240"/>
              <w:spacing w:after="0"/>
              <w:rPr>
                <w:sz w:val="20"/>
                <w:szCs w:val="20"/>
                <w:color w:val="auto"/>
              </w:rPr>
            </w:pPr>
            <w:r>
              <w:rPr>
                <w:rFonts w:ascii="Arial" w:cs="Arial" w:eastAsia="Arial" w:hAnsi="Arial"/>
                <w:sz w:val="18"/>
                <w:szCs w:val="18"/>
                <w:color w:val="auto"/>
              </w:rPr>
              <w:t>o</w:t>
            </w:r>
          </w:p>
        </w:tc>
        <w:tc>
          <w:tcPr>
            <w:tcW w:w="5360" w:type="dxa"/>
            <w:vAlign w:val="bottom"/>
          </w:tcPr>
          <w:p>
            <w:pPr>
              <w:ind w:left="2480"/>
              <w:spacing w:after="0"/>
              <w:rPr>
                <w:sz w:val="20"/>
                <w:szCs w:val="20"/>
                <w:color w:val="auto"/>
              </w:rPr>
            </w:pPr>
            <w:r>
              <w:rPr>
                <w:rFonts w:ascii="Arial" w:cs="Arial" w:eastAsia="Arial" w:hAnsi="Arial"/>
                <w:sz w:val="18"/>
                <w:szCs w:val="18"/>
                <w:color w:val="auto"/>
              </w:rPr>
              <w:t>Smaller reporting company</w:t>
            </w:r>
          </w:p>
        </w:tc>
        <w:tc>
          <w:tcPr>
            <w:tcW w:w="1000" w:type="dxa"/>
            <w:vAlign w:val="bottom"/>
          </w:tcPr>
          <w:p>
            <w:pPr>
              <w:ind w:left="900"/>
              <w:spacing w:after="0"/>
              <w:rPr>
                <w:sz w:val="20"/>
                <w:szCs w:val="20"/>
                <w:color w:val="auto"/>
              </w:rPr>
            </w:pPr>
            <w:r>
              <w:rPr>
                <w:rFonts w:ascii="Arial" w:cs="Arial" w:eastAsia="Arial" w:hAnsi="Arial"/>
                <w:sz w:val="18"/>
                <w:szCs w:val="18"/>
                <w:color w:val="auto"/>
                <w:w w:val="79"/>
              </w:rPr>
              <w:t>o</w:t>
            </w:r>
          </w:p>
        </w:tc>
      </w:tr>
      <w:tr>
        <w:trPr>
          <w:trHeight w:val="230"/>
        </w:trPr>
        <w:tc>
          <w:tcPr>
            <w:tcW w:w="18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360" w:type="dxa"/>
            <w:vAlign w:val="bottom"/>
          </w:tcPr>
          <w:p>
            <w:pPr>
              <w:ind w:left="2480"/>
              <w:spacing w:after="0"/>
              <w:rPr>
                <w:sz w:val="20"/>
                <w:szCs w:val="20"/>
                <w:color w:val="auto"/>
              </w:rPr>
            </w:pPr>
            <w:r>
              <w:rPr>
                <w:rFonts w:ascii="Arial" w:cs="Arial" w:eastAsia="Arial" w:hAnsi="Arial"/>
                <w:sz w:val="18"/>
                <w:szCs w:val="18"/>
                <w:color w:val="auto"/>
              </w:rPr>
              <w:t>Emerging growth company</w:t>
            </w:r>
          </w:p>
        </w:tc>
        <w:tc>
          <w:tcPr>
            <w:tcW w:w="1000" w:type="dxa"/>
            <w:vAlign w:val="bottom"/>
          </w:tcPr>
          <w:p>
            <w:pPr>
              <w:ind w:left="900"/>
              <w:spacing w:after="0"/>
              <w:rPr>
                <w:sz w:val="20"/>
                <w:szCs w:val="20"/>
                <w:color w:val="auto"/>
              </w:rPr>
            </w:pPr>
            <w:r>
              <w:rPr>
                <w:rFonts w:ascii="Arial" w:cs="Arial" w:eastAsia="Arial" w:hAnsi="Arial"/>
                <w:sz w:val="18"/>
                <w:szCs w:val="18"/>
                <w:color w:val="auto"/>
                <w:w w:val="79"/>
              </w:rPr>
              <w:t>o</w:t>
            </w:r>
          </w:p>
        </w:tc>
      </w:tr>
    </w:tbl>
    <w:p>
      <w:pPr>
        <w:sectPr>
          <w:pgSz w:w="11900" w:h="16838" w:orient="portrait"/>
          <w:cols w:equalWidth="0" w:num="1">
            <w:col w:w="11420"/>
          </w:cols>
          <w:pgMar w:left="240" w:top="229" w:right="239" w:bottom="63"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DEREGISTRATION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These Post-Effective Amendments relate to the following Registration Statements on Form S-8 (collectively, the “</w:t>
      </w:r>
      <w:r>
        <w:rPr>
          <w:rFonts w:ascii="Arial" w:cs="Arial" w:eastAsia="Arial" w:hAnsi="Arial"/>
          <w:sz w:val="16"/>
          <w:szCs w:val="16"/>
          <w:u w:val="single" w:color="auto"/>
          <w:color w:val="auto"/>
        </w:rPr>
        <w:t>Registration Statements</w:t>
      </w:r>
      <w:r>
        <w:rPr>
          <w:rFonts w:ascii="Arial" w:cs="Arial" w:eastAsia="Arial" w:hAnsi="Arial"/>
          <w:sz w:val="16"/>
          <w:szCs w:val="16"/>
          <w:color w:val="auto"/>
        </w:rPr>
        <w:t>”), filed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 an Irish public limited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with the Securities and Exchange Commission:</w:t>
      </w:r>
    </w:p>
    <w:p>
      <w:pPr>
        <w:spacing w:after="0" w:line="211" w:lineRule="exact"/>
        <w:rPr>
          <w:sz w:val="20"/>
          <w:szCs w:val="20"/>
          <w:color w:val="auto"/>
        </w:rPr>
      </w:pPr>
    </w:p>
    <w:p>
      <w:pPr>
        <w:ind w:left="1300" w:right="420" w:hanging="644"/>
        <w:spacing w:after="0" w:line="277" w:lineRule="auto"/>
        <w:tabs>
          <w:tab w:leader="none" w:pos="126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333-48320), as amended, pertaining to the Weatherford International Inc. 1998 Employee Stock Option Plan;</w:t>
      </w:r>
    </w:p>
    <w:p>
      <w:pPr>
        <w:spacing w:after="0" w:line="170" w:lineRule="exact"/>
        <w:rPr>
          <w:rFonts w:ascii="Arial" w:cs="Arial" w:eastAsia="Arial" w:hAnsi="Arial"/>
          <w:sz w:val="18"/>
          <w:szCs w:val="18"/>
          <w:color w:val="auto"/>
        </w:rPr>
      </w:pPr>
    </w:p>
    <w:p>
      <w:pPr>
        <w:ind w:left="1300" w:right="200" w:hanging="644"/>
        <w:spacing w:after="0" w:line="277" w:lineRule="auto"/>
        <w:tabs>
          <w:tab w:leader="none" w:pos="126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333-134425), as amended, pertaining to the Weatherford International plc 2006 Omnibus Incentive Plan;</w:t>
      </w:r>
    </w:p>
    <w:p>
      <w:pPr>
        <w:spacing w:after="0" w:line="170" w:lineRule="exact"/>
        <w:rPr>
          <w:rFonts w:ascii="Arial" w:cs="Arial" w:eastAsia="Arial" w:hAnsi="Arial"/>
          <w:sz w:val="18"/>
          <w:szCs w:val="18"/>
          <w:color w:val="auto"/>
        </w:rPr>
      </w:pPr>
    </w:p>
    <w:p>
      <w:pPr>
        <w:ind w:left="1300" w:right="200" w:hanging="644"/>
        <w:spacing w:after="0" w:line="277" w:lineRule="auto"/>
        <w:tabs>
          <w:tab w:leader="none" w:pos="126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333-167959), as amended, pertaining to the Weatherford International plc 2010 Omnibus Incentive Plan, as amended and restated (the “</w:t>
      </w:r>
      <w:r>
        <w:rPr>
          <w:rFonts w:ascii="Arial" w:cs="Arial" w:eastAsia="Arial" w:hAnsi="Arial"/>
          <w:sz w:val="18"/>
          <w:szCs w:val="18"/>
          <w:u w:val="single" w:color="auto"/>
          <w:color w:val="auto"/>
        </w:rPr>
        <w:t>2010 Omnibus Incentive Plan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333-181664), as amended, pertaining to the 2010 Omnibus Incentive Plan;</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333-205025) pertaining to the 2010 Omnibus Incentive Plan;</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Registration Statement (Form S-8 No. 333-212094) pertaining to the Weatherford International plc Employee Stock Purchase Plan; and</w:t>
      </w:r>
    </w:p>
    <w:p>
      <w:pPr>
        <w:spacing w:after="0" w:line="248" w:lineRule="exact"/>
        <w:rPr>
          <w:rFonts w:ascii="Arial" w:cs="Arial" w:eastAsia="Arial" w:hAnsi="Arial"/>
          <w:sz w:val="16"/>
          <w:szCs w:val="16"/>
          <w:color w:val="auto"/>
        </w:rPr>
      </w:pPr>
    </w:p>
    <w:p>
      <w:pPr>
        <w:ind w:left="1260" w:hanging="604"/>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333-219215) pertaining to the 2010 Omnibus Incentive Plan.</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On July 1, 2019, the Company and its subsidiaries, Weatherford International Ltd. and Weatherford International, LLC, filed voluntary petitions for reorganization under chapter 11 of the United States Code in the United States Bankruptcy Court for the Southern District of Texas, which cases are being jointly administered under the caption “</w:t>
      </w:r>
      <w:r>
        <w:rPr>
          <w:rFonts w:ascii="Arial" w:cs="Arial" w:eastAsia="Arial" w:hAnsi="Arial"/>
          <w:sz w:val="18"/>
          <w:szCs w:val="18"/>
          <w:i w:val="1"/>
          <w:iCs w:val="1"/>
          <w:color w:val="auto"/>
        </w:rPr>
        <w:t>In re Weatherford International plc, et al</w:t>
      </w:r>
      <w:r>
        <w:rPr>
          <w:rFonts w:ascii="Arial" w:cs="Arial" w:eastAsia="Arial" w:hAnsi="Arial"/>
          <w:sz w:val="18"/>
          <w:szCs w:val="18"/>
          <w:color w:val="auto"/>
        </w:rPr>
        <w:t>” (the “</w:t>
      </w:r>
      <w:r>
        <w:rPr>
          <w:rFonts w:ascii="Arial" w:cs="Arial" w:eastAsia="Arial" w:hAnsi="Arial"/>
          <w:sz w:val="18"/>
          <w:szCs w:val="18"/>
          <w:u w:val="single" w:color="auto"/>
          <w:color w:val="auto"/>
        </w:rPr>
        <w:t>Chapter 11 Cases</w:t>
      </w:r>
      <w:r>
        <w:rPr>
          <w:rFonts w:ascii="Arial" w:cs="Arial" w:eastAsia="Arial" w:hAnsi="Arial"/>
          <w:sz w:val="18"/>
          <w:szCs w:val="18"/>
          <w:color w:val="auto"/>
        </w:rPr>
        <w:t>”).</w:t>
      </w:r>
    </w:p>
    <w:p>
      <w:pPr>
        <w:spacing w:after="0" w:line="181"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As a result of the Chapter 11 Cases, the Company has terminated all offerings of securities pursuant to the Registration Statements. In accordance with an undertaking made by the Company in the Registration Statements to remove from registration, by means of a post-effective amendment, any of the securities that had been registered for issuance that remain unsold at the termination of such offering, the Company hereby removes from registration all of such securities registered but unsold under the Registration Statements.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 w:name="page4"/>
    <w:bookmarkEnd w:id="3"/>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Pursuant to the requirements of the Securities Act of 1933, the registrant certifies that it has duly caused these post-effective amendments to the Registration Statements to be signed on its behalf by the undersigned thereunto duly authorized, in Houston, Texas on November 7, 2019.</w:t>
      </w:r>
    </w:p>
    <w:p>
      <w:pPr>
        <w:spacing w:after="0" w:line="12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WEATHERFORD INTERNATIONAL PLC</w:t>
      </w:r>
    </w:p>
    <w:p>
      <w:pPr>
        <w:spacing w:after="0" w:line="229"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Stuart Fraser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Stuart Fraser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and Chief Accounting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No other person is required to sign this Post-Effective Amendment to the Registration Statements on Form S-8 in reliance upon Rule 478 under the Securities Act of 1933, as amended.</w:t>
      </w:r>
    </w:p>
    <w:p>
      <w:pPr>
        <w:spacing w:after="0" w:line="17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060"/>
      </w:cols>
      <w:pgMar w:left="240" w:top="33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2019-11-28T11:41:20Z</dcterms:created>
  <dcterms:modified xsi:type="dcterms:W3CDTF">2019-11-28T11:41:20Z</dcterms:modified>
</cp:coreProperties>
</file>