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 240.13d-1(b), (c) AND (d) AND AMENDMENTS THERETO FILED PURSUANT TO § 240.13d-2.</w:t>
      </w:r>
    </w:p>
    <w:p>
      <w:pPr>
        <w:spacing w:after="0" w:line="176"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$.001 par value per share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G48833100</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16, 2016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purposes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830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CVI Investments, Inc.</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99,498,086</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t>Reporting</w:t>
      </w:r>
    </w:p>
    <w:p>
      <w:pPr>
        <w:ind w:left="52"/>
        <w:spacing w:after="0" w:line="217" w:lineRule="auto"/>
        <w:rPr>
          <w:sz w:val="20"/>
          <w:szCs w:val="20"/>
          <w:color w:val="auto"/>
        </w:rPr>
      </w:pPr>
      <w:r>
        <w:rPr>
          <w:rFonts w:ascii="Arial" w:cs="Arial" w:eastAsia="Arial" w:hAnsi="Arial"/>
          <w:sz w:val="18"/>
          <w:szCs w:val="18"/>
          <w:color w:val="auto"/>
        </w:rPr>
        <w:t>Person With</w:t>
      </w:r>
    </w:p>
    <w:p>
      <w:pPr>
        <w:ind w:left="2752" w:right="6780" w:hanging="1091"/>
        <w:spacing w:after="0" w:line="259" w:lineRule="auto"/>
        <w:tabs>
          <w:tab w:leader="none" w:pos="2752"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2752" w:right="6420" w:hanging="1091"/>
        <w:spacing w:after="0" w:line="277" w:lineRule="auto"/>
        <w:tabs>
          <w:tab w:leader="none" w:pos="2752"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99,498,086</w:t>
      </w:r>
    </w:p>
    <w:p>
      <w:pPr>
        <w:spacing w:after="0" w:line="386" w:lineRule="exact"/>
        <w:rPr>
          <w:rFonts w:ascii="Arial" w:cs="Arial" w:eastAsia="Arial" w:hAnsi="Arial"/>
          <w:sz w:val="18"/>
          <w:szCs w:val="18"/>
          <w:color w:val="auto"/>
        </w:rPr>
      </w:pPr>
    </w:p>
    <w:p>
      <w:pPr>
        <w:ind w:left="1052" w:right="5380" w:hanging="620"/>
        <w:spacing w:after="0" w:line="277" w:lineRule="auto"/>
        <w:tabs>
          <w:tab w:leader="none" w:pos="105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99,498,086</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77" w:lineRule="auto"/>
        <w:tabs>
          <w:tab w:leader="none" w:pos="217" w:val="left"/>
        </w:tabs>
        <w:numPr>
          <w:ilvl w:val="0"/>
          <w:numId w:val="4"/>
        </w:numPr>
        <w:rPr>
          <w:rFonts w:ascii="Arial" w:cs="Arial" w:eastAsia="Arial" w:hAnsi="Arial"/>
          <w:sz w:val="18"/>
          <w:szCs w:val="18"/>
          <w:color w:val="auto"/>
        </w:rPr>
      </w:pPr>
      <w:r>
        <w:rPr>
          <w:rFonts w:ascii="Arial" w:cs="Arial" w:eastAsia="Arial" w:hAnsi="Arial"/>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-585470</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-1134110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-1682750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-2094865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-2643505</wp:posOffset>
            </wp:positionV>
            <wp:extent cx="5531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-3192145</wp:posOffset>
            </wp:positionV>
            <wp:extent cx="5531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-370840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7700" w:hanging="620"/>
        <w:spacing w:after="0" w:line="342" w:lineRule="auto"/>
        <w:tabs>
          <w:tab w:leader="none" w:pos="1052"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Heights Capital Management, Inc.</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60" w:hanging="620"/>
        <w:spacing w:after="0" w:line="277" w:lineRule="auto"/>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-534035</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-945515</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-1159510</wp:posOffset>
            </wp:positionV>
            <wp:extent cx="58743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-1777365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32"/>
          </w:cols>
          <w:pgMar w:left="248" w:top="125" w:right="419" w:bottom="217" w:gutter="0" w:footer="0" w:header="0"/>
        </w:sectPr>
      </w:pPr>
    </w:p>
    <w:p>
      <w:pPr>
        <w:spacing w:after="0" w:line="400"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99,498,086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99,498,086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480"/>
          </w:cols>
          <w:pgMar w:left="248" w:top="125" w:right="419" w:bottom="217" w:gutter="0" w:footer="0" w:header="0"/>
          <w:type w:val="continuous"/>
        </w:sectPr>
      </w:pPr>
    </w:p>
    <w:p>
      <w:pPr>
        <w:spacing w:after="0" w:line="227" w:lineRule="exact"/>
        <w:rPr>
          <w:sz w:val="20"/>
          <w:szCs w:val="20"/>
          <w:color w:val="auto"/>
        </w:rPr>
      </w:pPr>
    </w:p>
    <w:p>
      <w:pPr>
        <w:ind w:left="1052" w:right="5380" w:hanging="620"/>
        <w:spacing w:after="0" w:line="277" w:lineRule="auto"/>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99,498,086</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Box if the Aggregate Amount in Row (9)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63500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-347345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32"/>
          </w:cols>
          <w:pgMar w:left="248" w:top="125" w:right="419" w:bottom="217" w:gutter="0" w:footer="0" w:header="0"/>
          <w:type w:val="continuous"/>
        </w:sectPr>
      </w:pPr>
    </w:p>
    <w:bookmarkStart w:id="2" w:name="page3"/>
    <w:bookmarkEnd w:id="2"/>
    <w:p>
      <w:pPr>
        <w:ind w:left="1052" w:hanging="620"/>
        <w:spacing w:after="0"/>
        <w:tabs>
          <w:tab w:leader="none" w:pos="1052"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77" w:lineRule="auto"/>
        <w:tabs>
          <w:tab w:leader="none" w:pos="217" w:val="left"/>
        </w:tabs>
        <w:numPr>
          <w:ilvl w:val="0"/>
          <w:numId w:val="7"/>
        </w:numPr>
        <w:rPr>
          <w:rFonts w:ascii="Arial" w:cs="Arial" w:eastAsia="Arial" w:hAnsi="Arial"/>
          <w:sz w:val="18"/>
          <w:szCs w:val="18"/>
          <w:color w:val="auto"/>
        </w:rPr>
      </w:pPr>
      <w:r>
        <w:rPr>
          <w:rFonts w:ascii="Arial" w:cs="Arial" w:eastAsia="Arial" w:hAnsi="Arial"/>
          <w:sz w:val="18"/>
          <w:szCs w:val="18"/>
          <w:color w:val="auto"/>
        </w:rPr>
        <w:t>Heights Capital Management, Inc. is the investment manager to CVI Investments, Inc. and as such may exercise voting and dispositive power over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-585470</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-1134110</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-370840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32"/>
          </w:cols>
          <w:pgMar w:left="248" w:top="125" w:right="419" w:bottom="0" w:gutter="0" w:footer="0" w:header="0"/>
        </w:sectPr>
      </w:pPr>
    </w:p>
    <w:p>
      <w:pPr>
        <w:spacing w:after="0" w:line="343"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
        <w:spacing w:after="0"/>
        <w:rPr>
          <w:sz w:val="20"/>
          <w:szCs w:val="20"/>
          <w:color w:val="auto"/>
        </w:rPr>
      </w:pPr>
      <w:r>
        <w:rPr>
          <w:rFonts w:ascii="Arial" w:cs="Arial" w:eastAsia="Arial" w:hAnsi="Arial"/>
          <w:sz w:val="17"/>
          <w:szCs w:val="17"/>
          <w:b w:val="1"/>
          <w:bCs w:val="1"/>
          <w:color w:val="auto"/>
        </w:rPr>
        <w:t>Item 2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
        <w:spacing w:after="0"/>
        <w:rPr>
          <w:sz w:val="20"/>
          <w:szCs w:val="20"/>
          <w:color w:val="auto"/>
        </w:rPr>
      </w:pPr>
      <w:r>
        <w:rPr>
          <w:rFonts w:ascii="Arial" w:cs="Arial" w:eastAsia="Arial" w:hAnsi="Arial"/>
          <w:sz w:val="16"/>
          <w:szCs w:val="16"/>
          <w:b w:val="1"/>
          <w:bCs w:val="1"/>
          <w:color w:val="auto"/>
        </w:rPr>
        <w:t>Item 2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
        <w:spacing w:after="0"/>
        <w:rPr>
          <w:sz w:val="20"/>
          <w:szCs w:val="20"/>
          <w:color w:val="auto"/>
        </w:rPr>
      </w:pPr>
      <w:r>
        <w:rPr>
          <w:rFonts w:ascii="Arial" w:cs="Arial" w:eastAsia="Arial" w:hAnsi="Arial"/>
          <w:sz w:val="17"/>
          <w:szCs w:val="17"/>
          <w:b w:val="1"/>
          <w:bCs w:val="1"/>
          <w:color w:val="auto"/>
        </w:rPr>
        <w:t>Item 2 (c).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79" w:hanging="479"/>
        <w:spacing w:after="0"/>
        <w:tabs>
          <w:tab w:leader="none" w:pos="479"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479"/>
        <w:spacing w:after="0"/>
        <w:rPr>
          <w:rFonts w:ascii="Arial" w:cs="Arial" w:eastAsia="Arial" w:hAnsi="Arial"/>
          <w:sz w:val="18"/>
          <w:szCs w:val="18"/>
          <w:color w:val="auto"/>
        </w:rPr>
      </w:pPr>
      <w:r>
        <w:rPr>
          <w:rFonts w:ascii="Arial" w:cs="Arial" w:eastAsia="Arial" w:hAnsi="Arial"/>
          <w:sz w:val="18"/>
          <w:szCs w:val="18"/>
          <w:color w:val="auto"/>
        </w:rPr>
        <w:t>Weatherford International Plc (the “Company”)</w:t>
      </w:r>
    </w:p>
    <w:p>
      <w:pPr>
        <w:spacing w:after="0" w:line="116" w:lineRule="exact"/>
        <w:rPr>
          <w:rFonts w:ascii="Arial" w:cs="Arial" w:eastAsia="Arial" w:hAnsi="Arial"/>
          <w:sz w:val="18"/>
          <w:szCs w:val="18"/>
          <w:color w:val="auto"/>
        </w:rPr>
      </w:pPr>
    </w:p>
    <w:p>
      <w:pPr>
        <w:ind w:left="479" w:right="6020" w:hanging="479"/>
        <w:spacing w:after="0" w:line="342" w:lineRule="auto"/>
        <w:tabs>
          <w:tab w:leader="none" w:pos="479" w:val="left"/>
        </w:tabs>
        <w:numPr>
          <w:ilvl w:val="0"/>
          <w:numId w:val="8"/>
        </w:numPr>
        <w:rPr>
          <w:rFonts w:ascii="Arial" w:cs="Arial" w:eastAsia="Arial" w:hAnsi="Arial"/>
          <w:sz w:val="16"/>
          <w:szCs w:val="16"/>
          <w:color w:val="auto"/>
        </w:rPr>
      </w:pPr>
      <w:r>
        <w:rPr>
          <w:rFonts w:ascii="Arial" w:cs="Arial" w:eastAsia="Arial" w:hAnsi="Arial"/>
          <w:sz w:val="16"/>
          <w:szCs w:val="16"/>
          <w:color w:val="auto"/>
        </w:rPr>
        <w:t>Address of Issuer’s Principal Executive Offices Bahnhofstrasse 1, 6340 Baar, Switzerland CH 6340</w:t>
      </w:r>
    </w:p>
    <w:p>
      <w:pPr>
        <w:spacing w:after="0" w:line="339" w:lineRule="exact"/>
        <w:rPr>
          <w:rFonts w:ascii="Arial" w:cs="Arial" w:eastAsia="Arial" w:hAnsi="Arial"/>
          <w:sz w:val="16"/>
          <w:szCs w:val="16"/>
          <w:color w:val="auto"/>
        </w:rPr>
      </w:pPr>
    </w:p>
    <w:p>
      <w:pPr>
        <w:ind w:left="479"/>
        <w:spacing w:after="0"/>
        <w:rPr>
          <w:rFonts w:ascii="Arial" w:cs="Arial" w:eastAsia="Arial" w:hAnsi="Arial"/>
          <w:sz w:val="16"/>
          <w:szCs w:val="16"/>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6"/>
          <w:szCs w:val="16"/>
          <w:color w:val="auto"/>
        </w:rPr>
      </w:pPr>
    </w:p>
    <w:p>
      <w:pPr>
        <w:ind w:left="479" w:right="200"/>
        <w:spacing w:after="0" w:line="277" w:lineRule="auto"/>
        <w:rPr>
          <w:rFonts w:ascii="Arial" w:cs="Arial" w:eastAsia="Arial" w:hAnsi="Arial"/>
          <w:sz w:val="16"/>
          <w:szCs w:val="16"/>
          <w:color w:val="auto"/>
        </w:rPr>
      </w:pPr>
      <w:r>
        <w:rPr>
          <w:rFonts w:ascii="Arial" w:cs="Arial" w:eastAsia="Arial" w:hAnsi="Arial"/>
          <w:sz w:val="18"/>
          <w:szCs w:val="18"/>
          <w:color w:val="auto"/>
        </w:rPr>
        <w:t>This statement is filed by the entities listed below, who are collectively referred to herein as “Reporting Persons,” with respect to the Ordinary Shares of the Company, $.001 par value per share (the “Shares”).</w:t>
      </w:r>
    </w:p>
    <w:p>
      <w:pPr>
        <w:spacing w:after="0" w:line="170" w:lineRule="exact"/>
        <w:rPr>
          <w:rFonts w:ascii="Arial" w:cs="Arial" w:eastAsia="Arial" w:hAnsi="Arial"/>
          <w:sz w:val="16"/>
          <w:szCs w:val="16"/>
          <w:color w:val="auto"/>
        </w:rPr>
      </w:pPr>
    </w:p>
    <w:p>
      <w:pPr>
        <w:ind w:left="1159" w:hanging="673"/>
        <w:spacing w:after="0"/>
        <w:tabs>
          <w:tab w:leader="none" w:pos="1159" w:val="left"/>
        </w:tabs>
        <w:numPr>
          <w:ilvl w:val="1"/>
          <w:numId w:val="8"/>
        </w:numPr>
        <w:rPr>
          <w:rFonts w:ascii="Arial" w:cs="Arial" w:eastAsia="Arial" w:hAnsi="Arial"/>
          <w:sz w:val="18"/>
          <w:szCs w:val="18"/>
          <w:color w:val="auto"/>
        </w:rPr>
      </w:pPr>
      <w:r>
        <w:rPr>
          <w:rFonts w:ascii="Arial" w:cs="Arial" w:eastAsia="Arial" w:hAnsi="Arial"/>
          <w:sz w:val="18"/>
          <w:szCs w:val="18"/>
          <w:color w:val="auto"/>
        </w:rPr>
        <w:t>CVI Investments, Inc.</w:t>
      </w:r>
    </w:p>
    <w:p>
      <w:pPr>
        <w:spacing w:after="0" w:line="225" w:lineRule="exact"/>
        <w:rPr>
          <w:rFonts w:ascii="Arial" w:cs="Arial" w:eastAsia="Arial" w:hAnsi="Arial"/>
          <w:sz w:val="18"/>
          <w:szCs w:val="18"/>
          <w:color w:val="auto"/>
        </w:rPr>
      </w:pPr>
    </w:p>
    <w:p>
      <w:pPr>
        <w:ind w:left="1159" w:hanging="673"/>
        <w:spacing w:after="0"/>
        <w:tabs>
          <w:tab w:leader="none" w:pos="1159" w:val="left"/>
        </w:tabs>
        <w:numPr>
          <w:ilvl w:val="1"/>
          <w:numId w:val="8"/>
        </w:numPr>
        <w:rPr>
          <w:rFonts w:ascii="Arial" w:cs="Arial" w:eastAsia="Arial" w:hAnsi="Arial"/>
          <w:sz w:val="18"/>
          <w:szCs w:val="18"/>
          <w:color w:val="auto"/>
        </w:rPr>
      </w:pPr>
      <w:r>
        <w:rPr>
          <w:rFonts w:ascii="Arial" w:cs="Arial" w:eastAsia="Arial" w:hAnsi="Arial"/>
          <w:sz w:val="18"/>
          <w:szCs w:val="18"/>
          <w:color w:val="auto"/>
        </w:rPr>
        <w:t>Heights Capital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48895</wp:posOffset>
            </wp:positionV>
            <wp:extent cx="63290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-1322070</wp:posOffset>
            </wp:positionV>
            <wp:extent cx="63290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-1673860</wp:posOffset>
            </wp:positionV>
            <wp:extent cx="63290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111" w:lineRule="exact"/>
        <w:rPr>
          <w:sz w:val="20"/>
          <w:szCs w:val="20"/>
          <w:color w:val="auto"/>
        </w:rPr>
      </w:pPr>
    </w:p>
    <w:p>
      <w:pPr>
        <w:ind w:left="479"/>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25" w:lineRule="exact"/>
        <w:rPr>
          <w:sz w:val="20"/>
          <w:szCs w:val="20"/>
          <w:color w:val="auto"/>
        </w:rPr>
      </w:pPr>
    </w:p>
    <w:p>
      <w:pPr>
        <w:ind w:left="479"/>
        <w:spacing w:after="0"/>
        <w:rPr>
          <w:sz w:val="20"/>
          <w:szCs w:val="20"/>
          <w:color w:val="auto"/>
        </w:rPr>
      </w:pPr>
      <w:r>
        <w:rPr>
          <w:rFonts w:ascii="Arial" w:cs="Arial" w:eastAsia="Arial" w:hAnsi="Arial"/>
          <w:sz w:val="18"/>
          <w:szCs w:val="18"/>
          <w:color w:val="auto"/>
        </w:rPr>
        <w:t>The address of the principal business office of CVI Investments, Inc. is:</w:t>
      </w:r>
    </w:p>
    <w:p>
      <w:pPr>
        <w:spacing w:after="0" w:line="225" w:lineRule="exact"/>
        <w:rPr>
          <w:sz w:val="20"/>
          <w:szCs w:val="20"/>
          <w:color w:val="auto"/>
        </w:rPr>
      </w:pPr>
    </w:p>
    <w:p>
      <w:pPr>
        <w:ind w:left="479"/>
        <w:spacing w:after="0"/>
        <w:rPr>
          <w:sz w:val="20"/>
          <w:szCs w:val="20"/>
          <w:color w:val="auto"/>
        </w:rPr>
      </w:pPr>
      <w:r>
        <w:rPr>
          <w:rFonts w:ascii="Arial" w:cs="Arial" w:eastAsia="Arial" w:hAnsi="Arial"/>
          <w:sz w:val="18"/>
          <w:szCs w:val="18"/>
          <w:color w:val="auto"/>
        </w:rPr>
        <w:t>P.O. Box 309GT</w:t>
      </w:r>
    </w:p>
    <w:p>
      <w:pPr>
        <w:spacing w:after="0" w:line="23" w:lineRule="exact"/>
        <w:rPr>
          <w:sz w:val="20"/>
          <w:szCs w:val="20"/>
          <w:color w:val="auto"/>
        </w:rPr>
      </w:pPr>
    </w:p>
    <w:p>
      <w:pPr>
        <w:ind w:left="479"/>
        <w:spacing w:after="0"/>
        <w:rPr>
          <w:sz w:val="20"/>
          <w:szCs w:val="20"/>
          <w:color w:val="auto"/>
        </w:rPr>
      </w:pPr>
      <w:r>
        <w:rPr>
          <w:rFonts w:ascii="Arial" w:cs="Arial" w:eastAsia="Arial" w:hAnsi="Arial"/>
          <w:sz w:val="18"/>
          <w:szCs w:val="18"/>
          <w:color w:val="auto"/>
        </w:rPr>
        <w:t>Ugland House</w:t>
      </w:r>
    </w:p>
    <w:p>
      <w:pPr>
        <w:spacing w:after="0" w:line="9" w:lineRule="exact"/>
        <w:rPr>
          <w:sz w:val="20"/>
          <w:szCs w:val="20"/>
          <w:color w:val="auto"/>
        </w:rPr>
      </w:pPr>
    </w:p>
    <w:p>
      <w:pPr>
        <w:ind w:left="479"/>
        <w:spacing w:after="0"/>
        <w:rPr>
          <w:sz w:val="20"/>
          <w:szCs w:val="20"/>
          <w:color w:val="auto"/>
        </w:rPr>
      </w:pPr>
      <w:r>
        <w:rPr>
          <w:rFonts w:ascii="Arial" w:cs="Arial" w:eastAsia="Arial" w:hAnsi="Arial"/>
          <w:sz w:val="18"/>
          <w:szCs w:val="18"/>
          <w:color w:val="auto"/>
        </w:rPr>
        <w:t>South Church Street</w:t>
      </w:r>
    </w:p>
    <w:p>
      <w:pPr>
        <w:spacing w:after="0" w:line="9" w:lineRule="exact"/>
        <w:rPr>
          <w:sz w:val="20"/>
          <w:szCs w:val="20"/>
          <w:color w:val="auto"/>
        </w:rPr>
      </w:pPr>
    </w:p>
    <w:p>
      <w:pPr>
        <w:ind w:left="479"/>
        <w:spacing w:after="0"/>
        <w:rPr>
          <w:sz w:val="20"/>
          <w:szCs w:val="20"/>
          <w:color w:val="auto"/>
        </w:rPr>
      </w:pPr>
      <w:r>
        <w:rPr>
          <w:rFonts w:ascii="Arial" w:cs="Arial" w:eastAsia="Arial" w:hAnsi="Arial"/>
          <w:sz w:val="18"/>
          <w:szCs w:val="18"/>
          <w:color w:val="auto"/>
        </w:rPr>
        <w:t>George Town</w:t>
      </w:r>
    </w:p>
    <w:p>
      <w:pPr>
        <w:spacing w:after="0" w:line="9" w:lineRule="exact"/>
        <w:rPr>
          <w:sz w:val="20"/>
          <w:szCs w:val="20"/>
          <w:color w:val="auto"/>
        </w:rPr>
      </w:pPr>
    </w:p>
    <w:p>
      <w:pPr>
        <w:ind w:left="479"/>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ind w:left="479"/>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ind w:left="479"/>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ind w:left="479"/>
        <w:spacing w:after="0"/>
        <w:rPr>
          <w:sz w:val="20"/>
          <w:szCs w:val="20"/>
          <w:color w:val="auto"/>
        </w:rPr>
      </w:pPr>
      <w:r>
        <w:rPr>
          <w:rFonts w:ascii="Arial" w:cs="Arial" w:eastAsia="Arial" w:hAnsi="Arial"/>
          <w:sz w:val="18"/>
          <w:szCs w:val="18"/>
          <w:color w:val="auto"/>
        </w:rPr>
        <w:t>The address of the principal business office of Heights Capital Management, Inc. is:</w:t>
      </w:r>
    </w:p>
    <w:p>
      <w:pPr>
        <w:spacing w:after="0" w:line="225" w:lineRule="exact"/>
        <w:rPr>
          <w:sz w:val="20"/>
          <w:szCs w:val="20"/>
          <w:color w:val="auto"/>
        </w:rPr>
      </w:pPr>
    </w:p>
    <w:p>
      <w:pPr>
        <w:ind w:left="479"/>
        <w:spacing w:after="0"/>
        <w:rPr>
          <w:sz w:val="20"/>
          <w:szCs w:val="20"/>
          <w:color w:val="auto"/>
        </w:rPr>
      </w:pPr>
      <w:r>
        <w:rPr>
          <w:rFonts w:ascii="Arial" w:cs="Arial" w:eastAsia="Arial" w:hAnsi="Arial"/>
          <w:sz w:val="18"/>
          <w:szCs w:val="18"/>
          <w:color w:val="auto"/>
        </w:rPr>
        <w:t>101 California Street, Suite 3250</w:t>
      </w:r>
    </w:p>
    <w:p>
      <w:pPr>
        <w:spacing w:after="0" w:line="23" w:lineRule="exact"/>
        <w:rPr>
          <w:sz w:val="20"/>
          <w:szCs w:val="20"/>
          <w:color w:val="auto"/>
        </w:rPr>
      </w:pPr>
    </w:p>
    <w:p>
      <w:pPr>
        <w:ind w:left="479"/>
        <w:spacing w:after="0"/>
        <w:rPr>
          <w:sz w:val="20"/>
          <w:szCs w:val="20"/>
          <w:color w:val="auto"/>
        </w:rPr>
      </w:pPr>
      <w:r>
        <w:rPr>
          <w:rFonts w:ascii="Arial" w:cs="Arial" w:eastAsia="Arial" w:hAnsi="Arial"/>
          <w:sz w:val="18"/>
          <w:szCs w:val="18"/>
          <w:color w:val="auto"/>
        </w:rPr>
        <w:t>San Francisco, California 94111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40005</wp:posOffset>
            </wp:positionV>
            <wp:extent cx="63290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ind w:left="479"/>
        <w:spacing w:after="0"/>
        <w:rPr>
          <w:sz w:val="20"/>
          <w:szCs w:val="20"/>
          <w:color w:val="auto"/>
        </w:rPr>
      </w:pPr>
      <w:r>
        <w:rPr>
          <w:rFonts w:ascii="Arial" w:cs="Arial" w:eastAsia="Arial" w:hAnsi="Arial"/>
          <w:sz w:val="18"/>
          <w:szCs w:val="18"/>
          <w:color w:val="auto"/>
        </w:rPr>
        <w:t>Citizenship</w:t>
      </w:r>
    </w:p>
    <w:p>
      <w:pPr>
        <w:spacing w:after="0" w:line="200" w:lineRule="exact"/>
        <w:rPr>
          <w:sz w:val="20"/>
          <w:szCs w:val="20"/>
          <w:color w:val="auto"/>
        </w:rPr>
      </w:pPr>
    </w:p>
    <w:p>
      <w:pPr>
        <w:sectPr>
          <w:pgSz w:w="11900" w:h="16838" w:orient="portrait"/>
          <w:cols w:equalWidth="0" w:num="2">
            <w:col w:w="852" w:space="161"/>
            <w:col w:w="10219"/>
          </w:cols>
          <w:pgMar w:left="248" w:top="125" w:right="41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52"/>
        <w:spacing w:after="0"/>
        <w:rPr>
          <w:sz w:val="20"/>
          <w:szCs w:val="20"/>
          <w:color w:val="auto"/>
        </w:rPr>
      </w:pPr>
      <w:r>
        <w:rPr>
          <w:rFonts w:ascii="Arial" w:cs="Arial" w:eastAsia="Arial" w:hAnsi="Arial"/>
          <w:sz w:val="17"/>
          <w:szCs w:val="17"/>
          <w:b w:val="1"/>
          <w:bCs w:val="1"/>
          <w:color w:val="auto"/>
        </w:rPr>
        <w:t>Item 2 (d)</w:t>
      </w:r>
    </w:p>
    <w:p>
      <w:pPr>
        <w:spacing w:after="0" w:line="200" w:lineRule="exact"/>
        <w:rPr>
          <w:sz w:val="20"/>
          <w:szCs w:val="20"/>
          <w:color w:val="auto"/>
        </w:rPr>
      </w:pPr>
    </w:p>
    <w:p>
      <w:pPr>
        <w:spacing w:after="0" w:line="374" w:lineRule="exact"/>
        <w:rPr>
          <w:sz w:val="20"/>
          <w:szCs w:val="20"/>
          <w:color w:val="auto"/>
        </w:rPr>
      </w:pPr>
    </w:p>
    <w:p>
      <w:pPr>
        <w:ind w:left="52"/>
        <w:spacing w:after="0"/>
        <w:rPr>
          <w:sz w:val="20"/>
          <w:szCs w:val="20"/>
          <w:color w:val="auto"/>
        </w:rPr>
      </w:pPr>
      <w:r>
        <w:rPr>
          <w:rFonts w:ascii="Arial" w:cs="Arial" w:eastAsia="Arial" w:hAnsi="Arial"/>
          <w:sz w:val="17"/>
          <w:szCs w:val="17"/>
          <w:b w:val="1"/>
          <w:bCs w:val="1"/>
          <w:color w:val="auto"/>
        </w:rPr>
        <w:t>Item 2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480" w:right="200"/>
        <w:spacing w:after="0" w:line="277" w:lineRule="auto"/>
        <w:rPr>
          <w:sz w:val="20"/>
          <w:szCs w:val="20"/>
          <w:color w:val="auto"/>
        </w:rPr>
      </w:pPr>
      <w:r>
        <w:rPr>
          <w:rFonts w:ascii="Arial" w:cs="Arial" w:eastAsia="Arial" w:hAnsi="Arial"/>
          <w:sz w:val="18"/>
          <w:szCs w:val="18"/>
          <w:color w:val="auto"/>
        </w:rPr>
        <w:t>Citizenship is set forth in Row 4 of the cover page for each Reporting Person hereto and is incorporated herein by reference for each such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14605</wp:posOffset>
            </wp:positionV>
            <wp:extent cx="63290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Ordinary Shares, $.001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48895</wp:posOffset>
            </wp:positionV>
            <wp:extent cx="63290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48895</wp:posOffset>
            </wp:positionV>
            <wp:extent cx="63290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p>
      <w:pPr>
        <w:spacing w:after="0" w:line="175" w:lineRule="exact"/>
        <w:rPr>
          <w:sz w:val="20"/>
          <w:szCs w:val="20"/>
          <w:color w:val="auto"/>
        </w:rPr>
      </w:pPr>
    </w:p>
    <w:p>
      <w:pPr>
        <w:ind w:left="480" w:hanging="479"/>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480" w:hanging="479"/>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480" w:hanging="479"/>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480" w:hanging="479"/>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480" w:hanging="479"/>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ectPr>
          <w:pgSz w:w="11900" w:h="16838" w:orient="portrait"/>
          <w:cols w:equalWidth="0" w:num="2">
            <w:col w:w="812" w:space="200"/>
            <w:col w:w="10220"/>
          </w:cols>
          <w:pgMar w:left="248" w:top="125" w:right="419" w:bottom="0" w:gutter="0" w:footer="0" w:header="0"/>
          <w:type w:val="continuous"/>
        </w:sectPr>
      </w:pPr>
    </w:p>
    <w:bookmarkStart w:id="3" w:name="page4"/>
    <w:bookmarkEnd w:id="3"/>
    <w:p>
      <w:pPr>
        <w:ind w:left="1500" w:hanging="479"/>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500" w:hanging="479"/>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500" w:hanging="479"/>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20" w:right="200" w:hanging="999"/>
        <w:spacing w:after="0" w:line="277" w:lineRule="auto"/>
        <w:tabs>
          <w:tab w:leader="none" w:pos="15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479"/>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vMerge w:val="restart"/>
          </w:tcPr>
          <w:p>
            <w:pPr>
              <w:ind w:left="102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660" w:type="dxa"/>
            <w:vAlign w:val="bottom"/>
          </w:tcPr>
          <w:p>
            <w:pPr>
              <w:ind w:left="220"/>
              <w:spacing w:after="0"/>
              <w:rPr>
                <w:sz w:val="20"/>
                <w:szCs w:val="20"/>
                <w:color w:val="auto"/>
              </w:rPr>
            </w:pPr>
            <w:r>
              <w:rPr>
                <w:rFonts w:ascii="Arial" w:cs="Arial" w:eastAsia="Arial" w:hAnsi="Arial"/>
                <w:sz w:val="18"/>
                <w:szCs w:val="18"/>
                <w:color w:val="auto"/>
              </w:rPr>
              <w:t>Group, in accordance with Rule 13d–1(b)(1)(ii)(K). If filing as a non-U.S. institution in accordance with</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9660" w:type="dxa"/>
            <w:vAlign w:val="bottom"/>
            <w:vMerge w:val="restart"/>
          </w:tcPr>
          <w:p>
            <w:pPr>
              <w:ind w:left="220"/>
              <w:spacing w:after="0"/>
              <w:rPr>
                <w:sz w:val="20"/>
                <w:szCs w:val="20"/>
                <w:color w:val="auto"/>
              </w:rPr>
            </w:pPr>
            <w:r>
              <w:rPr>
                <w:rFonts w:ascii="Arial" w:cs="Arial" w:eastAsia="Arial" w:hAnsi="Arial"/>
                <w:sz w:val="18"/>
                <w:szCs w:val="18"/>
                <w:color w:val="auto"/>
              </w:rPr>
              <w:t>§ 240.13d–1(b)(1)(ii)(J), please specify the type of institution:____________________________</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6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720" w:right="30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Reporting Person hereto and is incorporated herein by reference for each such Reporting Person.</w:t>
      </w:r>
    </w:p>
    <w:p>
      <w:pPr>
        <w:spacing w:after="0" w:line="170" w:lineRule="exact"/>
        <w:rPr>
          <w:sz w:val="20"/>
          <w:szCs w:val="20"/>
          <w:color w:val="auto"/>
        </w:rPr>
      </w:pPr>
    </w:p>
    <w:p>
      <w:pPr>
        <w:ind w:left="720" w:right="560"/>
        <w:spacing w:after="0" w:line="279" w:lineRule="auto"/>
        <w:rPr>
          <w:sz w:val="20"/>
          <w:szCs w:val="20"/>
          <w:color w:val="auto"/>
        </w:rPr>
      </w:pPr>
      <w:r>
        <w:rPr>
          <w:rFonts w:ascii="Arial" w:cs="Arial" w:eastAsia="Arial" w:hAnsi="Arial"/>
          <w:sz w:val="17"/>
          <w:szCs w:val="17"/>
          <w:color w:val="auto"/>
        </w:rPr>
        <w:t>The number of Shares reported as beneficially owned consists of (i) 84,500,000 Shares and (ii) 14,998,086 Shares issuable upon exercise of warrants to purchase Shares (the “Warrants”). The Warrants are not exercisable to the extent that the total number of Shares then beneficially owned by a Reporting Person and its affiliates and any other persons whose beneficial ownership of Shares would be aggregated with such Reporting Person for purposes of Section 13(d) of the Exchange Act, would exceed 9.99%.</w:t>
      </w:r>
    </w:p>
    <w:p>
      <w:pPr>
        <w:spacing w:after="0" w:line="171" w:lineRule="exact"/>
        <w:rPr>
          <w:sz w:val="20"/>
          <w:szCs w:val="20"/>
          <w:color w:val="auto"/>
        </w:rPr>
      </w:pPr>
    </w:p>
    <w:p>
      <w:pPr>
        <w:ind w:left="720" w:right="640"/>
        <w:spacing w:after="0" w:line="308" w:lineRule="auto"/>
        <w:rPr>
          <w:sz w:val="20"/>
          <w:szCs w:val="20"/>
          <w:color w:val="auto"/>
        </w:rPr>
      </w:pPr>
      <w:r>
        <w:rPr>
          <w:rFonts w:ascii="Arial" w:cs="Arial" w:eastAsia="Arial" w:hAnsi="Arial"/>
          <w:sz w:val="17"/>
          <w:szCs w:val="17"/>
          <w:color w:val="auto"/>
        </w:rPr>
        <w:t>The Company’s Prospectus Supplement (to Prospectus dated November 16, 2016, Registration No. 333-194431), dated November 16, 2016, indicates there were 980,978,754 Shares outstanding as of the completion of the offering of the Shares referred to therein.</w:t>
      </w:r>
    </w:p>
    <w:p>
      <w:pPr>
        <w:spacing w:after="0" w:line="147" w:lineRule="exact"/>
        <w:rPr>
          <w:sz w:val="20"/>
          <w:szCs w:val="20"/>
          <w:color w:val="auto"/>
        </w:rPr>
      </w:pPr>
    </w:p>
    <w:p>
      <w:pPr>
        <w:jc w:val="both"/>
        <w:ind w:left="720" w:right="100"/>
        <w:spacing w:after="0" w:line="264" w:lineRule="auto"/>
        <w:rPr>
          <w:sz w:val="20"/>
          <w:szCs w:val="20"/>
          <w:color w:val="auto"/>
        </w:rPr>
      </w:pPr>
      <w:r>
        <w:rPr>
          <w:rFonts w:ascii="Arial" w:cs="Arial" w:eastAsia="Arial" w:hAnsi="Arial"/>
          <w:sz w:val="18"/>
          <w:szCs w:val="18"/>
          <w:color w:val="auto"/>
        </w:rPr>
        <w:t>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39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right="12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right="260" w:firstLine="648"/>
        <w:spacing w:after="0" w:line="342" w:lineRule="auto"/>
        <w:rPr>
          <w:sz w:val="20"/>
          <w:szCs w:val="20"/>
          <w:color w:val="auto"/>
        </w:rPr>
      </w:pPr>
      <w:r>
        <w:rPr>
          <w:rFonts w:ascii="Arial" w:cs="Arial" w:eastAsia="Arial" w:hAnsi="Arial"/>
          <w:sz w:val="16"/>
          <w:szCs w:val="16"/>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w:t>
      </w:r>
    </w:p>
    <w:p>
      <w:pPr>
        <w:sectPr>
          <w:pgSz w:w="11900" w:h="16838" w:orient="portrait"/>
          <w:cols w:equalWidth="0" w:num="1">
            <w:col w:w="11460"/>
          </w:cols>
          <w:pgMar w:left="240" w:top="125" w:right="199" w:bottom="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auto"/>
        </w:rPr>
        <w:t>held in connection with or as a participant in any transaction having that purpose or effect.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25,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CVI INVESTMENTS, INC.</w:t>
            </w:r>
          </w:p>
        </w:tc>
        <w:tc>
          <w:tcPr>
            <w:tcW w:w="6100" w:type="dxa"/>
            <w:vAlign w:val="bottom"/>
            <w:gridSpan w:val="2"/>
          </w:tcPr>
          <w:p>
            <w:pPr>
              <w:ind w:left="420"/>
              <w:spacing w:after="0"/>
              <w:rPr>
                <w:sz w:val="20"/>
                <w:szCs w:val="20"/>
                <w:color w:val="auto"/>
              </w:rPr>
            </w:pPr>
            <w:r>
              <w:rPr>
                <w:rFonts w:ascii="Arial" w:cs="Arial" w:eastAsia="Arial" w:hAnsi="Arial"/>
                <w:sz w:val="18"/>
                <w:szCs w:val="18"/>
                <w:color w:val="auto"/>
              </w:rPr>
              <w:t>HEIGHTS CAPITAL MANAGEMENT, INC.</w:t>
            </w:r>
          </w:p>
        </w:tc>
        <w:tc>
          <w:tcPr>
            <w:tcW w:w="40" w:type="dxa"/>
            <w:vAlign w:val="bottom"/>
          </w:tcPr>
          <w:p>
            <w:pPr>
              <w:spacing w:after="0"/>
              <w:rPr>
                <w:sz w:val="20"/>
                <w:szCs w:val="20"/>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w w:val="96"/>
              </w:rPr>
              <w:t>By: Heights Capital Management, Inc. pursuant to a Limited Power of</w:t>
            </w:r>
          </w:p>
        </w:tc>
        <w:tc>
          <w:tcPr>
            <w:tcW w:w="6100" w:type="dxa"/>
            <w:vAlign w:val="bottom"/>
            <w:gridSpan w:val="2"/>
          </w:tcPr>
          <w:p>
            <w:pPr>
              <w:ind w:left="420"/>
              <w:spacing w:after="0"/>
              <w:rPr>
                <w:sz w:val="20"/>
                <w:szCs w:val="20"/>
                <w:color w:val="auto"/>
              </w:rPr>
            </w:pPr>
            <w:r>
              <w:rPr>
                <w:rFonts w:ascii="Arial" w:cs="Arial" w:eastAsia="Arial" w:hAnsi="Arial"/>
                <w:sz w:val="18"/>
                <w:szCs w:val="18"/>
                <w:color w:val="auto"/>
              </w:rPr>
              <w:t>By:  /s/ Brian Sopinsky</w:t>
            </w:r>
          </w:p>
        </w:tc>
        <w:tc>
          <w:tcPr>
            <w:tcW w:w="40" w:type="dxa"/>
            <w:vAlign w:val="bottom"/>
          </w:tcPr>
          <w:p>
            <w:pPr>
              <w:spacing w:after="0"/>
              <w:rPr>
                <w:sz w:val="24"/>
                <w:szCs w:val="24"/>
                <w:color w:val="auto"/>
              </w:rPr>
            </w:pPr>
          </w:p>
        </w:tc>
      </w:tr>
      <w:tr>
        <w:trPr>
          <w:trHeight w:val="182"/>
        </w:trPr>
        <w:tc>
          <w:tcPr>
            <w:tcW w:w="5320" w:type="dxa"/>
            <w:vAlign w:val="bottom"/>
            <w:gridSpan w:val="2"/>
          </w:tcPr>
          <w:p>
            <w:pPr>
              <w:spacing w:after="0" w:line="182" w:lineRule="exact"/>
              <w:rPr>
                <w:sz w:val="20"/>
                <w:szCs w:val="20"/>
                <w:color w:val="auto"/>
              </w:rPr>
            </w:pPr>
            <w:r>
              <w:rPr>
                <w:rFonts w:ascii="Arial" w:cs="Arial" w:eastAsia="Arial" w:hAnsi="Arial"/>
                <w:sz w:val="18"/>
                <w:szCs w:val="18"/>
                <w:color w:val="auto"/>
              </w:rPr>
              <w:t>Attorney, a copy of which is attached as Exhibit I hereto</w:t>
            </w:r>
          </w:p>
        </w:tc>
        <w:tc>
          <w:tcPr>
            <w:tcW w:w="860" w:type="dxa"/>
            <w:vAlign w:val="bottom"/>
          </w:tcPr>
          <w:p>
            <w:pPr>
              <w:ind w:left="420"/>
              <w:spacing w:after="0" w:line="182" w:lineRule="exact"/>
              <w:rPr>
                <w:sz w:val="20"/>
                <w:szCs w:val="20"/>
                <w:color w:val="auto"/>
              </w:rPr>
            </w:pPr>
            <w:r>
              <w:rPr>
                <w:rFonts w:ascii="Arial" w:cs="Arial" w:eastAsia="Arial" w:hAnsi="Arial"/>
                <w:sz w:val="18"/>
                <w:szCs w:val="18"/>
                <w:color w:val="auto"/>
                <w:w w:val="79"/>
              </w:rPr>
              <w:t>Name:</w:t>
            </w:r>
          </w:p>
        </w:tc>
        <w:tc>
          <w:tcPr>
            <w:tcW w:w="52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Brian Sopinsky</w:t>
            </w:r>
          </w:p>
        </w:tc>
        <w:tc>
          <w:tcPr>
            <w:tcW w:w="40" w:type="dxa"/>
            <w:vAlign w:val="bottom"/>
          </w:tcPr>
          <w:p>
            <w:pPr>
              <w:spacing w:after="0"/>
              <w:rPr>
                <w:sz w:val="15"/>
                <w:szCs w:val="15"/>
                <w:color w:val="auto"/>
              </w:rPr>
            </w:pPr>
          </w:p>
        </w:tc>
      </w:tr>
      <w:tr>
        <w:trPr>
          <w:trHeight w:val="230"/>
        </w:trPr>
        <w:tc>
          <w:tcPr>
            <w:tcW w:w="4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6100" w:type="dxa"/>
            <w:vAlign w:val="bottom"/>
            <w:gridSpan w:val="2"/>
          </w:tcPr>
          <w:p>
            <w:pPr>
              <w:ind w:left="420"/>
              <w:spacing w:after="0"/>
              <w:rPr>
                <w:sz w:val="20"/>
                <w:szCs w:val="20"/>
                <w:color w:val="auto"/>
              </w:rPr>
            </w:pPr>
            <w:r>
              <w:rPr>
                <w:rFonts w:ascii="Arial" w:cs="Arial" w:eastAsia="Arial" w:hAnsi="Arial"/>
                <w:sz w:val="18"/>
                <w:szCs w:val="18"/>
                <w:color w:val="auto"/>
              </w:rPr>
              <w:t>Title: Secretary</w:t>
            </w:r>
          </w:p>
        </w:tc>
        <w:tc>
          <w:tcPr>
            <w:tcW w:w="40" w:type="dxa"/>
            <w:vAlign w:val="bottom"/>
          </w:tcPr>
          <w:p>
            <w:pPr>
              <w:spacing w:after="0"/>
              <w:rPr>
                <w:sz w:val="20"/>
                <w:szCs w:val="20"/>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color w:val="auto"/>
              </w:rPr>
              <w:t>By:  /s/ Brian Sopinsky</w:t>
            </w:r>
          </w:p>
        </w:tc>
        <w:tc>
          <w:tcPr>
            <w:tcW w:w="8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2"/>
        </w:trPr>
        <w:tc>
          <w:tcPr>
            <w:tcW w:w="460" w:type="dxa"/>
            <w:vAlign w:val="bottom"/>
          </w:tcPr>
          <w:p>
            <w:pPr>
              <w:spacing w:after="0" w:line="182" w:lineRule="exact"/>
              <w:rPr>
                <w:sz w:val="20"/>
                <w:szCs w:val="20"/>
                <w:color w:val="auto"/>
              </w:rPr>
            </w:pPr>
            <w:r>
              <w:rPr>
                <w:rFonts w:ascii="Arial" w:cs="Arial" w:eastAsia="Arial" w:hAnsi="Arial"/>
                <w:sz w:val="18"/>
                <w:szCs w:val="18"/>
                <w:color w:val="auto"/>
                <w:w w:val="82"/>
              </w:rPr>
              <w:t>Name:</w:t>
            </w:r>
          </w:p>
        </w:tc>
        <w:tc>
          <w:tcPr>
            <w:tcW w:w="48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Brian Sopinsky</w:t>
            </w:r>
          </w:p>
        </w:tc>
        <w:tc>
          <w:tcPr>
            <w:tcW w:w="86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Title: Secretary</w:t>
            </w:r>
          </w:p>
        </w:tc>
        <w:tc>
          <w:tcPr>
            <w:tcW w:w="8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rPr>
              <w:t>6</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60" w:type="dxa"/>
            <w:vAlign w:val="bottom"/>
            <w:tcBorders>
              <w:bottom w:val="single" w:sz="8" w:color="808080"/>
            </w:tcBorders>
          </w:tcPr>
          <w:p>
            <w:pPr>
              <w:spacing w:after="0"/>
              <w:rPr>
                <w:sz w:val="11"/>
                <w:szCs w:val="11"/>
                <w:color w:val="auto"/>
              </w:rPr>
            </w:pPr>
          </w:p>
        </w:tc>
        <w:tc>
          <w:tcPr>
            <w:tcW w:w="48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396"/>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tcPr>
          <w:p>
            <w:pPr>
              <w:ind w:left="44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Limited Power of Attorney</w:t>
            </w:r>
          </w:p>
        </w:tc>
        <w:tc>
          <w:tcPr>
            <w:tcW w:w="40" w:type="dxa"/>
            <w:vAlign w:val="bottom"/>
          </w:tcPr>
          <w:p>
            <w:pPr>
              <w:spacing w:after="0"/>
              <w:rPr>
                <w:sz w:val="16"/>
                <w:szCs w:val="16"/>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II</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Joint Filing Agreement</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6"/>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THIS LIMITED POWER OF ATTORNEY given on the 16th day of July, 2015 by CVI Investments, Inc. (hereinafter called “the Company”), whose Registered Office is situated at PO Box 309GT, Ugland House, South Church Street, George Town, Grand Cayman, Cayman Islands.</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WHEREAS, by agreement dated July 16, 2015, by and between the Company and Heights Capital Management, Inc., the Company expressly authorized Heights Capital Management, Inc. to enter into transactions in certain designated areas as defined in the Discretionary Investment Management Agreement attached hereto marked “Appendix l.”</w:t>
      </w:r>
    </w:p>
    <w:p>
      <w:pPr>
        <w:spacing w:after="0" w:line="181" w:lineRule="exact"/>
        <w:rPr>
          <w:sz w:val="20"/>
          <w:szCs w:val="20"/>
          <w:color w:val="auto"/>
        </w:rPr>
      </w:pPr>
    </w:p>
    <w:p>
      <w:pPr>
        <w:ind w:left="240" w:right="80"/>
        <w:spacing w:after="0" w:line="254" w:lineRule="auto"/>
        <w:rPr>
          <w:sz w:val="20"/>
          <w:szCs w:val="20"/>
          <w:color w:val="auto"/>
        </w:rPr>
      </w:pPr>
      <w:r>
        <w:rPr>
          <w:rFonts w:ascii="Arial" w:cs="Arial" w:eastAsia="Arial" w:hAnsi="Arial"/>
          <w:sz w:val="18"/>
          <w:szCs w:val="18"/>
          <w:color w:val="auto"/>
        </w:rPr>
        <w:t>NOW THIS DEED WITNESSETH that William Walmsley, Director of the Company, hereby appoints on behalf of the Company the firm of HEIGHTS CAPITAL MANAGEMENT, INC., which through its officers, directors and employees is hereby formally granted limited power of attorney for the purpose of entering into transactions on behalf and for the account of the Company; and to take all actions on behalf of the Company as may be necessary to consummate such transactions, including but not limited to making, negotiating; signing, endorsing, executing, acknowledging and delivering in the name of the Company all applications, contracts, agreements, notes, statements, certificates, proxies and any other instruments of whatever kind and nature as may be necessary or proper in connection with the entering into of such transactions, instructing the transfer of funds where necessary with respect to such transactions, and performing all of the services specified under the Discretionary Investment Management Agreement with respect to such transactions.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WITNESS WHEREOF, the Company has caused this Limited Power of Attorney to take effect on the day and year above written.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CVI Investments,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Walmsley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William Walmsley,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125" w:right="199" w:bottom="86"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color w:val="auto"/>
        </w:rPr>
        <w:t>EXHIBIT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Ordinary Shares of Weatherford International Plc, $.001 par value per share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as of November 25,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CVI INVESTMENTS, INC.</w:t>
            </w: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HEIGHTS CAPITAL MANAGEMENT, INC.</w:t>
            </w:r>
          </w:p>
        </w:tc>
        <w:tc>
          <w:tcPr>
            <w:tcW w:w="40" w:type="dxa"/>
            <w:vAlign w:val="bottom"/>
          </w:tcPr>
          <w:p>
            <w:pPr>
              <w:spacing w:after="0"/>
              <w:rPr>
                <w:sz w:val="20"/>
                <w:szCs w:val="20"/>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color w:val="auto"/>
                <w:w w:val="98"/>
              </w:rPr>
              <w:t>By: Heights Capital Management, Inc. pursuant to a Limited Power of</w:t>
            </w: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By:   /s/ Brian Sopinsky</w:t>
            </w:r>
          </w:p>
        </w:tc>
        <w:tc>
          <w:tcPr>
            <w:tcW w:w="40" w:type="dxa"/>
            <w:vAlign w:val="bottom"/>
          </w:tcPr>
          <w:p>
            <w:pPr>
              <w:spacing w:after="0"/>
              <w:rPr>
                <w:sz w:val="24"/>
                <w:szCs w:val="24"/>
                <w:color w:val="auto"/>
              </w:rPr>
            </w:pPr>
          </w:p>
        </w:tc>
      </w:tr>
      <w:tr>
        <w:trPr>
          <w:trHeight w:val="182"/>
        </w:trPr>
        <w:tc>
          <w:tcPr>
            <w:tcW w:w="5440" w:type="dxa"/>
            <w:vAlign w:val="bottom"/>
            <w:gridSpan w:val="2"/>
          </w:tcPr>
          <w:p>
            <w:pPr>
              <w:spacing w:after="0" w:line="182" w:lineRule="exact"/>
              <w:rPr>
                <w:sz w:val="20"/>
                <w:szCs w:val="20"/>
                <w:color w:val="auto"/>
              </w:rPr>
            </w:pPr>
            <w:r>
              <w:rPr>
                <w:rFonts w:ascii="Arial" w:cs="Arial" w:eastAsia="Arial" w:hAnsi="Arial"/>
                <w:sz w:val="18"/>
                <w:szCs w:val="18"/>
                <w:color w:val="auto"/>
              </w:rPr>
              <w:t>Attorney</w:t>
            </w:r>
          </w:p>
        </w:tc>
        <w:tc>
          <w:tcPr>
            <w:tcW w:w="840" w:type="dxa"/>
            <w:vAlign w:val="bottom"/>
          </w:tcPr>
          <w:p>
            <w:pPr>
              <w:ind w:left="340"/>
              <w:spacing w:after="0" w:line="182" w:lineRule="exact"/>
              <w:rPr>
                <w:sz w:val="20"/>
                <w:szCs w:val="20"/>
                <w:color w:val="auto"/>
              </w:rPr>
            </w:pPr>
            <w:r>
              <w:rPr>
                <w:rFonts w:ascii="Arial" w:cs="Arial" w:eastAsia="Arial" w:hAnsi="Arial"/>
                <w:sz w:val="18"/>
                <w:szCs w:val="18"/>
                <w:color w:val="auto"/>
                <w:w w:val="90"/>
              </w:rPr>
              <w:t>Name:</w:t>
            </w:r>
          </w:p>
        </w:tc>
        <w:tc>
          <w:tcPr>
            <w:tcW w:w="51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Brian Sopinsky</w:t>
            </w:r>
          </w:p>
        </w:tc>
        <w:tc>
          <w:tcPr>
            <w:tcW w:w="40" w:type="dxa"/>
            <w:vAlign w:val="bottom"/>
          </w:tcPr>
          <w:p>
            <w:pPr>
              <w:spacing w:after="0"/>
              <w:rPr>
                <w:sz w:val="15"/>
                <w:szCs w:val="15"/>
                <w:color w:val="auto"/>
              </w:rPr>
            </w:pPr>
          </w:p>
        </w:tc>
      </w:tr>
      <w:tr>
        <w:trPr>
          <w:trHeight w:val="230"/>
        </w:trPr>
        <w:tc>
          <w:tcPr>
            <w:tcW w:w="5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Title: Secretary</w:t>
            </w:r>
          </w:p>
        </w:tc>
        <w:tc>
          <w:tcPr>
            <w:tcW w:w="40" w:type="dxa"/>
            <w:vAlign w:val="bottom"/>
          </w:tcPr>
          <w:p>
            <w:pPr>
              <w:spacing w:after="0"/>
              <w:rPr>
                <w:sz w:val="20"/>
                <w:szCs w:val="20"/>
                <w:color w:val="auto"/>
              </w:rPr>
            </w:pPr>
          </w:p>
        </w:tc>
      </w:tr>
      <w:tr>
        <w:trPr>
          <w:trHeight w:val="432"/>
        </w:trPr>
        <w:tc>
          <w:tcPr>
            <w:tcW w:w="5440" w:type="dxa"/>
            <w:vAlign w:val="bottom"/>
            <w:gridSpan w:val="2"/>
          </w:tcPr>
          <w:p>
            <w:pPr>
              <w:spacing w:after="0"/>
              <w:rPr>
                <w:sz w:val="20"/>
                <w:szCs w:val="20"/>
                <w:color w:val="auto"/>
              </w:rPr>
            </w:pPr>
            <w:r>
              <w:rPr>
                <w:rFonts w:ascii="Arial" w:cs="Arial" w:eastAsia="Arial" w:hAnsi="Arial"/>
                <w:sz w:val="18"/>
                <w:szCs w:val="18"/>
                <w:color w:val="auto"/>
              </w:rPr>
              <w:t>By:   /s/ Brian Sopinsky</w:t>
            </w:r>
          </w:p>
        </w:tc>
        <w:tc>
          <w:tcPr>
            <w:tcW w:w="8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2"/>
        </w:trPr>
        <w:tc>
          <w:tcPr>
            <w:tcW w:w="500" w:type="dxa"/>
            <w:vAlign w:val="bottom"/>
          </w:tcPr>
          <w:p>
            <w:pPr>
              <w:spacing w:after="0" w:line="182" w:lineRule="exact"/>
              <w:rPr>
                <w:sz w:val="20"/>
                <w:szCs w:val="20"/>
                <w:color w:val="auto"/>
              </w:rPr>
            </w:pPr>
            <w:r>
              <w:rPr>
                <w:rFonts w:ascii="Arial" w:cs="Arial" w:eastAsia="Arial" w:hAnsi="Arial"/>
                <w:sz w:val="18"/>
                <w:szCs w:val="18"/>
                <w:color w:val="auto"/>
                <w:w w:val="90"/>
              </w:rPr>
              <w:t>Name:</w:t>
            </w:r>
          </w:p>
        </w:tc>
        <w:tc>
          <w:tcPr>
            <w:tcW w:w="4940" w:type="dxa"/>
            <w:vAlign w:val="bottom"/>
            <w:tcBorders>
              <w:top w:val="single" w:sz="8" w:color="auto"/>
            </w:tcBorders>
          </w:tcPr>
          <w:p>
            <w:pPr>
              <w:ind w:left="40"/>
              <w:spacing w:after="0" w:line="182" w:lineRule="exact"/>
              <w:rPr>
                <w:sz w:val="20"/>
                <w:szCs w:val="20"/>
                <w:color w:val="auto"/>
              </w:rPr>
            </w:pPr>
            <w:r>
              <w:rPr>
                <w:rFonts w:ascii="Arial" w:cs="Arial" w:eastAsia="Arial" w:hAnsi="Arial"/>
                <w:sz w:val="18"/>
                <w:szCs w:val="18"/>
                <w:color w:val="auto"/>
              </w:rPr>
              <w:t>Brian Sopinsky</w:t>
            </w:r>
          </w:p>
        </w:tc>
        <w:tc>
          <w:tcPr>
            <w:tcW w:w="8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Title: Secretary</w:t>
            </w:r>
          </w:p>
        </w:tc>
        <w:tc>
          <w:tcPr>
            <w:tcW w:w="8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Arial" w:cs="Arial" w:eastAsia="Arial" w:hAnsi="Arial"/>
                <w:sz w:val="18"/>
                <w:szCs w:val="18"/>
                <w:color w:val="auto"/>
              </w:rPr>
              <w:t>9</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
      <w:numFmt w:val="bullet"/>
      <w:start w:val="1"/>
    </w:lvl>
    <w:lvl w:ilvl="1">
      <w:lvlJc w:val="left"/>
      <w:lvlText w:val="%2"/>
      <w:numFmt w:val="decimal"/>
      <w:start w:val="1"/>
    </w:lvl>
    <w:lvl w:ilvl="2">
      <w:lvlJc w:val="left"/>
      <w:lvlText w:val="(%3)"/>
      <w:numFmt w:val="decimal"/>
      <w:start w:val="7"/>
    </w:lvl>
  </w:abstractNum>
  <w:abstractNum w:abstractNumId="3">
    <w:nsid w:val="41B71EF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
      <w:numFmt w:val="bullet"/>
      <w:start w:val="1"/>
    </w:lvl>
    <w:lvl w:ilvl="1">
      <w:lvlJc w:val="left"/>
      <w:lvlText w:val="(%2)"/>
      <w:numFmt w:val="decimal"/>
      <w:start w:val="11"/>
    </w:lvl>
  </w:abstractNum>
  <w:abstractNum w:abstractNumId="7">
    <w:nsid w:val="5BD062C2"/>
    <w:multiLevelType w:val="hybridMultilevel"/>
    <w:lvl w:ilvl="0">
      <w:lvlJc w:val="left"/>
      <w:lvlText w:val="(%1)"/>
      <w:numFmt w:val="lowerLetter"/>
      <w:start w:val="1"/>
    </w:lvl>
    <w:lvl w:ilvl="1">
      <w:lvlJc w:val="left"/>
      <w:lvlText w:val="(%2)"/>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2019-12-09T00:47:19Z</dcterms:created>
  <dcterms:modified xsi:type="dcterms:W3CDTF">2019-12-09T00:47:19Z</dcterms:modified>
</cp:coreProperties>
</file>