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596900</wp:posOffset>
            </wp:positionH>
            <wp:positionV relativeFrom="paragraph">
              <wp:posOffset>-224155</wp:posOffset>
            </wp:positionV>
            <wp:extent cx="6474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7446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15, 2017</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05"/>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14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97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500"/>
        <w:spacing w:after="0"/>
        <w:tabs>
          <w:tab w:leader="none" w:pos="86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314325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108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800" w:space="720"/>
            <w:col w:w="9900"/>
          </w:cols>
          <w:pgMar w:left="240" w:top="742" w:right="239" w:bottom="1440" w:gutter="0" w:footer="0" w:header="0"/>
        </w:sectPr>
      </w:pPr>
    </w:p>
    <w:p>
      <w:pPr>
        <w:spacing w:after="0" w:line="74" w:lineRule="exact"/>
        <w:rPr>
          <w:sz w:val="20"/>
          <w:szCs w:val="20"/>
          <w:color w:val="auto"/>
        </w:rPr>
      </w:pPr>
    </w:p>
    <w:p>
      <w:pPr>
        <w:jc w:val="both"/>
        <w:ind w:firstLine="332"/>
        <w:spacing w:after="0" w:line="290" w:lineRule="auto"/>
        <w:tabs>
          <w:tab w:leader="none" w:pos="771" w:val="left"/>
        </w:tabs>
        <w:numPr>
          <w:ilvl w:val="0"/>
          <w:numId w:val="2"/>
        </w:numPr>
        <w:rPr>
          <w:rFonts w:ascii="Arial" w:cs="Arial" w:eastAsia="Arial" w:hAnsi="Arial"/>
          <w:sz w:val="16"/>
          <w:szCs w:val="16"/>
          <w:color w:val="auto"/>
        </w:rPr>
      </w:pPr>
      <w:r>
        <w:rPr>
          <w:rFonts w:ascii="Arial" w:cs="Arial" w:eastAsia="Arial" w:hAnsi="Arial"/>
          <w:sz w:val="16"/>
          <w:szCs w:val="16"/>
          <w:color w:val="auto"/>
        </w:rPr>
        <w:t>At the 2017 Annual General Meeting of Shareholders (the “Annual Meeting”) of Weatherford International plc (the “Company”) held on June 15, 2017, shareholders approved an amendment (the “Amendment”) to the Company’s 2010 Omnibus Incentive Plan (the “Plan”). The Amendment increases the number of shares available for issuance under the Plan by 21,000,000 shares, bringing the total number of shares authorized for issuance under the Plan from 43,144,000 to 64,144,000. In addition, the Amendment revises the tax withholding provisions of the Plan to allow maximum statutory withholding in certain circumstances. A description of the material terms and conditions of the Amendment and the Plan is set forth on pages 49-55 of the Company’s definitive proxy statement filed with the Securities and Exchange Commission on April 25, 2017 (the “Proxy Statement”), and is incorporated herein by reference. The description of the Amendment to the Plan incorporated herein by reference does not purport to be complete and is qualified in its entirety by reference to the full text of the Amendment, which was included as Annex A to the Proxy Statement and incorporated herein by reference as Exhibit 10.1.</w:t>
      </w:r>
    </w:p>
    <w:p>
      <w:pPr>
        <w:spacing w:after="0" w:line="200" w:lineRule="exact"/>
        <w:rPr>
          <w:sz w:val="20"/>
          <w:szCs w:val="20"/>
          <w:color w:val="auto"/>
        </w:rPr>
      </w:pPr>
    </w:p>
    <w:p>
      <w:pPr>
        <w:spacing w:after="0" w:line="367"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are the results of the matters voted upon by the shareholders at the Annual Meeting, each of which is more fully described in the Proxy Statement:</w:t>
      </w:r>
    </w:p>
    <w:p>
      <w:pPr>
        <w:spacing w:after="0" w:line="116"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w w:val="97"/>
              </w:rPr>
              <w:t>Agenda Item</w:t>
            </w:r>
          </w:p>
        </w:tc>
        <w:tc>
          <w:tcPr>
            <w:tcW w:w="36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Votes For</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Votes Against</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Votes Abstaining</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99"/>
              </w:rPr>
              <w:t>Broker Non-Votes</w:t>
            </w:r>
          </w:p>
        </w:tc>
      </w:tr>
      <w:tr>
        <w:trPr>
          <w:trHeight w:val="27"/>
        </w:trPr>
        <w:tc>
          <w:tcPr>
            <w:tcW w:w="10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1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3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Election of the following directors:</w:t>
            </w:r>
          </w:p>
        </w:tc>
        <w:tc>
          <w:tcPr>
            <w:tcW w:w="15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1040" w:type="dxa"/>
            <w:vAlign w:val="bottom"/>
          </w:tcPr>
          <w:p>
            <w:pPr>
              <w:spacing w:after="0"/>
              <w:rPr>
                <w:sz w:val="21"/>
                <w:szCs w:val="21"/>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Mohamed A. Awad</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788,448,323</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7,791,178</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1,470,510</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78,670,009</w:t>
            </w:r>
          </w:p>
        </w:tc>
      </w:tr>
      <w:tr>
        <w:trPr>
          <w:trHeight w:val="27"/>
        </w:trPr>
        <w:tc>
          <w:tcPr>
            <w:tcW w:w="10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David J. Butters</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698,275,158</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94,319,766</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5,115,087</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78,670,009</w:t>
            </w:r>
          </w:p>
        </w:tc>
      </w:tr>
      <w:tr>
        <w:trPr>
          <w:trHeight w:val="243"/>
        </w:trPr>
        <w:tc>
          <w:tcPr>
            <w:tcW w:w="1040" w:type="dxa"/>
            <w:vAlign w:val="bottom"/>
          </w:tcPr>
          <w:p>
            <w:pPr>
              <w:spacing w:after="0"/>
              <w:rPr>
                <w:sz w:val="21"/>
                <w:szCs w:val="21"/>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John D. Gass</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787,032,806</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9,283,576</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1,393,629</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78,670,009</w:t>
            </w:r>
          </w:p>
        </w:tc>
      </w:tr>
      <w:tr>
        <w:trPr>
          <w:trHeight w:val="27"/>
        </w:trPr>
        <w:tc>
          <w:tcPr>
            <w:tcW w:w="10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Sir Emyr Jones Parry</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788,155,370</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5,352,002</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4,202,639</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78,670,009</w:t>
            </w:r>
          </w:p>
        </w:tc>
      </w:tr>
      <w:tr>
        <w:trPr>
          <w:trHeight w:val="243"/>
        </w:trPr>
        <w:tc>
          <w:tcPr>
            <w:tcW w:w="1040" w:type="dxa"/>
            <w:vAlign w:val="bottom"/>
          </w:tcPr>
          <w:p>
            <w:pPr>
              <w:spacing w:after="0"/>
              <w:rPr>
                <w:sz w:val="21"/>
                <w:szCs w:val="21"/>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Francis S. Kalman</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791,100,229</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5,202,098</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1,407,684</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78,670,009</w:t>
            </w:r>
          </w:p>
        </w:tc>
      </w:tr>
      <w:tr>
        <w:trPr>
          <w:trHeight w:val="27"/>
        </w:trPr>
        <w:tc>
          <w:tcPr>
            <w:tcW w:w="10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William E. Macaulay</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783,313,435</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10,202,617</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4,193,959</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78,670,009</w:t>
            </w:r>
          </w:p>
        </w:tc>
      </w:tr>
      <w:tr>
        <w:trPr>
          <w:trHeight w:val="243"/>
        </w:trPr>
        <w:tc>
          <w:tcPr>
            <w:tcW w:w="1040" w:type="dxa"/>
            <w:vAlign w:val="bottom"/>
          </w:tcPr>
          <w:p>
            <w:pPr>
              <w:spacing w:after="0"/>
              <w:rPr>
                <w:sz w:val="21"/>
                <w:szCs w:val="21"/>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Mark A. McCollum</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792,136,280</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4,186,661</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1,387,070</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78,670,009</w:t>
            </w:r>
          </w:p>
        </w:tc>
      </w:tr>
      <w:tr>
        <w:trPr>
          <w:trHeight w:val="27"/>
        </w:trPr>
        <w:tc>
          <w:tcPr>
            <w:tcW w:w="10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Robert K. Moses, Jr.</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783,391,284</w:t>
            </w:r>
          </w:p>
        </w:tc>
        <w:tc>
          <w:tcPr>
            <w:tcW w:w="15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10,133,036</w:t>
            </w: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4,185,691</w:t>
            </w:r>
          </w:p>
        </w:tc>
        <w:tc>
          <w:tcPr>
            <w:tcW w:w="1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78,670,009</w:t>
            </w:r>
          </w:p>
        </w:tc>
      </w:tr>
      <w:tr>
        <w:trPr>
          <w:trHeight w:val="243"/>
        </w:trPr>
        <w:tc>
          <w:tcPr>
            <w:tcW w:w="1040" w:type="dxa"/>
            <w:vAlign w:val="bottom"/>
          </w:tcPr>
          <w:p>
            <w:pPr>
              <w:spacing w:after="0"/>
              <w:rPr>
                <w:sz w:val="21"/>
                <w:szCs w:val="21"/>
                <w:color w:val="auto"/>
              </w:rPr>
            </w:pPr>
          </w:p>
        </w:tc>
        <w:tc>
          <w:tcPr>
            <w:tcW w:w="3600" w:type="dxa"/>
            <w:vAlign w:val="bottom"/>
          </w:tcPr>
          <w:p>
            <w:pPr>
              <w:ind w:left="220"/>
              <w:spacing w:after="0"/>
              <w:rPr>
                <w:sz w:val="20"/>
                <w:szCs w:val="20"/>
                <w:color w:val="auto"/>
              </w:rPr>
            </w:pPr>
            <w:r>
              <w:rPr>
                <w:rFonts w:ascii="Arial" w:cs="Arial" w:eastAsia="Arial" w:hAnsi="Arial"/>
                <w:sz w:val="18"/>
                <w:szCs w:val="18"/>
                <w:color w:val="auto"/>
              </w:rPr>
              <w:t>Dr. Guillermo Ortiz</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608,574,002</w:t>
            </w:r>
          </w:p>
        </w:tc>
        <w:tc>
          <w:tcPr>
            <w:tcW w:w="1580" w:type="dxa"/>
            <w:vAlign w:val="bottom"/>
          </w:tcPr>
          <w:p>
            <w:pPr>
              <w:jc w:val="right"/>
              <w:ind w:right="50"/>
              <w:spacing w:after="0"/>
              <w:rPr>
                <w:sz w:val="20"/>
                <w:szCs w:val="20"/>
                <w:color w:val="auto"/>
              </w:rPr>
            </w:pPr>
            <w:r>
              <w:rPr>
                <w:rFonts w:ascii="Arial" w:cs="Arial" w:eastAsia="Arial" w:hAnsi="Arial"/>
                <w:sz w:val="18"/>
                <w:szCs w:val="18"/>
                <w:color w:val="auto"/>
              </w:rPr>
              <w:t>180,579,820</w:t>
            </w: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8,556,189</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78,670,009</w:t>
            </w:r>
          </w:p>
        </w:tc>
      </w:tr>
      <w:tr>
        <w:trPr>
          <w:trHeight w:val="405"/>
        </w:trPr>
        <w:tc>
          <w:tcPr>
            <w:tcW w:w="1040" w:type="dxa"/>
            <w:vAlign w:val="bottom"/>
          </w:tcPr>
          <w:p>
            <w:pPr>
              <w:ind w:left="20"/>
              <w:spacing w:after="0"/>
              <w:rPr>
                <w:sz w:val="20"/>
                <w:szCs w:val="20"/>
                <w:color w:val="auto"/>
              </w:rPr>
            </w:pPr>
            <w:r>
              <w:rPr>
                <w:rFonts w:ascii="Arial" w:cs="Arial" w:eastAsia="Arial" w:hAnsi="Arial"/>
                <w:sz w:val="18"/>
                <w:szCs w:val="18"/>
                <w:color w:val="auto"/>
                <w:w w:val="97"/>
              </w:rPr>
              <w:t>Agenda Item</w:t>
            </w:r>
          </w:p>
        </w:tc>
        <w:tc>
          <w:tcPr>
            <w:tcW w:w="3600" w:type="dxa"/>
            <w:vAlign w:val="bottom"/>
          </w:tcPr>
          <w:p>
            <w:pPr>
              <w:spacing w:after="0"/>
              <w:rPr>
                <w:sz w:val="24"/>
                <w:szCs w:val="24"/>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color w:val="auto"/>
              </w:rPr>
              <w:t>Votes For</w:t>
            </w:r>
          </w:p>
        </w:tc>
        <w:tc>
          <w:tcPr>
            <w:tcW w:w="1580" w:type="dxa"/>
            <w:vAlign w:val="bottom"/>
          </w:tcPr>
          <w:p>
            <w:pPr>
              <w:jc w:val="right"/>
              <w:ind w:right="270"/>
              <w:spacing w:after="0"/>
              <w:rPr>
                <w:sz w:val="20"/>
                <w:szCs w:val="20"/>
                <w:color w:val="auto"/>
              </w:rPr>
            </w:pPr>
            <w:r>
              <w:rPr>
                <w:rFonts w:ascii="Arial" w:cs="Arial" w:eastAsia="Arial" w:hAnsi="Arial"/>
                <w:sz w:val="18"/>
                <w:szCs w:val="18"/>
                <w:color w:val="auto"/>
              </w:rPr>
              <w:t>Votes Against</w:t>
            </w: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Votes Abstaining</w:t>
            </w:r>
          </w:p>
        </w:tc>
        <w:tc>
          <w:tcPr>
            <w:tcW w:w="1620" w:type="dxa"/>
            <w:vAlign w:val="bottom"/>
          </w:tcPr>
          <w:p>
            <w:pPr>
              <w:jc w:val="right"/>
              <w:ind w:right="90"/>
              <w:spacing w:after="0"/>
              <w:rPr>
                <w:sz w:val="20"/>
                <w:szCs w:val="20"/>
                <w:color w:val="auto"/>
              </w:rPr>
            </w:pPr>
            <w:r>
              <w:rPr>
                <w:rFonts w:ascii="Arial" w:cs="Arial" w:eastAsia="Arial" w:hAnsi="Arial"/>
                <w:sz w:val="18"/>
                <w:szCs w:val="18"/>
                <w:color w:val="auto"/>
                <w:w w:val="99"/>
              </w:rPr>
              <w:t>Broker Non-Votes</w:t>
            </w:r>
          </w:p>
        </w:tc>
      </w:tr>
      <w:tr>
        <w:trPr>
          <w:trHeight w:val="27"/>
        </w:trPr>
        <w:tc>
          <w:tcPr>
            <w:tcW w:w="10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2.</w:t>
            </w: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Ratify the appointment of KPMG LLP as the</w:t>
            </w:r>
          </w:p>
        </w:tc>
        <w:tc>
          <w:tcPr>
            <w:tcW w:w="1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872,029,513</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2,809,440</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1,541,067</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104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Company’s independent registered public</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accounting firm and auditor for the financial</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year ending December 31, 2017 and to</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authorize the board of directors of the</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Company, acting through the Audit</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Committee, to determine auditor’s</w:t>
            </w:r>
          </w:p>
        </w:tc>
        <w:tc>
          <w:tcPr>
            <w:tcW w:w="15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3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remuneration.</w:t>
            </w:r>
          </w:p>
        </w:tc>
        <w:tc>
          <w:tcPr>
            <w:tcW w:w="154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7"/>
        </w:trPr>
        <w:tc>
          <w:tcPr>
            <w:tcW w:w="104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742" w:right="239" w:bottom="1440" w:gutter="0" w:footer="0" w:header="0"/>
          <w:type w:val="continuous"/>
        </w:sectPr>
      </w:pPr>
    </w:p>
    <w:bookmarkStart w:id="2" w:name="page3"/>
    <w:bookmarkEnd w:id="2"/>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1040" w:type="dxa"/>
            <w:vAlign w:val="bottom"/>
          </w:tcPr>
          <w:p>
            <w:pPr>
              <w:ind w:left="20"/>
              <w:spacing w:after="0"/>
              <w:rPr>
                <w:sz w:val="20"/>
                <w:szCs w:val="20"/>
                <w:color w:val="auto"/>
              </w:rPr>
            </w:pPr>
            <w:r>
              <w:rPr>
                <w:rFonts w:ascii="Arial" w:cs="Arial" w:eastAsia="Arial" w:hAnsi="Arial"/>
                <w:sz w:val="18"/>
                <w:szCs w:val="18"/>
                <w:color w:val="auto"/>
                <w:w w:val="97"/>
              </w:rPr>
              <w:t>Agenda Item</w:t>
            </w:r>
          </w:p>
        </w:tc>
        <w:tc>
          <w:tcPr>
            <w:tcW w:w="3580" w:type="dxa"/>
            <w:vAlign w:val="bottom"/>
          </w:tcPr>
          <w:p>
            <w:pPr>
              <w:spacing w:after="0"/>
              <w:rPr>
                <w:sz w:val="20"/>
                <w:szCs w:val="20"/>
                <w:color w:val="auto"/>
              </w:rPr>
            </w:pPr>
          </w:p>
        </w:tc>
        <w:tc>
          <w:tcPr>
            <w:tcW w:w="1560" w:type="dxa"/>
            <w:vAlign w:val="bottom"/>
          </w:tcPr>
          <w:p>
            <w:pPr>
              <w:ind w:left="280"/>
              <w:spacing w:after="0"/>
              <w:rPr>
                <w:sz w:val="20"/>
                <w:szCs w:val="20"/>
                <w:color w:val="auto"/>
              </w:rPr>
            </w:pPr>
            <w:r>
              <w:rPr>
                <w:rFonts w:ascii="Arial" w:cs="Arial" w:eastAsia="Arial" w:hAnsi="Arial"/>
                <w:sz w:val="18"/>
                <w:szCs w:val="18"/>
                <w:color w:val="auto"/>
              </w:rPr>
              <w:t>Votes For</w:t>
            </w:r>
          </w:p>
        </w:tc>
        <w:tc>
          <w:tcPr>
            <w:tcW w:w="1580" w:type="dxa"/>
            <w:vAlign w:val="bottom"/>
          </w:tcPr>
          <w:p>
            <w:pPr>
              <w:jc w:val="center"/>
              <w:ind w:right="50"/>
              <w:spacing w:after="0"/>
              <w:rPr>
                <w:sz w:val="20"/>
                <w:szCs w:val="20"/>
                <w:color w:val="auto"/>
              </w:rPr>
            </w:pPr>
            <w:r>
              <w:rPr>
                <w:rFonts w:ascii="Arial" w:cs="Arial" w:eastAsia="Arial" w:hAnsi="Arial"/>
                <w:sz w:val="18"/>
                <w:szCs w:val="18"/>
                <w:color w:val="auto"/>
                <w:w w:val="89"/>
              </w:rPr>
              <w:t>Votes Against</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Votes Abstaining</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Broker Non-Votes</w:t>
            </w:r>
          </w:p>
        </w:tc>
      </w:tr>
      <w:tr>
        <w:trPr>
          <w:trHeight w:val="27"/>
        </w:trPr>
        <w:tc>
          <w:tcPr>
            <w:tcW w:w="10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3.</w:t>
            </w: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Adopt an advisory resolution approving</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723,787,290</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72,276,527</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1,646,194</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78,670,009</w:t>
            </w:r>
          </w:p>
        </w:tc>
      </w:tr>
      <w:tr>
        <w:trPr>
          <w:trHeight w:val="216"/>
        </w:trPr>
        <w:tc>
          <w:tcPr>
            <w:tcW w:w="1040" w:type="dxa"/>
            <w:vAlign w:val="bottom"/>
            <w:shd w:val="clear" w:color="auto" w:fill="CCEEFF"/>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compensation of the named executive</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officers.</w:t>
            </w:r>
          </w:p>
        </w:tc>
        <w:tc>
          <w:tcPr>
            <w:tcW w:w="15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43"/>
        </w:trPr>
        <w:tc>
          <w:tcPr>
            <w:tcW w:w="1040" w:type="dxa"/>
            <w:vAlign w:val="bottom"/>
            <w:shd w:val="clear" w:color="auto" w:fill="CCEEFF"/>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w w:val="97"/>
              </w:rPr>
              <w:t>Agenda Item</w:t>
            </w:r>
          </w:p>
        </w:tc>
        <w:tc>
          <w:tcPr>
            <w:tcW w:w="3580" w:type="dxa"/>
            <w:vAlign w:val="bottom"/>
          </w:tcPr>
          <w:p>
            <w:pPr>
              <w:spacing w:after="0"/>
              <w:rPr>
                <w:sz w:val="21"/>
                <w:szCs w:val="21"/>
                <w:color w:val="auto"/>
              </w:rPr>
            </w:pPr>
          </w:p>
        </w:tc>
        <w:tc>
          <w:tcPr>
            <w:tcW w:w="1560" w:type="dxa"/>
            <w:vAlign w:val="bottom"/>
          </w:tcPr>
          <w:p>
            <w:pPr>
              <w:ind w:left="280"/>
              <w:spacing w:after="0"/>
              <w:rPr>
                <w:sz w:val="20"/>
                <w:szCs w:val="20"/>
                <w:color w:val="auto"/>
              </w:rPr>
            </w:pPr>
            <w:r>
              <w:rPr>
                <w:rFonts w:ascii="Arial" w:cs="Arial" w:eastAsia="Arial" w:hAnsi="Arial"/>
                <w:sz w:val="18"/>
                <w:szCs w:val="18"/>
                <w:color w:val="auto"/>
              </w:rPr>
              <w:t>One Year</w:t>
            </w:r>
          </w:p>
        </w:tc>
        <w:tc>
          <w:tcPr>
            <w:tcW w:w="1580" w:type="dxa"/>
            <w:vAlign w:val="bottom"/>
          </w:tcPr>
          <w:p>
            <w:pPr>
              <w:jc w:val="center"/>
              <w:ind w:right="50"/>
              <w:spacing w:after="0"/>
              <w:rPr>
                <w:sz w:val="20"/>
                <w:szCs w:val="20"/>
                <w:color w:val="auto"/>
              </w:rPr>
            </w:pPr>
            <w:r>
              <w:rPr>
                <w:rFonts w:ascii="Arial" w:cs="Arial" w:eastAsia="Arial" w:hAnsi="Arial"/>
                <w:sz w:val="18"/>
                <w:szCs w:val="18"/>
                <w:color w:val="auto"/>
                <w:w w:val="88"/>
              </w:rPr>
              <w:t>Two Years</w:t>
            </w: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Three Years</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Votes Abstaining</w:t>
            </w:r>
          </w:p>
        </w:tc>
      </w:tr>
      <w:tr>
        <w:trPr>
          <w:trHeight w:val="27"/>
        </w:trPr>
        <w:tc>
          <w:tcPr>
            <w:tcW w:w="10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4.</w:t>
            </w: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Adopt an advisory resolution recommending</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768,940,591</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584,693</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26,662,007</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1,522,720</w:t>
            </w:r>
          </w:p>
        </w:tc>
      </w:tr>
      <w:tr>
        <w:trPr>
          <w:trHeight w:val="216"/>
        </w:trPr>
        <w:tc>
          <w:tcPr>
            <w:tcW w:w="1040" w:type="dxa"/>
            <w:vAlign w:val="bottom"/>
            <w:shd w:val="clear" w:color="auto" w:fill="CCEEFF"/>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shareholder approval of the compensation of</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1040" w:type="dxa"/>
            <w:vAlign w:val="bottom"/>
            <w:shd w:val="clear" w:color="auto" w:fill="CCEEFF"/>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the named executive officers every 1, 2 or 3</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p>
        </w:tc>
        <w:tc>
          <w:tcPr>
            <w:tcW w:w="35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years.</w:t>
            </w:r>
          </w:p>
        </w:tc>
        <w:tc>
          <w:tcPr>
            <w:tcW w:w="15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r>
      <w:tr>
        <w:trPr>
          <w:trHeight w:val="243"/>
        </w:trPr>
        <w:tc>
          <w:tcPr>
            <w:tcW w:w="1040" w:type="dxa"/>
            <w:vAlign w:val="bottom"/>
          </w:tcPr>
          <w:p>
            <w:pPr>
              <w:ind w:left="20"/>
              <w:spacing w:after="0"/>
              <w:rPr>
                <w:sz w:val="20"/>
                <w:szCs w:val="20"/>
                <w:color w:val="auto"/>
              </w:rPr>
            </w:pPr>
            <w:r>
              <w:rPr>
                <w:rFonts w:ascii="Arial" w:cs="Arial" w:eastAsia="Arial" w:hAnsi="Arial"/>
                <w:sz w:val="18"/>
                <w:szCs w:val="18"/>
                <w:color w:val="auto"/>
                <w:w w:val="97"/>
              </w:rPr>
              <w:t>Agenda Item</w:t>
            </w:r>
          </w:p>
        </w:tc>
        <w:tc>
          <w:tcPr>
            <w:tcW w:w="3580" w:type="dxa"/>
            <w:vAlign w:val="bottom"/>
          </w:tcPr>
          <w:p>
            <w:pPr>
              <w:spacing w:after="0"/>
              <w:rPr>
                <w:sz w:val="21"/>
                <w:szCs w:val="21"/>
                <w:color w:val="auto"/>
              </w:rPr>
            </w:pPr>
          </w:p>
        </w:tc>
        <w:tc>
          <w:tcPr>
            <w:tcW w:w="1560" w:type="dxa"/>
            <w:vAlign w:val="bottom"/>
          </w:tcPr>
          <w:p>
            <w:pPr>
              <w:ind w:left="280"/>
              <w:spacing w:after="0"/>
              <w:rPr>
                <w:sz w:val="20"/>
                <w:szCs w:val="20"/>
                <w:color w:val="auto"/>
              </w:rPr>
            </w:pPr>
            <w:r>
              <w:rPr>
                <w:rFonts w:ascii="Arial" w:cs="Arial" w:eastAsia="Arial" w:hAnsi="Arial"/>
                <w:sz w:val="18"/>
                <w:szCs w:val="18"/>
                <w:color w:val="auto"/>
              </w:rPr>
              <w:t>Votes For</w:t>
            </w:r>
          </w:p>
        </w:tc>
        <w:tc>
          <w:tcPr>
            <w:tcW w:w="1580" w:type="dxa"/>
            <w:vAlign w:val="bottom"/>
          </w:tcPr>
          <w:p>
            <w:pPr>
              <w:jc w:val="center"/>
              <w:ind w:right="50"/>
              <w:spacing w:after="0"/>
              <w:rPr>
                <w:sz w:val="20"/>
                <w:szCs w:val="20"/>
                <w:color w:val="auto"/>
              </w:rPr>
            </w:pPr>
            <w:r>
              <w:rPr>
                <w:rFonts w:ascii="Arial" w:cs="Arial" w:eastAsia="Arial" w:hAnsi="Arial"/>
                <w:sz w:val="18"/>
                <w:szCs w:val="18"/>
                <w:color w:val="auto"/>
                <w:w w:val="89"/>
              </w:rPr>
              <w:t>Votes Against</w:t>
            </w:r>
          </w:p>
        </w:tc>
        <w:tc>
          <w:tcPr>
            <w:tcW w:w="1620" w:type="dxa"/>
            <w:vAlign w:val="bottom"/>
          </w:tcPr>
          <w:p>
            <w:pPr>
              <w:jc w:val="center"/>
              <w:spacing w:after="0"/>
              <w:rPr>
                <w:sz w:val="20"/>
                <w:szCs w:val="20"/>
                <w:color w:val="auto"/>
              </w:rPr>
            </w:pPr>
            <w:r>
              <w:rPr>
                <w:rFonts w:ascii="Arial" w:cs="Arial" w:eastAsia="Arial" w:hAnsi="Arial"/>
                <w:sz w:val="18"/>
                <w:szCs w:val="18"/>
                <w:color w:val="auto"/>
                <w:w w:val="91"/>
              </w:rPr>
              <w:t>Votes Abstaining</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Broker Non-Votes</w:t>
            </w:r>
          </w:p>
        </w:tc>
      </w:tr>
      <w:tr>
        <w:trPr>
          <w:trHeight w:val="27"/>
        </w:trPr>
        <w:tc>
          <w:tcPr>
            <w:tcW w:w="104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Approve an amendment to the Weatherford</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733,038,979</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63,265,392</w:t>
            </w:r>
          </w:p>
        </w:tc>
        <w:tc>
          <w:tcPr>
            <w:tcW w:w="16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1,405,640</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78,670,009</w:t>
            </w:r>
          </w:p>
        </w:tc>
      </w:tr>
      <w:tr>
        <w:trPr>
          <w:trHeight w:val="216"/>
        </w:trPr>
        <w:tc>
          <w:tcPr>
            <w:tcW w:w="1040" w:type="dxa"/>
            <w:vAlign w:val="bottom"/>
            <w:shd w:val="clear" w:color="auto" w:fill="CCEEFF"/>
          </w:tcPr>
          <w:p>
            <w:pPr>
              <w:spacing w:after="0"/>
              <w:rPr>
                <w:sz w:val="18"/>
                <w:szCs w:val="18"/>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International plc 2010 Omnibus Incentive</w:t>
            </w:r>
          </w:p>
        </w:tc>
        <w:tc>
          <w:tcPr>
            <w:tcW w:w="15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30"/>
        </w:trPr>
        <w:tc>
          <w:tcPr>
            <w:tcW w:w="1040" w:type="dxa"/>
            <w:vAlign w:val="bottom"/>
            <w:shd w:val="clear" w:color="auto" w:fill="CCEEFF"/>
          </w:tcPr>
          <w:p>
            <w:pPr>
              <w:spacing w:after="0"/>
              <w:rPr>
                <w:sz w:val="20"/>
                <w:szCs w:val="20"/>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Plan.</w:t>
            </w:r>
          </w:p>
        </w:tc>
        <w:tc>
          <w:tcPr>
            <w:tcW w:w="156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r>
      <w:tr>
        <w:trPr>
          <w:trHeight w:val="27"/>
        </w:trPr>
        <w:tc>
          <w:tcPr>
            <w:tcW w:w="104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Board considered the outcome of the vote on Item 4 above and, consistent with its recommendation to shareholders, determined that the Company will hold future non-binding advisory votes to approve the compensation of the Company’s named executive officers every year until the Board otherwise determines that a different frequency for such non-binding advisory votes is in the best interest of the Company or until the next required vote on the frequency of such votes.</w:t>
      </w:r>
    </w:p>
    <w:p>
      <w:pPr>
        <w:spacing w:after="0" w:line="345"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83" w:lineRule="exact"/>
        <w:rPr>
          <w:sz w:val="20"/>
          <w:szCs w:val="20"/>
          <w:color w:val="auto"/>
        </w:rPr>
      </w:pPr>
    </w:p>
    <w:p>
      <w:pPr>
        <w:ind w:left="1640" w:hanging="927"/>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60" w:type="dxa"/>
            <w:vAlign w:val="bottom"/>
          </w:tcPr>
          <w:p>
            <w:pPr>
              <w:ind w:left="20"/>
              <w:spacing w:after="0"/>
              <w:rPr>
                <w:sz w:val="20"/>
                <w:szCs w:val="20"/>
                <w:color w:val="auto"/>
              </w:rPr>
            </w:pPr>
            <w:r>
              <w:rPr>
                <w:rFonts w:ascii="Arial" w:cs="Arial" w:eastAsia="Arial" w:hAnsi="Arial"/>
                <w:sz w:val="18"/>
                <w:szCs w:val="18"/>
                <w:b w:val="1"/>
                <w:bCs w:val="1"/>
                <w:color w:val="auto"/>
              </w:rPr>
              <w:t>Exhibit Number</w:t>
            </w:r>
          </w:p>
        </w:tc>
        <w:tc>
          <w:tcPr>
            <w:tcW w:w="9900" w:type="dxa"/>
            <w:vAlign w:val="bottom"/>
          </w:tcPr>
          <w:p>
            <w:pPr>
              <w:ind w:left="1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60" w:type="dxa"/>
            <w:vAlign w:val="bottom"/>
            <w:tcBorders>
              <w:bottom w:val="single" w:sz="8" w:color="auto"/>
            </w:tcBorders>
          </w:tcPr>
          <w:p>
            <w:pPr>
              <w:spacing w:after="0"/>
              <w:rPr>
                <w:sz w:val="2"/>
                <w:szCs w:val="2"/>
                <w:color w:val="auto"/>
              </w:rPr>
            </w:pPr>
          </w:p>
        </w:tc>
        <w:tc>
          <w:tcPr>
            <w:tcW w:w="9900" w:type="dxa"/>
            <w:vAlign w:val="bottom"/>
            <w:tcBorders>
              <w:bottom w:val="single" w:sz="8" w:color="auto"/>
            </w:tcBorders>
          </w:tcPr>
          <w:p>
            <w:pPr>
              <w:spacing w:after="0"/>
              <w:rPr>
                <w:sz w:val="2"/>
                <w:szCs w:val="2"/>
                <w:color w:val="auto"/>
              </w:rPr>
            </w:pPr>
          </w:p>
        </w:tc>
      </w:tr>
      <w:tr>
        <w:trPr>
          <w:trHeight w:val="249"/>
        </w:trPr>
        <w:tc>
          <w:tcPr>
            <w:tcW w:w="1460" w:type="dxa"/>
            <w:vAlign w:val="bottom"/>
          </w:tcPr>
          <w:p>
            <w:pPr>
              <w:ind w:left="20"/>
              <w:spacing w:after="0"/>
              <w:rPr>
                <w:sz w:val="20"/>
                <w:szCs w:val="20"/>
                <w:color w:val="auto"/>
              </w:rPr>
            </w:pPr>
            <w:r>
              <w:rPr>
                <w:rFonts w:ascii="Arial" w:cs="Arial" w:eastAsia="Arial" w:hAnsi="Arial"/>
                <w:sz w:val="18"/>
                <w:szCs w:val="18"/>
                <w:color w:val="auto"/>
              </w:rPr>
              <w:t>10.1</w:t>
            </w:r>
          </w:p>
        </w:tc>
        <w:tc>
          <w:tcPr>
            <w:tcW w:w="9900" w:type="dxa"/>
            <w:vAlign w:val="bottom"/>
          </w:tcPr>
          <w:p>
            <w:pPr>
              <w:ind w:left="160"/>
              <w:spacing w:after="0"/>
              <w:rPr>
                <w:sz w:val="20"/>
                <w:szCs w:val="20"/>
                <w:color w:val="auto"/>
              </w:rPr>
            </w:pPr>
            <w:r>
              <w:rPr>
                <w:rFonts w:ascii="Arial" w:cs="Arial" w:eastAsia="Arial" w:hAnsi="Arial"/>
                <w:sz w:val="18"/>
                <w:szCs w:val="18"/>
                <w:color w:val="auto"/>
                <w:w w:val="98"/>
              </w:rPr>
              <w:t>Second Amendment to Weatherford International plc 2010 Omnibus Incentive Plan (incorporated by reference to Annex A of</w:t>
            </w:r>
          </w:p>
        </w:tc>
      </w:tr>
      <w:tr>
        <w:trPr>
          <w:trHeight w:val="230"/>
        </w:trPr>
        <w:tc>
          <w:tcPr>
            <w:tcW w:w="1460" w:type="dxa"/>
            <w:vAlign w:val="bottom"/>
          </w:tcPr>
          <w:p>
            <w:pPr>
              <w:spacing w:after="0"/>
              <w:rPr>
                <w:sz w:val="20"/>
                <w:szCs w:val="20"/>
                <w:color w:val="auto"/>
              </w:rPr>
            </w:pPr>
          </w:p>
        </w:tc>
        <w:tc>
          <w:tcPr>
            <w:tcW w:w="9900" w:type="dxa"/>
            <w:vAlign w:val="bottom"/>
          </w:tcPr>
          <w:p>
            <w:pPr>
              <w:ind w:left="160"/>
              <w:spacing w:after="0"/>
              <w:rPr>
                <w:sz w:val="20"/>
                <w:szCs w:val="20"/>
                <w:color w:val="auto"/>
              </w:rPr>
            </w:pPr>
            <w:r>
              <w:rPr>
                <w:rFonts w:ascii="Arial" w:cs="Arial" w:eastAsia="Arial" w:hAnsi="Arial"/>
                <w:sz w:val="18"/>
                <w:szCs w:val="18"/>
                <w:color w:val="auto"/>
              </w:rPr>
              <w:t>Weatherford International plc’s Definitive Proxy Statement on Schedule 14A filed on April 25, 2017 (File No. 001-36504)).</w:t>
            </w:r>
          </w:p>
        </w:tc>
      </w:tr>
    </w:tbl>
    <w:p>
      <w:pPr>
        <w:sectPr>
          <w:pgSz w:w="11900" w:h="16838" w:orient="portrait"/>
          <w:cols w:equalWidth="0" w:num="1">
            <w:col w:w="11420"/>
          </w:cols>
          <w:pgMar w:left="240" w:top="746"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694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16, 2017</w:t>
      </w:r>
    </w:p>
    <w:p>
      <w:pPr>
        <w:spacing w:after="0" w:line="6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3893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Christina M. Ibrahim</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General Counsel and</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0940"/>
          </w:cols>
          <w:pgMar w:left="240" w:top="580" w:right="7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p>
        </w:tc>
        <w:tc>
          <w:tcPr>
            <w:tcW w:w="9960" w:type="dxa"/>
            <w:vAlign w:val="bottom"/>
          </w:tcPr>
          <w:p>
            <w:pPr>
              <w:ind w:left="3600"/>
              <w:spacing w:after="0"/>
              <w:rPr>
                <w:sz w:val="20"/>
                <w:szCs w:val="20"/>
                <w:color w:val="auto"/>
              </w:rPr>
            </w:pPr>
            <w:r>
              <w:rPr>
                <w:rFonts w:ascii="Arial" w:cs="Arial" w:eastAsia="Arial" w:hAnsi="Arial"/>
                <w:sz w:val="18"/>
                <w:szCs w:val="18"/>
                <w:color w:val="auto"/>
              </w:rPr>
              <w:t>EXHIBIT INDEX</w:t>
            </w:r>
          </w:p>
        </w:tc>
      </w:tr>
      <w:tr>
        <w:trPr>
          <w:trHeight w:val="635"/>
        </w:trPr>
        <w:tc>
          <w:tcPr>
            <w:tcW w:w="1460" w:type="dxa"/>
            <w:vAlign w:val="bottom"/>
          </w:tcPr>
          <w:p>
            <w:pPr>
              <w:ind w:left="40"/>
              <w:spacing w:after="0"/>
              <w:rPr>
                <w:sz w:val="20"/>
                <w:szCs w:val="20"/>
                <w:color w:val="auto"/>
              </w:rPr>
            </w:pPr>
            <w:r>
              <w:rPr>
                <w:rFonts w:ascii="Arial" w:cs="Arial" w:eastAsia="Arial" w:hAnsi="Arial"/>
                <w:sz w:val="18"/>
                <w:szCs w:val="18"/>
                <w:b w:val="1"/>
                <w:bCs w:val="1"/>
                <w:color w:val="auto"/>
              </w:rPr>
              <w:t>Exhibit Number</w:t>
            </w:r>
          </w:p>
        </w:tc>
        <w:tc>
          <w:tcPr>
            <w:tcW w:w="9960" w:type="dxa"/>
            <w:vAlign w:val="bottom"/>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60" w:type="dxa"/>
            <w:vAlign w:val="bottom"/>
            <w:tcBorders>
              <w:bottom w:val="single" w:sz="8" w:color="auto"/>
            </w:tcBorders>
          </w:tcPr>
          <w:p>
            <w:pPr>
              <w:spacing w:after="0"/>
              <w:rPr>
                <w:sz w:val="2"/>
                <w:szCs w:val="2"/>
                <w:color w:val="auto"/>
              </w:rPr>
            </w:pPr>
          </w:p>
        </w:tc>
        <w:tc>
          <w:tcPr>
            <w:tcW w:w="9960" w:type="dxa"/>
            <w:vAlign w:val="bottom"/>
            <w:tcBorders>
              <w:bottom w:val="single" w:sz="8" w:color="auto"/>
            </w:tcBorders>
          </w:tcPr>
          <w:p>
            <w:pPr>
              <w:spacing w:after="0"/>
              <w:rPr>
                <w:sz w:val="2"/>
                <w:szCs w:val="2"/>
                <w:color w:val="auto"/>
              </w:rPr>
            </w:pPr>
          </w:p>
        </w:tc>
      </w:tr>
      <w:tr>
        <w:trPr>
          <w:trHeight w:val="222"/>
        </w:trPr>
        <w:tc>
          <w:tcPr>
            <w:tcW w:w="1460" w:type="dxa"/>
            <w:vAlign w:val="bottom"/>
          </w:tcPr>
          <w:p>
            <w:pPr>
              <w:ind w:left="40"/>
              <w:spacing w:after="0"/>
              <w:rPr>
                <w:sz w:val="20"/>
                <w:szCs w:val="20"/>
                <w:color w:val="auto"/>
              </w:rPr>
            </w:pPr>
            <w:r>
              <w:rPr>
                <w:rFonts w:ascii="Arial" w:cs="Arial" w:eastAsia="Arial" w:hAnsi="Arial"/>
                <w:sz w:val="18"/>
                <w:szCs w:val="18"/>
                <w:color w:val="auto"/>
              </w:rPr>
              <w:t>10.1</w:t>
            </w:r>
          </w:p>
        </w:tc>
        <w:tc>
          <w:tcPr>
            <w:tcW w:w="9960" w:type="dxa"/>
            <w:vAlign w:val="bottom"/>
          </w:tcPr>
          <w:p>
            <w:pPr>
              <w:ind w:left="180"/>
              <w:spacing w:after="0"/>
              <w:rPr>
                <w:sz w:val="20"/>
                <w:szCs w:val="20"/>
                <w:color w:val="auto"/>
              </w:rPr>
            </w:pPr>
            <w:r>
              <w:rPr>
                <w:rFonts w:ascii="Arial" w:cs="Arial" w:eastAsia="Arial" w:hAnsi="Arial"/>
                <w:sz w:val="18"/>
                <w:szCs w:val="18"/>
                <w:color w:val="auto"/>
                <w:w w:val="98"/>
              </w:rPr>
              <w:t>Second Amendment to Weatherford International plc 2010 Omnibus Incentive Plan (incorporated by reference to Annex A of</w:t>
            </w:r>
          </w:p>
        </w:tc>
      </w:tr>
      <w:tr>
        <w:trPr>
          <w:trHeight w:val="230"/>
        </w:trPr>
        <w:tc>
          <w:tcPr>
            <w:tcW w:w="1460" w:type="dxa"/>
            <w:vAlign w:val="bottom"/>
          </w:tcPr>
          <w:p>
            <w:pPr>
              <w:spacing w:after="0"/>
              <w:rPr>
                <w:sz w:val="20"/>
                <w:szCs w:val="20"/>
                <w:color w:val="auto"/>
              </w:rPr>
            </w:pPr>
          </w:p>
        </w:tc>
        <w:tc>
          <w:tcPr>
            <w:tcW w:w="9960" w:type="dxa"/>
            <w:vAlign w:val="bottom"/>
          </w:tcPr>
          <w:p>
            <w:pPr>
              <w:ind w:left="180"/>
              <w:spacing w:after="0"/>
              <w:rPr>
                <w:sz w:val="20"/>
                <w:szCs w:val="20"/>
                <w:color w:val="auto"/>
              </w:rPr>
            </w:pPr>
            <w:r>
              <w:rPr>
                <w:rFonts w:ascii="Arial" w:cs="Arial" w:eastAsia="Arial" w:hAnsi="Arial"/>
                <w:sz w:val="18"/>
                <w:szCs w:val="18"/>
                <w:color w:val="auto"/>
              </w:rPr>
              <w:t>Weatherford International plc’s Definitive Proxy Statement on Schedule 14A filed on April 25, 2017 (File No. 001-36504)).</w:t>
            </w:r>
          </w:p>
        </w:tc>
      </w:tr>
    </w:tbl>
    <w:p>
      <w:pPr>
        <w:spacing w:after="0" w:line="1" w:lineRule="exact"/>
        <w:rPr>
          <w:sz w:val="20"/>
          <w:szCs w:val="20"/>
          <w:color w:val="auto"/>
        </w:rPr>
      </w:pPr>
    </w:p>
    <w:sectPr>
      <w:pgSz w:w="11900" w:h="16838" w:orient="portrait"/>
      <w:cols w:equalWidth="0" w:num="1">
        <w:col w:w="11420"/>
      </w:cols>
      <w:pgMar w:left="240" w:top="6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5"/>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2019-12-07T22:49:05Z</dcterms:created>
  <dcterms:modified xsi:type="dcterms:W3CDTF">2019-12-07T22:49:05Z</dcterms:modified>
</cp:coreProperties>
</file>