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20,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54" w:right="239" w:bottom="1440" w:gutter="0" w:footer="0" w:header="0"/>
        </w:sectPr>
      </w:pPr>
    </w:p>
    <w:p>
      <w:pPr>
        <w:spacing w:after="0" w:line="20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001-36504</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98-0606750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020" w:space="720"/>
            <w:col w:w="2780" w:space="720"/>
            <w:col w:w="3180"/>
          </w:cols>
          <w:pgMar w:left="240" w:top="754" w:right="2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420"/>
          </w:cols>
          <w:pgMar w:left="240" w:top="754" w:right="239" w:bottom="1440" w:gutter="0" w:footer="0" w:header="0"/>
          <w:type w:val="continuous"/>
        </w:sectPr>
      </w:pPr>
    </w:p>
    <w:p>
      <w:pPr>
        <w:spacing w:after="0" w:line="214"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Weststrasse 1, 6340 Baar, Switzerland</w:t>
      </w:r>
    </w:p>
    <w:p>
      <w:pPr>
        <w:spacing w:after="0" w:line="4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 6340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54"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+41.22.816.1500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$0.001 per share</w:t>
            </w:r>
          </w:p>
        </w:tc>
        <w:tc>
          <w:tcPr>
            <w:tcW w:w="22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WFTIQ</w:t>
            </w:r>
          </w:p>
        </w:tc>
        <w:tc>
          <w:tcPr>
            <w:tcW w:w="22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340"/>
        <w:spacing w:after="0" w:line="207" w:lineRule="exact"/>
        <w:tabs>
          <w:tab w:leader="none" w:pos="2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w:t>
      </w:r>
    </w:p>
    <w:p>
      <w:pPr>
        <w:spacing w:after="0" w:line="34" w:lineRule="exact"/>
        <w:rPr>
          <w:sz w:val="24"/>
          <w:szCs w:val="24"/>
          <w:color w:val="auto"/>
        </w:rPr>
      </w:pPr>
    </w:p>
    <w:p>
      <w:pPr>
        <w:spacing w:after="0" w:line="207" w:lineRule="exact"/>
        <w:tabs>
          <w:tab w:leader="none" w:pos="75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type w:val="continuous"/>
        </w:sectPr>
      </w:pPr>
    </w:p>
    <w:bookmarkStart w:id="1" w:name="page2"/>
    <w:bookmarkEnd w:id="1"/>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As previously disclosed, on July 1, 2019, Weatherford International plc (the “Company”), Weatherford International Ltd. and Weatherford International, LLC (collectively, with the Company, the “Debtors”), commenced voluntary cases (the “Cases”) under Chapter 11 of the United States Bankruptcy Code in the U.S. Bankruptcy Court for the Southern District of Texas (the “Bankruptcy Court”) and filed the Debtors’ prepackaged plan of reorganization with the Bankruptcy Court. On July 2, 2019, the Bankruptcy Court entered an order approving the joint administration of the Cases under the caption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Weatherford International plc, et al.</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August 20, 2019, the Debtors filed their monthly operating report, which included financial information as of July 31, 2019 and for the period covering July 1, 2019 through July 31, 2019 (the “Monthly Operating Report”) with the Bankruptcy Court. The Monthly Operating Report is attached hereto as Exhibit 99.1 and is incorporated herein by reference.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in Exhibit 99.1,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the Monthly Operating Report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cautions investors and potential investors not to place undue reliance upon the information contained in the Monthly Operating Report, which was not prepared for the purpose of providing the basis for an investment decision relating to any of the securities of the Company. The Monthly Operating Report is limited in scope, covers limited time periods, and has been prepared solely for the purpose of complying with the monthly reporting requirements of the Bankruptcy Court. The Monthly Operating Report was not audited or reviewed by independent accountants, was not prepared in accordance with U.S. generally accepted accounting principles, is in a format prescribed by applicable bankruptcy laws, and is subject to future adjustment and reconciliation. There can be no assurance that, from the perspective of an investor or potential investor in the Company’s securities, the Monthly Operating Report is complete. The Monthly Operating Report also contains information for a period which is shorter and otherwise different from those required in the Company’s periodic reports pursuant to the Exchange Act, and such information might not be indicative of the Company’s financial condition or operating results for a period that would be reflected in the Company’s financial statements or in its reports pursuant to the Exchange Act. Information set forth in the Monthly Operating Report should not be viewed as indicative of future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confirm and consummate a plan of reorganization in accordance with the terms of the Restructuring Support Agreement; risks attendant to the bankruptcy process, including our ability to obtain Bankruptcy Court approvals with respect to motions filed in the Cases, the outcomes of Bankruptcy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the actions and decisions of creditors, regulators and other third parties that have an interest in the Cases, which may interfere with the ability to confirm and consummate a plan of reorganization; restrictions on us due to the terms of any debtor-in-possession credit facility that we will enter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4"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6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60" w:type="dxa"/>
            <w:vAlign w:val="bottom"/>
            <w:gridSpan w:val="3"/>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jc w:val="right"/>
              <w:ind w:right="600"/>
              <w:spacing w:after="0"/>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240" w:type="dxa"/>
            <w:vAlign w:val="bottom"/>
          </w:tcPr>
          <w:p>
            <w:pPr>
              <w:spacing w:after="0"/>
              <w:rPr>
                <w:sz w:val="24"/>
                <w:szCs w:val="24"/>
                <w:color w:val="auto"/>
              </w:rPr>
            </w:pPr>
          </w:p>
        </w:tc>
        <w:tc>
          <w:tcPr>
            <w:tcW w:w="10260" w:type="dxa"/>
            <w:vAlign w:val="bottom"/>
            <w:tcBorders>
              <w:top w:val="single" w:sz="8" w:color="auto"/>
            </w:tcBorders>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Monthly Operating Report as of July 31, 2019 and for the period covering July 1, 2019 through July 31, 2019, as filed with the United States</w:t>
              </w:r>
            </w:hyperlink>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Bankruptcy Court for the Southern District of Texas, Houston Division on August 20, 2019.</w:t>
              </w:r>
            </w:hyperlink>
          </w:p>
        </w:tc>
        <w:tc>
          <w:tcPr>
            <w:tcW w:w="120" w:type="dxa"/>
            <w:vAlign w:val="bottom"/>
          </w:tcPr>
          <w:p>
            <w:pPr>
              <w:spacing w:after="0"/>
              <w:rPr>
                <w:sz w:val="17"/>
                <w:szCs w:val="17"/>
                <w:color w:val="auto"/>
              </w:rPr>
            </w:pPr>
          </w:p>
        </w:tc>
      </w:tr>
      <w:tr>
        <w:trPr>
          <w:trHeight w:val="696"/>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20" w:type="dxa"/>
            <w:vAlign w:val="bottom"/>
            <w:tcBorders>
              <w:top w:val="single" w:sz="8" w:color="0000EE"/>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vMerge w:val="restart"/>
          </w:tcPr>
          <w:p>
            <w:pPr>
              <w:jc w:val="right"/>
              <w:ind w:right="4730"/>
              <w:spacing w:after="0"/>
              <w:rPr>
                <w:sz w:val="20"/>
                <w:szCs w:val="20"/>
                <w:color w:val="auto"/>
              </w:rPr>
            </w:pPr>
            <w:r>
              <w:rPr>
                <w:rFonts w:ascii="Times New Roman" w:cs="Times New Roman" w:eastAsia="Times New Roman" w:hAnsi="Times New Roman"/>
                <w:sz w:val="18"/>
                <w:szCs w:val="18"/>
                <w:color w:val="auto"/>
                <w:w w:val="99"/>
              </w:rPr>
              <w:t>Date: August 20, 2019</w:t>
            </w: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M. Ibrahim</w:t>
            </w:r>
          </w:p>
        </w:tc>
        <w:tc>
          <w:tcPr>
            <w:tcW w:w="0" w:type="dxa"/>
            <w:vAlign w:val="bottom"/>
          </w:tcPr>
          <w:p>
            <w:pPr>
              <w:spacing w:after="0"/>
              <w:rPr>
                <w:sz w:val="1"/>
                <w:szCs w:val="1"/>
                <w:color w:val="auto"/>
              </w:rPr>
            </w:pPr>
          </w:p>
        </w:tc>
      </w:tr>
      <w:tr>
        <w:trPr>
          <w:trHeight w:val="198"/>
        </w:trPr>
        <w:tc>
          <w:tcPr>
            <w:tcW w:w="64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Christina M. Ibrahim</w:t>
            </w:r>
          </w:p>
        </w:tc>
        <w:tc>
          <w:tcPr>
            <w:tcW w:w="0" w:type="dxa"/>
            <w:vAlign w:val="bottom"/>
          </w:tcPr>
          <w:p>
            <w:pPr>
              <w:spacing w:after="0"/>
              <w:rPr>
                <w:sz w:val="1"/>
                <w:szCs w:val="1"/>
                <w:color w:val="auto"/>
              </w:rPr>
            </w:pPr>
          </w:p>
        </w:tc>
      </w:tr>
      <w:tr>
        <w:trPr>
          <w:trHeight w:val="216"/>
        </w:trPr>
        <w:tc>
          <w:tcPr>
            <w:tcW w:w="6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Officer and Corporate Secretary</w:t>
            </w:r>
          </w:p>
        </w:tc>
        <w:tc>
          <w:tcPr>
            <w:tcW w:w="0" w:type="dxa"/>
            <w:vAlign w:val="bottom"/>
          </w:tcPr>
          <w:p>
            <w:pPr>
              <w:spacing w:after="0"/>
              <w:rPr>
                <w:sz w:val="1"/>
                <w:szCs w:val="1"/>
                <w:color w:val="auto"/>
              </w:rPr>
            </w:pPr>
          </w:p>
        </w:tc>
      </w:tr>
      <w:tr>
        <w:trPr>
          <w:trHeight w:val="675"/>
        </w:trPr>
        <w:tc>
          <w:tcPr>
            <w:tcW w:w="64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4" w:name="page5"/>
    <w:bookmarkEnd w:id="4"/>
    <w:p>
      <w:pPr>
        <w:ind w:left="91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20955</wp:posOffset>
            </wp:positionV>
            <wp:extent cx="7289165" cy="6071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6071870"/>
                    </a:xfrm>
                    <a:prstGeom prst="rect">
                      <a:avLst/>
                    </a:prstGeom>
                    <a:noFill/>
                  </pic:spPr>
                </pic:pic>
              </a:graphicData>
            </a:graphic>
          </wp:anchor>
        </w:drawing>
      </w:r>
    </w:p>
    <w:p>
      <w:pPr>
        <w:sectPr>
          <w:pgSz w:w="11900" w:h="16838" w:orient="portrait"/>
          <w:cols w:equalWidth="0" w:num="1">
            <w:col w:w="10220"/>
          </w:cols>
          <w:pgMar w:left="1440" w:top="351"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106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6106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106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6106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6812280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5634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5634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089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608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080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608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089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08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089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08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080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08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097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097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080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608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6089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0890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2019-12-28T06:50:18Z</dcterms:created>
  <dcterms:modified xsi:type="dcterms:W3CDTF">2019-12-28T06:50:18Z</dcterms:modified>
</cp:coreProperties>
</file>