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96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9648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RAYNE ROBERT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100 GEORGE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Weatherford International plc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WFT</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8"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09/25/2015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LONDON</w:t>
            </w:r>
          </w:p>
        </w:tc>
        <w:tc>
          <w:tcPr>
            <w:tcW w:w="1100" w:type="dxa"/>
            <w:vAlign w:val="bottom"/>
          </w:tcPr>
          <w:p>
            <w:pPr>
              <w:ind w:left="260"/>
              <w:spacing w:after="0"/>
              <w:rPr>
                <w:sz w:val="20"/>
                <w:szCs w:val="20"/>
                <w:color w:val="auto"/>
              </w:rPr>
            </w:pPr>
            <w:r>
              <w:rPr>
                <w:rFonts w:ascii="Arial" w:cs="Arial" w:eastAsia="Arial" w:hAnsi="Arial"/>
                <w:sz w:val="18"/>
                <w:szCs w:val="18"/>
                <w:color w:val="0000FF"/>
              </w:rPr>
              <w:t>X0</w:t>
            </w:r>
          </w:p>
        </w:tc>
        <w:tc>
          <w:tcPr>
            <w:tcW w:w="1680" w:type="dxa"/>
            <w:vAlign w:val="bottom"/>
          </w:tcPr>
          <w:p>
            <w:pPr>
              <w:ind w:left="420"/>
              <w:spacing w:after="0"/>
              <w:rPr>
                <w:sz w:val="20"/>
                <w:szCs w:val="20"/>
                <w:color w:val="auto"/>
              </w:rPr>
            </w:pPr>
            <w:r>
              <w:rPr>
                <w:rFonts w:ascii="Arial" w:cs="Arial" w:eastAsia="Arial" w:hAnsi="Arial"/>
                <w:sz w:val="18"/>
                <w:szCs w:val="18"/>
                <w:color w:val="0000FF"/>
              </w:rPr>
              <w:t>W1U 8NU</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09/25/2015</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19"/>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12,000</w:t>
            </w:r>
          </w:p>
        </w:tc>
        <w:tc>
          <w:tcPr>
            <w:tcW w:w="70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99"/>
              <w:spacing w:after="0" w:line="324" w:lineRule="exact"/>
              <w:rPr>
                <w:sz w:val="20"/>
                <w:szCs w:val="20"/>
                <w:color w:val="auto"/>
              </w:rPr>
            </w:pPr>
            <w:r>
              <w:rPr>
                <w:rFonts w:ascii="Arial" w:cs="Arial" w:eastAsia="Arial" w:hAnsi="Arial"/>
                <w:sz w:val="35"/>
                <w:szCs w:val="35"/>
                <w:color w:val="000000"/>
                <w:vertAlign w:val="subscript"/>
              </w:rPr>
              <w:t>$</w:t>
            </w:r>
            <w:r>
              <w:rPr>
                <w:rFonts w:ascii="Arial" w:cs="Arial" w:eastAsia="Arial" w:hAnsi="Arial"/>
                <w:sz w:val="35"/>
                <w:szCs w:val="35"/>
                <w:color w:val="0000FF"/>
                <w:vertAlign w:val="subscript"/>
              </w:rPr>
              <w:t>0</w:t>
            </w:r>
            <w:r>
              <w:rPr>
                <w:rFonts w:ascii="Arial" w:cs="Arial" w:eastAsia="Arial" w:hAnsi="Arial"/>
                <w:sz w:val="11"/>
                <w:szCs w:val="11"/>
                <w:color w:val="008000"/>
              </w:rPr>
              <w:t>(1)</w:t>
            </w:r>
          </w:p>
        </w:tc>
        <w:tc>
          <w:tcPr>
            <w:tcW w:w="1260" w:type="dxa"/>
            <w:vAlign w:val="bottom"/>
            <w:tcBorders>
              <w:bottom w:val="single" w:sz="8" w:color="2C2C2C"/>
            </w:tcBorders>
            <w:gridSpan w:val="2"/>
          </w:tcPr>
          <w:p>
            <w:pPr>
              <w:jc w:val="right"/>
              <w:ind w:right="319"/>
              <w:spacing w:after="0"/>
              <w:rPr>
                <w:sz w:val="20"/>
                <w:szCs w:val="20"/>
                <w:color w:val="auto"/>
              </w:rPr>
            </w:pPr>
            <w:r>
              <w:rPr>
                <w:rFonts w:ascii="Arial" w:cs="Arial" w:eastAsia="Arial" w:hAnsi="Arial"/>
                <w:sz w:val="18"/>
                <w:szCs w:val="18"/>
                <w:color w:val="0000FF"/>
              </w:rPr>
              <w:t>558,445</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09/27/2015</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19"/>
              <w:spacing w:after="0"/>
              <w:rPr>
                <w:sz w:val="20"/>
                <w:szCs w:val="20"/>
                <w:color w:val="auto"/>
              </w:rPr>
            </w:pPr>
            <w:r>
              <w:rPr>
                <w:rFonts w:ascii="Arial" w:cs="Arial" w:eastAsia="Arial" w:hAnsi="Arial"/>
                <w:sz w:val="27"/>
                <w:szCs w:val="27"/>
                <w:color w:val="0000FF"/>
                <w:w w:val="89"/>
                <w:vertAlign w:val="subscript"/>
              </w:rPr>
              <w:t>F</w:t>
            </w:r>
            <w:r>
              <w:rPr>
                <w:rFonts w:ascii="Arial" w:cs="Arial" w:eastAsia="Arial" w:hAnsi="Arial"/>
                <w:sz w:val="11"/>
                <w:szCs w:val="11"/>
                <w:color w:val="008000"/>
                <w:w w:val="89"/>
              </w:rPr>
              <w:t>(2)</w:t>
            </w:r>
          </w:p>
        </w:tc>
        <w:tc>
          <w:tcPr>
            <w:tcW w:w="740" w:type="dxa"/>
            <w:vAlign w:val="bottom"/>
            <w:tcBorders>
              <w:bottom w:val="single" w:sz="8" w:color="2C2C2C"/>
            </w:tcBorders>
          </w:tcPr>
          <w:p>
            <w:pPr>
              <w:jc w:val="right"/>
              <w:ind w:right="52"/>
              <w:spacing w:after="0"/>
              <w:rPr>
                <w:sz w:val="20"/>
                <w:szCs w:val="20"/>
                <w:color w:val="auto"/>
              </w:rPr>
            </w:pPr>
            <w:r>
              <w:rPr>
                <w:rFonts w:ascii="Arial" w:cs="Arial" w:eastAsia="Arial" w:hAnsi="Arial"/>
                <w:sz w:val="18"/>
                <w:szCs w:val="18"/>
                <w:color w:val="0000FF"/>
              </w:rPr>
              <w:t>800</w:t>
            </w:r>
          </w:p>
        </w:tc>
        <w:tc>
          <w:tcPr>
            <w:tcW w:w="70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8.7</w:t>
            </w:r>
          </w:p>
        </w:tc>
        <w:tc>
          <w:tcPr>
            <w:tcW w:w="1260" w:type="dxa"/>
            <w:vAlign w:val="bottom"/>
            <w:tcBorders>
              <w:bottom w:val="single" w:sz="8" w:color="2C2C2C"/>
            </w:tcBorders>
            <w:gridSpan w:val="2"/>
          </w:tcPr>
          <w:p>
            <w:pPr>
              <w:jc w:val="center"/>
              <w:ind w:right="219"/>
              <w:spacing w:after="0"/>
              <w:rPr>
                <w:sz w:val="20"/>
                <w:szCs w:val="20"/>
                <w:color w:val="auto"/>
              </w:rPr>
            </w:pPr>
            <w:r>
              <w:rPr>
                <w:rFonts w:ascii="Arial" w:cs="Arial" w:eastAsia="Arial" w:hAnsi="Arial"/>
                <w:sz w:val="18"/>
                <w:szCs w:val="18"/>
                <w:color w:val="0000FF"/>
              </w:rPr>
              <w:t>557,645</w:t>
            </w:r>
            <w:r>
              <w:rPr>
                <w:rFonts w:ascii="Arial" w:cs="Arial" w:eastAsia="Arial" w:hAnsi="Arial"/>
                <w:sz w:val="22"/>
                <w:szCs w:val="22"/>
                <w:color w:val="008000"/>
                <w:vertAlign w:val="superscript"/>
              </w:rPr>
              <w:t>(3)</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Transaction was a grant of restricted share units and therefore has no price. The units are scheduled to vest on September 25, 2016.</w:t>
      </w:r>
    </w:p>
    <w:p>
      <w:pPr>
        <w:spacing w:after="0" w:line="41" w:lineRule="exact"/>
        <w:rPr>
          <w:rFonts w:ascii="Arial" w:cs="Arial" w:eastAsia="Arial" w:hAnsi="Arial"/>
          <w:sz w:val="14"/>
          <w:szCs w:val="14"/>
          <w:color w:val="008000"/>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Transaction was a withholding of a portion of vested restricted share units to satisfy the reporting person's tax withholding obligations upon vesting, pursuant to the award agreements and associated equity incentive plans under which the award was granted.</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Does not include 1,845,000 shares beneficially owned by LMS Capital, of which Mr. Rayne serves as a non-executive director.</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5"/>
              </w:rPr>
              <w:t>Charity R. Kohl, by Power of</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09/28/2015</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44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44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8798"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2019-12-24T08:44:20Z</dcterms:created>
  <dcterms:modified xsi:type="dcterms:W3CDTF">2019-12-24T08:44:20Z</dcterms:modified>
</cp:coreProperties>
</file>